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数学建模竞赛论文格式规范与可编辑示例</w:t>
      </w:r>
    </w:p>
    <w:p>
      <w:pPr>
        <w:pStyle w:val="SubtitleText"/>
      </w:pPr>
      <w:r>
        <w:rPr>
          <w:rFonts w:ascii="Arial" w:hAnsi="Arial" w:eastAsia="宋体"/>
          <w:color w:val="4B5563"/>
          <w:sz w:val="22"/>
        </w:rPr>
        <w:t>通用版  用于查看版式并直接复用 Word 样式</w:t>
      </w:r>
    </w:p>
    <w:p>
      <w:pPr>
        <w:pStyle w:val="AbstractText"/>
        <w:spacing w:before="200" w:after="160"/>
      </w:pPr>
      <w:r>
        <w:rPr>
          <w:rFonts w:ascii="Times New Roman" w:hAnsi="Times New Roman" w:eastAsia="宋体"/>
          <w:color w:val="000000"/>
          <w:sz w:val="21"/>
        </w:rPr>
        <w:t>这份文件同时是一份格式说明和一份可编辑示例。推荐使用 A4 纸、稳定的标题层级、统一的正文与图表样式，并通过 Word 样式而不是逐段手工调整控制全文。具体比赛若发布官方模板、页数限制或匿名要求，应以当届官方文件为准。</w:t>
      </w:r>
    </w:p>
    <w:p>
      <w:pPr>
        <w:pStyle w:val="Heading1"/>
      </w:pPr>
      <w:r>
        <w:t>一 使用原则</w:t>
      </w:r>
    </w:p>
    <w:p>
      <w:pPr/>
      <w:r>
        <w:rPr>
          <w:rFonts w:ascii="Times New Roman" w:hAnsi="Times New Roman" w:eastAsia="宋体"/>
          <w:color w:val="000000"/>
          <w:sz w:val="22"/>
        </w:rPr>
        <w:t>正式论文首先服从当届竞赛的官方要求。本文件给出的是从优秀论文中可稳定复用的通用版式：页面整洁、层级明确、正文紧凑但可读、公式与图表能独立辨认、引用与附录可追溯。</w:t>
      </w:r>
    </w:p>
    <w:p>
      <w:pPr/>
      <w:r>
        <w:rPr>
          <w:rFonts w:ascii="Times New Roman" w:hAnsi="Times New Roman" w:eastAsia="宋体"/>
          <w:color w:val="000000"/>
          <w:sz w:val="22"/>
        </w:rPr>
        <w:t>匿名评审时不要在论文正文、页眉、文件属性、图片元数据或附录代码中保留队名、学校、指导教师和个人姓名。封面、承诺书或编号页应使用组委会提供的单独模板。</w:t>
      </w:r>
    </w:p>
    <w:p>
      <w:pPr>
        <w:pStyle w:val="TableCaption"/>
      </w:pPr>
      <w:r>
        <w:t>表 1  建议版面参数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before="0" w:after="0" w:line="276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before="0" w:after="0" w:line="276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建议设置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before="0" w:after="0" w:line="276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使用说明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纸张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A4  纵向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正文统一纵向；超宽表格优先拆分，必要时单独使用横向节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页边距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上 2.4 cm  下 2.2 cm  左右 2.6 cm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保证打印、装订和批注空间；官方模板另有规定时从其规定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正文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宋体 11 pt  1.5 倍行距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两端对齐，首行缩进 2 字符；英文和数字用 Times New Roman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一级标题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黑体 15 pt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左对齐，段前 14 pt、段后 7 pt，与后文保持在同页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二级标题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黑体 13 pt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层级不宜过多；一般控制到三级标题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图表题注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宋体 10 pt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图题置于图下，表题置于表上，按正文引用顺序编号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表内文字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9.5 至 10.5 pt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数字小数位、单位、有效数字和对齐方式保持一致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参考文献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宋体 10.5 pt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悬挂缩进，编号和正文引用一一对应</w:t>
            </w:r>
          </w:p>
        </w:tc>
      </w:tr>
      <w:tr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页码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底端居中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目录和正文页码口径按当届要求处理</w:t>
            </w:r>
          </w:p>
        </w:tc>
      </w:tr>
    </w:tbl>
    <w:p>
      <w:pPr>
        <w:pStyle w:val="Heading1"/>
      </w:pPr>
      <w:r>
        <w:t>二 样式层级</w:t>
      </w:r>
    </w:p>
    <w:p>
      <w:pPr/>
      <w:r>
        <w:rPr>
          <w:rFonts w:ascii="Times New Roman" w:hAnsi="Times New Roman" w:eastAsia="宋体"/>
          <w:color w:val="000000"/>
          <w:sz w:val="22"/>
        </w:rPr>
        <w:t>全文应通过 Word 的标题与正文样式控制，不建议用空格、连续回车或手工字号模拟层级。这样可以自动生成目录、统一修改字体，并减少多人协作时的格式漂移。</w:t>
      </w:r>
    </w:p>
    <w:p>
      <w:pPr>
        <w:pStyle w:val="TableCaption"/>
      </w:pPr>
      <w:r>
        <w:t>表 2  推荐样式与用途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样式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格式重点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Title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文件总标题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居中、黑色、无下划线和装饰线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Paper Title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论文题目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黑体 18 pt，准确概括研究对象与核心任务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Heading 1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一级章节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问题重述、模型建立、结果分析等主章节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Heading 2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二级章节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每一问内部的分析、建模、求解和验证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Normal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正文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首行缩进、两端对齐、统一行距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Table Caption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表题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位于表上并与表保持在同页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Figure Caption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图题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位于图下，写清对象和目的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Reference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参考文献</w:t>
            </w:r>
          </w:p>
        </w:tc>
        <w:tc>
          <w:tcPr>
            <w:tcW w:type="dxa" w:w="447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悬挂缩进，编号连续</w:t>
            </w:r>
          </w:p>
        </w:tc>
      </w:tr>
    </w:tbl>
    <w:p>
      <w:pPr>
        <w:pStyle w:val="Heading1"/>
      </w:pPr>
      <w:r>
        <w:t>三 Word 排版操作要点</w:t>
      </w:r>
    </w:p>
    <w:p>
      <w:pPr>
        <w:spacing w:after="80"/>
        <w:ind w:left="397" w:hanging="397"/>
      </w:pPr>
      <w:r>
        <w:rPr>
          <w:rFonts w:ascii="Times New Roman" w:hAnsi="Times New Roman" w:eastAsia="宋体"/>
          <w:color w:val="000000"/>
          <w:sz w:val="21"/>
        </w:rPr>
        <w:t>1  用标题样式建立层级，再通过引用菜单生成自动目录；多人协作时不要靠空格和回车调整位置。</w:t>
      </w:r>
    </w:p>
    <w:p>
      <w:pPr>
        <w:spacing w:after="80"/>
        <w:ind w:left="397" w:hanging="397"/>
      </w:pPr>
      <w:r>
        <w:rPr>
          <w:rFonts w:ascii="Times New Roman" w:hAnsi="Times New Roman" w:eastAsia="宋体"/>
          <w:color w:val="000000"/>
          <w:sz w:val="21"/>
        </w:rPr>
        <w:t>2  图题和表题使用题注功能统一编号，正文使用交叉引用；增删图表后统一更新全部域。</w:t>
      </w:r>
    </w:p>
    <w:p>
      <w:pPr>
        <w:spacing w:after="80"/>
        <w:ind w:left="397" w:hanging="397"/>
      </w:pPr>
      <w:r>
        <w:rPr>
          <w:rFonts w:ascii="Times New Roman" w:hAnsi="Times New Roman" w:eastAsia="宋体"/>
          <w:color w:val="000000"/>
          <w:sz w:val="21"/>
        </w:rPr>
        <w:t>3  公式使用 Word 公式编辑器输入，独立公式居中、编号右对齐；不要把公式截图后粘贴。</w:t>
      </w:r>
    </w:p>
    <w:p>
      <w:pPr>
        <w:spacing w:after="80"/>
        <w:ind w:left="397" w:hanging="397"/>
      </w:pPr>
      <w:r>
        <w:rPr>
          <w:rFonts w:ascii="Times New Roman" w:hAnsi="Times New Roman" w:eastAsia="宋体"/>
          <w:color w:val="000000"/>
          <w:sz w:val="21"/>
        </w:rPr>
        <w:t>4  横向页面使用分节符而不是整篇改为横向；横向节之后再插入分节符恢复纵向。</w:t>
      </w:r>
    </w:p>
    <w:p>
      <w:pPr>
        <w:spacing w:after="80"/>
        <w:ind w:left="397" w:hanging="397"/>
      </w:pPr>
      <w:r>
        <w:rPr>
          <w:rFonts w:ascii="Times New Roman" w:hAnsi="Times New Roman" w:eastAsia="宋体"/>
          <w:color w:val="000000"/>
          <w:sz w:val="21"/>
        </w:rPr>
        <w:t>5  从网页、聊天工具或其他文档复制内容时优先只保留文本，再套用当前文档样式。</w:t>
      </w:r>
    </w:p>
    <w:p>
      <w:pPr>
        <w:spacing w:after="80"/>
        <w:ind w:left="397" w:hanging="397"/>
      </w:pPr>
      <w:r>
        <w:rPr>
          <w:rFonts w:ascii="Times New Roman" w:hAnsi="Times New Roman" w:eastAsia="宋体"/>
          <w:color w:val="000000"/>
          <w:sz w:val="21"/>
        </w:rPr>
        <w:t>6  图片优先插入 SVG 或高分辨率 PNG，并关闭不必要的二次压缩；定稿前检查字体嵌入与替换。</w:t>
      </w:r>
    </w:p>
    <w:p>
      <w:r>
        <w:br w:type="page"/>
      </w:r>
    </w:p>
    <w:p>
      <w:pPr>
        <w:pStyle w:val="PaperTitle"/>
      </w:pPr>
      <w:r>
        <w:t>基于多源信息融合的风险评估与路径优化模型</w:t>
      </w:r>
    </w:p>
    <w:p>
      <w:pPr>
        <w:spacing w:after="160"/>
        <w:jc w:val="center"/>
      </w:pPr>
      <w:r>
        <w:rPr>
          <w:rFonts w:ascii="Arial" w:hAnsi="Arial" w:eastAsia="宋体"/>
          <w:color w:val="4B5563"/>
          <w:sz w:val="21"/>
        </w:rPr>
        <w:t>论文首页排版示例</w:t>
      </w:r>
    </w:p>
    <w:p>
      <w:pPr>
        <w:pStyle w:val="AbstractText"/>
        <w:spacing w:after="120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 xml:space="preserve">摘要  </w:t>
      </w:r>
      <w:r>
        <w:rPr>
          <w:rFonts w:ascii="Times New Roman" w:hAnsi="Times New Roman" w:eastAsia="宋体"/>
          <w:color w:val="000000"/>
          <w:sz w:val="21"/>
        </w:rPr>
        <w:t>本文围绕多源观测条件下的风险识别与路径优化问题，建立数据对齐、风险场构建和约束优化相衔接的建模框架。首先统一不同数据源的时间与空间尺度，并通过质量控制获得可比较特征；随后构建风险评估模型，给出风险场及其不确定性；最后在安全约束和效率目标下求解候选路径，并通过基线比较、参数扰动和独立测试验证结果。摘要应按照问题顺序说明难点、方法、关键定量结果和适用条件，避免只写研究过程或笼统评价。</w:t>
      </w:r>
    </w:p>
    <w:p>
      <w:pPr>
        <w:pStyle w:val="AbstractText"/>
        <w:ind w:firstLine="0"/>
      </w:pPr>
      <w:r>
        <w:rPr>
          <w:rFonts w:ascii="Times New Roman" w:hAnsi="Times New Roman" w:eastAsia="黑体"/>
          <w:b/>
          <w:color w:val="000000"/>
          <w:sz w:val="21"/>
        </w:rPr>
        <w:t xml:space="preserve">关键词  </w:t>
      </w:r>
      <w:r>
        <w:rPr>
          <w:rFonts w:ascii="Times New Roman" w:hAnsi="Times New Roman" w:eastAsia="宋体"/>
          <w:color w:val="000000"/>
          <w:sz w:val="21"/>
        </w:rPr>
        <w:t>多源数据融合  风险评估  路径优化  稳健性分析  数学建模</w:t>
      </w:r>
    </w:p>
    <w:p>
      <w:pPr>
        <w:pStyle w:val="Heading1"/>
      </w:pPr>
      <w:r>
        <w:t>目录</w:t>
      </w:r>
    </w:p>
    <w:p>
      <w:pPr>
        <w:tabs>
          <w:tab w:pos="8787" w:val="right" w:leader="dot"/>
        </w:tabs>
        <w:spacing w:after="60"/>
        <w:ind w:left="0" w:firstLine="0"/>
      </w:pPr>
      <w:r>
        <w:rPr>
          <w:rFonts w:ascii="Times New Roman" w:hAnsi="Times New Roman" w:eastAsia="黑体"/>
          <w:b/>
          <w:color w:val="000000"/>
          <w:sz w:val="22"/>
        </w:rPr>
        <w:t>1 问题重述</w:t>
        <w:tab/>
        <w:t>1</w:t>
      </w:r>
    </w:p>
    <w:p>
      <w:pPr>
        <w:tabs>
          <w:tab w:pos="8787" w:val="right" w:leader="dot"/>
        </w:tabs>
        <w:spacing w:after="60"/>
        <w:ind w:left="0" w:firstLine="0"/>
      </w:pPr>
      <w:r>
        <w:rPr>
          <w:rFonts w:ascii="Times New Roman" w:hAnsi="Times New Roman" w:eastAsia="黑体"/>
          <w:b/>
          <w:color w:val="000000"/>
          <w:sz w:val="22"/>
        </w:rPr>
        <w:t>2 问题分析</w:t>
        <w:tab/>
        <w:t>2</w:t>
      </w:r>
    </w:p>
    <w:p>
      <w:pPr>
        <w:tabs>
          <w:tab w:pos="8787" w:val="right" w:leader="dot"/>
        </w:tabs>
        <w:spacing w:after="60"/>
        <w:ind w:left="0" w:firstLine="0"/>
      </w:pPr>
      <w:r>
        <w:rPr>
          <w:rFonts w:ascii="Times New Roman" w:hAnsi="Times New Roman" w:eastAsia="黑体"/>
          <w:b/>
          <w:color w:val="000000"/>
          <w:sz w:val="22"/>
        </w:rPr>
        <w:t>3 模型假设与符号说明</w:t>
        <w:tab/>
        <w:t>3</w:t>
      </w:r>
    </w:p>
    <w:p>
      <w:pPr>
        <w:tabs>
          <w:tab w:pos="8787" w:val="right" w:leader="dot"/>
        </w:tabs>
        <w:spacing w:after="60"/>
        <w:ind w:left="0" w:firstLine="0"/>
      </w:pPr>
      <w:r>
        <w:rPr>
          <w:rFonts w:ascii="Times New Roman" w:hAnsi="Times New Roman" w:eastAsia="黑体"/>
          <w:b/>
          <w:color w:val="000000"/>
          <w:sz w:val="22"/>
        </w:rPr>
        <w:t>4 数据预处理</w:t>
        <w:tab/>
        <w:t>4</w:t>
      </w:r>
    </w:p>
    <w:p>
      <w:pPr>
        <w:tabs>
          <w:tab w:pos="8787" w:val="right" w:leader="dot"/>
        </w:tabs>
        <w:spacing w:after="60"/>
        <w:ind w:left="0" w:firstLine="0"/>
      </w:pPr>
      <w:r>
        <w:rPr>
          <w:rFonts w:ascii="Times New Roman" w:hAnsi="Times New Roman" w:eastAsia="黑体"/>
          <w:b/>
          <w:color w:val="000000"/>
          <w:sz w:val="22"/>
        </w:rPr>
        <w:t>5 模型建立与求解</w:t>
        <w:tab/>
        <w:t>6</w:t>
      </w:r>
    </w:p>
    <w:p>
      <w:pPr>
        <w:tabs>
          <w:tab w:pos="8787" w:val="right" w:leader="dot"/>
        </w:tabs>
        <w:spacing w:after="60"/>
        <w:ind w:left="340" w:firstLine="0"/>
      </w:pPr>
      <w:r>
        <w:rPr>
          <w:rFonts w:ascii="Times New Roman" w:hAnsi="Times New Roman" w:eastAsia="宋体"/>
          <w:b w:val="0"/>
          <w:color w:val="000000"/>
          <w:sz w:val="22"/>
        </w:rPr>
        <w:t>5.1 风险评估模型</w:t>
        <w:tab/>
        <w:t>6</w:t>
      </w:r>
    </w:p>
    <w:p>
      <w:pPr>
        <w:tabs>
          <w:tab w:pos="8787" w:val="right" w:leader="dot"/>
        </w:tabs>
        <w:spacing w:after="60"/>
        <w:ind w:left="340" w:firstLine="0"/>
      </w:pPr>
      <w:r>
        <w:rPr>
          <w:rFonts w:ascii="Times New Roman" w:hAnsi="Times New Roman" w:eastAsia="宋体"/>
          <w:b w:val="0"/>
          <w:color w:val="000000"/>
          <w:sz w:val="22"/>
        </w:rPr>
        <w:t>5.2 路径优化模型</w:t>
        <w:tab/>
        <w:t>8</w:t>
      </w:r>
    </w:p>
    <w:p>
      <w:pPr>
        <w:tabs>
          <w:tab w:pos="8787" w:val="right" w:leader="dot"/>
        </w:tabs>
        <w:spacing w:after="60"/>
        <w:ind w:left="0" w:firstLine="0"/>
      </w:pPr>
      <w:r>
        <w:rPr>
          <w:rFonts w:ascii="Times New Roman" w:hAnsi="Times New Roman" w:eastAsia="黑体"/>
          <w:b/>
          <w:color w:val="000000"/>
          <w:sz w:val="22"/>
        </w:rPr>
        <w:t>6 结果分析与模型验证</w:t>
        <w:tab/>
        <w:t>10</w:t>
      </w:r>
    </w:p>
    <w:p>
      <w:pPr>
        <w:tabs>
          <w:tab w:pos="8787" w:val="right" w:leader="dot"/>
        </w:tabs>
        <w:spacing w:after="60"/>
        <w:ind w:left="0" w:firstLine="0"/>
      </w:pPr>
      <w:r>
        <w:rPr>
          <w:rFonts w:ascii="Times New Roman" w:hAnsi="Times New Roman" w:eastAsia="黑体"/>
          <w:b/>
          <w:color w:val="000000"/>
          <w:sz w:val="22"/>
        </w:rPr>
        <w:t>7 模型评价与推广</w:t>
        <w:tab/>
        <w:t>13</w:t>
      </w:r>
    </w:p>
    <w:p>
      <w:pPr>
        <w:tabs>
          <w:tab w:pos="8787" w:val="right" w:leader="dot"/>
        </w:tabs>
        <w:spacing w:after="60"/>
        <w:ind w:left="0" w:firstLine="0"/>
      </w:pPr>
      <w:r>
        <w:rPr>
          <w:rFonts w:ascii="Times New Roman" w:hAnsi="Times New Roman" w:eastAsia="黑体"/>
          <w:b/>
          <w:color w:val="000000"/>
          <w:sz w:val="22"/>
        </w:rPr>
        <w:t>参考文献</w:t>
        <w:tab/>
        <w:t>15</w:t>
      </w:r>
    </w:p>
    <w:p>
      <w:pPr>
        <w:tabs>
          <w:tab w:pos="8787" w:val="right" w:leader="dot"/>
        </w:tabs>
        <w:spacing w:after="60"/>
        <w:ind w:left="0" w:firstLine="0"/>
      </w:pPr>
      <w:r>
        <w:rPr>
          <w:rFonts w:ascii="Times New Roman" w:hAnsi="Times New Roman" w:eastAsia="黑体"/>
          <w:b/>
          <w:color w:val="000000"/>
          <w:sz w:val="22"/>
        </w:rPr>
        <w:t>附录</w:t>
        <w:tab/>
        <w:t>16</w:t>
      </w:r>
    </w:p>
    <w:p>
      <w:pPr>
        <w:pStyle w:val="AbstractText"/>
        <w:spacing w:before="100"/>
      </w:pPr>
      <w:r>
        <w:rPr>
          <w:rFonts w:ascii="Times New Roman" w:hAnsi="Times New Roman" w:eastAsia="宋体"/>
          <w:color w:val="4B5563"/>
          <w:sz w:val="19"/>
        </w:rPr>
        <w:t>目录应使用 Word 标题样式自动生成。定稿前执行更新整个目录，不要手工输入点线和页码。</w:t>
      </w:r>
    </w:p>
    <w:p>
      <w:r>
        <w:br w:type="page"/>
      </w:r>
    </w:p>
    <w:p>
      <w:pPr>
        <w:pStyle w:val="Heading1"/>
      </w:pPr>
      <w:r>
        <w:t>1 问题重述</w:t>
      </w:r>
    </w:p>
    <w:p>
      <w:pPr/>
      <w:r>
        <w:rPr>
          <w:rFonts w:ascii="Times New Roman" w:hAnsi="Times New Roman" w:eastAsia="宋体"/>
          <w:color w:val="000000"/>
          <w:sz w:val="22"/>
        </w:rPr>
        <w:t>问题重述应使用自己的语言说明给定数据、研究对象、约束条件和需要输出的结果，不逐句复制题目，也不提前加入尚未论证的模型假设。每一问最好形成清楚的输入和输出定义。</w:t>
      </w:r>
    </w:p>
    <w:p>
      <w:pPr>
        <w:pStyle w:val="Heading1"/>
      </w:pPr>
      <w:r>
        <w:t>2 问题分析</w:t>
      </w:r>
    </w:p>
    <w:p>
      <w:pPr/>
      <w:r>
        <w:rPr>
          <w:rFonts w:ascii="Times New Roman" w:hAnsi="Times New Roman" w:eastAsia="宋体"/>
          <w:color w:val="000000"/>
          <w:sz w:val="22"/>
        </w:rPr>
        <w:t>问题分析应回答任务类型、核心困难、拆解方式、方法选择理由以及各问之间的接口。推荐写成一条可检验的逻辑链：数据条件决定需要怎样的预处理，现实机制决定采用什么状态变量，任务要求决定目标函数和约束，证据要求决定验证设计。</w:t>
      </w:r>
    </w:p>
    <w:p>
      <w:pPr>
        <w:pStyle w:val="Heading1"/>
      </w:pPr>
      <w:r>
        <w:t>3 模型假设与符号说明</w:t>
      </w:r>
    </w:p>
    <w:p>
      <w:pPr>
        <w:pStyle w:val="Heading2"/>
      </w:pPr>
      <w:r>
        <w:t>3.1 模型假设</w:t>
      </w:r>
    </w:p>
    <w:p>
      <w:pPr>
        <w:ind w:left="397" w:hanging="397"/>
      </w:pPr>
      <w:r>
        <w:rPr>
          <w:rFonts w:ascii="Times New Roman" w:hAnsi="Times New Roman" w:eastAsia="宋体"/>
          <w:color w:val="000000"/>
          <w:sz w:val="22"/>
        </w:rPr>
        <w:t>假设一  在研究时间窗内，关键边界条件保持稳定；该假设用于固定约束范围，可能低估突发变化。</w:t>
      </w:r>
    </w:p>
    <w:p>
      <w:pPr>
        <w:ind w:left="397" w:hanging="397"/>
      </w:pPr>
      <w:r>
        <w:rPr>
          <w:rFonts w:ascii="Times New Roman" w:hAnsi="Times New Roman" w:eastAsia="宋体"/>
          <w:color w:val="000000"/>
          <w:sz w:val="22"/>
        </w:rPr>
        <w:t>假设二  各数据源经过时间与空间对齐后可以共同表征研究对象；对齐误差将在敏感性分析中评估。</w:t>
      </w:r>
    </w:p>
    <w:p>
      <w:pPr>
        <w:ind w:left="397" w:hanging="397"/>
      </w:pPr>
      <w:r>
        <w:rPr>
          <w:rFonts w:ascii="Times New Roman" w:hAnsi="Times New Roman" w:eastAsia="宋体"/>
          <w:color w:val="000000"/>
          <w:sz w:val="22"/>
        </w:rPr>
        <w:t>假设三  候选路径均满足不可通行区域约束；优化仅在可行域内比较风险与效率。</w:t>
      </w:r>
    </w:p>
    <w:p>
      <w:pPr>
        <w:pStyle w:val="Heading2"/>
      </w:pPr>
      <w:r>
        <w:t>3.2 符号说明</w:t>
      </w:r>
    </w:p>
    <w:p>
      <w:pPr>
        <w:pStyle w:val="TableCaption"/>
      </w:pPr>
      <w:r>
        <w:t>表 3  核心符号及含义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符号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含义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before="0" w:after="0" w:line="276" w:lineRule="auto"/>
            </w:pPr>
            <w:r>
              <w:rPr>
                <w:rFonts w:ascii="Arial" w:hAnsi="Arial" w:eastAsia="黑体"/>
                <w:b/>
                <w:color w:val="000000"/>
                <w:sz w:val="19"/>
              </w:rPr>
              <w:t>单位或范围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x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决策变量或候选路径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按问题定义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R(x)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路径 x 的综合风险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无量纲或标准化分数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E(x)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路径 x 的效率代价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时间或距离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α  β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风险与效率的权衡系数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非负且经敏感性分析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Ω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满足全部硬约束的可行域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集合</w:t>
            </w:r>
          </w:p>
        </w:tc>
      </w:tr>
    </w:tbl>
    <w:p>
      <w:pPr>
        <w:pStyle w:val="Heading1"/>
      </w:pPr>
      <w:r>
        <w:t>4 数据预处理</w:t>
      </w:r>
    </w:p>
    <w:p>
      <w:pPr/>
      <w:r>
        <w:rPr>
          <w:rFonts w:ascii="Times New Roman" w:hAnsi="Times New Roman" w:eastAsia="宋体"/>
          <w:color w:val="000000"/>
          <w:sz w:val="22"/>
        </w:rPr>
        <w:t>本节应依次说明数据来源、字段与单位、缺失和异常处理规则、时间空间对齐、重采样、标准化及训练验证划分。所有阈值和参数都要给出依据；由训练数据估计的均值、方差、编码器和特征筛选规则不能使用测试信息。</w:t>
      </w:r>
    </w:p>
    <w:p>
      <w:pPr>
        <w:pStyle w:val="Heading1"/>
      </w:pPr>
      <w:r>
        <w:t>5 模型建立与求解</w:t>
      </w:r>
    </w:p>
    <w:p>
      <w:pPr>
        <w:pStyle w:val="Heading2"/>
      </w:pPr>
      <w:r>
        <w:t>5.1 风险评估模型</w:t>
      </w:r>
    </w:p>
    <w:p>
      <w:pPr/>
      <w:r>
        <w:rPr>
          <w:rFonts w:ascii="Times New Roman" w:hAnsi="Times New Roman" w:eastAsia="宋体"/>
          <w:color w:val="000000"/>
          <w:sz w:val="22"/>
        </w:rPr>
        <w:t>先解释现实含义，再给出变量、目标函数和约束。公式出现前说明为什么这样建立，公式出现后逐项解释变量、参数来源、量纲和求解方法。</w:t>
      </w:r>
    </w:p>
    <w:p>
      <w:pPr>
        <w:pStyle w:val="Equation"/>
        <w:tabs>
          <w:tab w:pos="4535" w:val="center"/>
          <w:tab w:pos="8957" w:val="right"/>
        </w:tabs>
      </w:pPr>
      <w:r>
        <w:tab/>
      </w:r>
      <m:oMath>
        <m:r>
          <m:rPr>
            <m:sty m:val="p"/>
          </m:rPr>
          <m:t xml:space="preserve">min  J(x) = α R(x) + β E(x),    x ∈ Ω</m:t>
        </m:r>
      </m:oMath>
      <w:r>
        <w:rPr>
          <w:rFonts w:ascii="Times New Roman" w:hAnsi="Times New Roman" w:eastAsia="宋体"/>
          <w:color w:val="000000"/>
          <w:sz w:val="21"/>
        </w:rPr>
        <w:tab/>
        <w:t>(1)</w:t>
      </w:r>
    </w:p>
    <w:p>
      <w:pPr/>
      <w:r>
        <w:rPr>
          <w:rFonts w:ascii="Times New Roman" w:hAnsi="Times New Roman" w:eastAsia="宋体"/>
          <w:color w:val="000000"/>
          <w:sz w:val="22"/>
        </w:rPr>
        <w:t>式中，R(x) 表示综合风险，E(x) 表示效率代价，α 和 β 控制二者的权衡，Ω 为满足不可通行区域、资源上限和边界条件的可行域。权重不应只给单一经验值，应通过情景或敏感性分析说明结论是否稳定。</w:t>
      </w:r>
    </w:p>
    <w:p>
      <w:pPr>
        <w:pStyle w:val="Equation"/>
        <w:tabs>
          <w:tab w:pos="4535" w:val="center"/>
          <w:tab w:pos="8957" w:val="right"/>
        </w:tabs>
      </w:pPr>
      <w:r>
        <w:tab/>
      </w:r>
      <m:oMath>
        <m:r>
          <m:rPr>
            <m:sty m:val="p"/>
          </m:rPr>
          <m:t xml:space="preserve">wᵢ = exp(-dᵢ / σ) / Σⱼ exp(-dⱼ / σ)</m:t>
        </m:r>
      </m:oMath>
      <w:r>
        <w:rPr>
          <w:rFonts w:ascii="Times New Roman" w:hAnsi="Times New Roman" w:eastAsia="宋体"/>
          <w:color w:val="000000"/>
          <w:sz w:val="21"/>
        </w:rPr>
        <w:tab/>
        <w:t>(2)</w:t>
      </w:r>
    </w:p>
    <w:p>
      <w:pPr/>
      <w:r>
        <w:rPr>
          <w:rFonts w:ascii="Times New Roman" w:hAnsi="Times New Roman" w:eastAsia="宋体"/>
          <w:color w:val="000000"/>
          <w:sz w:val="22"/>
        </w:rPr>
        <w:t>距离权重的定义应与空间尺度一致。若不同变量量纲差异明显，应先标准化再进行加权，避免数值尺度替代实际重要性。</w:t>
      </w:r>
    </w:p>
    <w:p>
      <w:pPr>
        <w:pStyle w:val="Heading2"/>
      </w:pPr>
      <w:r>
        <w:t>5.2 总体技术路线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16000" cy="1747200"/>
            <wp:docPr id="1" name="Picture 1" title="多源数据到决策的主信息流" descr="多源原始数据依次经过时空对齐、特征构建和风险评估，最终进入优化与验证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at_sampl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7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 1  多源数据从预处理到决策验证的主信息流</w:t>
      </w:r>
    </w:p>
    <w:p>
      <w:pPr/>
      <w:r>
        <w:rPr>
          <w:rFonts w:ascii="Times New Roman" w:hAnsi="Times New Roman" w:eastAsia="宋体"/>
          <w:color w:val="000000"/>
          <w:sz w:val="22"/>
        </w:rPr>
        <w:t>技术路线图应突出输入、核心变换、中间状态、输出和验证。颜色用于区分对象类型或阶段，箭头只表达真实的信息流、作用关系或迭代关系，不用装饰性图标替代文字。</w:t>
      </w:r>
    </w:p>
    <w:p>
      <w:pPr>
        <w:pStyle w:val="Heading1"/>
      </w:pPr>
      <w:r>
        <w:t>6 结果分析与模型验证</w:t>
      </w:r>
    </w:p>
    <w:p>
      <w:pPr/>
      <w:r>
        <w:rPr>
          <w:rFonts w:ascii="Times New Roman" w:hAnsi="Times New Roman" w:eastAsia="宋体"/>
          <w:color w:val="000000"/>
          <w:sz w:val="22"/>
        </w:rPr>
        <w:t>结果部分按照结果、对比、误差或不确定性、现实含义和适用边界展开。表格给精确数值，图展示趋势与结构；正文必须说明图表支持了哪条结论，而不是重复所有数字。</w:t>
      </w:r>
    </w:p>
    <w:p>
      <w:pPr>
        <w:pStyle w:val="TableCaption"/>
        <w:pageBreakBefore/>
      </w:pPr>
      <w:r>
        <w:t>表 4  模型对比结果的排版示例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before="0" w:after="0" w:line="276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误差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稳定性指标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F4E79"/>
          </w:tcPr>
          <w:p>
            <w:pPr>
              <w:spacing w:before="0" w:after="0" w:line="276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基线模型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0.184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0.72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用于确认复杂模型是否真正带来改善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改进模型 A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0.151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0.81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A"/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引入空间约束</w:t>
            </w:r>
          </w:p>
        </w:tc>
      </w:tr>
      <w:tr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改进模型 B</w:t>
            </w:r>
          </w:p>
        </w:tc>
        <w:tc>
          <w:tcPr>
            <w:tcW w:type="dxa" w:w="124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0.138</w:t>
            </w:r>
          </w:p>
        </w:tc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0.86</w:t>
            </w:r>
          </w:p>
        </w:tc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同时引入空间约束和不确定性校准</w:t>
            </w:r>
          </w:p>
        </w:tc>
      </w:tr>
    </w:tbl>
    <w:p>
      <w:pPr>
        <w:pStyle w:val="AbstractText"/>
        <w:spacing w:before="60"/>
      </w:pPr>
      <w:r>
        <w:rPr>
          <w:rFonts w:ascii="Times New Roman" w:hAnsi="Times New Roman" w:eastAsia="宋体"/>
          <w:color w:val="4B5563"/>
          <w:sz w:val="19"/>
        </w:rPr>
        <w:t>注  表中数值仅用于展示小数位、对齐和说明列的排版方式，不代表真实实验结果。</w:t>
      </w:r>
    </w:p>
    <w:p>
      <w:pPr>
        <w:pStyle w:val="Heading2"/>
      </w:pPr>
      <w:r>
        <w:t>6.1 图表引用示例</w:t>
      </w:r>
    </w:p>
    <w:p>
      <w:pPr/>
      <w:r>
        <w:rPr>
          <w:rFonts w:ascii="Times New Roman" w:hAnsi="Times New Roman" w:eastAsia="宋体"/>
          <w:color w:val="000000"/>
          <w:sz w:val="22"/>
        </w:rPr>
        <w:t>图 1 展示了多源信息从输入到决策的主路径。与将所有公式和中间图堆叠在同一张总图相比，分阶段结构使输入、模型状态和验证关系更加清楚。该图只承担总体逻辑说明，具体参数与结果应分别放在公式、表格和结果图中。</w:t>
      </w:r>
    </w:p>
    <w:p>
      <w:pPr>
        <w:pStyle w:val="Heading2"/>
      </w:pPr>
      <w:r>
        <w:t>6.2 验证内容</w:t>
      </w:r>
    </w:p>
    <w:p>
      <w:pPr/>
      <w:r>
        <w:rPr>
          <w:rFonts w:ascii="Times New Roman" w:hAnsi="Times New Roman" w:eastAsia="宋体"/>
          <w:color w:val="000000"/>
          <w:sz w:val="22"/>
        </w:rPr>
        <w:t>至少说明数据划分、合理基线、评价指标、稳定性或鲁棒性测试和失效案例。使用显著、最优、准确、泛化和鲁棒等词时，必须给出相应证据、比较范围和适用条件。</w:t>
      </w:r>
    </w:p>
    <w:p>
      <w:pPr>
        <w:pStyle w:val="Heading1"/>
      </w:pPr>
      <w:r>
        <w:t>7 模型评价与推广</w:t>
      </w:r>
    </w:p>
    <w:p>
      <w:pPr/>
      <w:r>
        <w:rPr>
          <w:rFonts w:ascii="Times New Roman" w:hAnsi="Times New Roman" w:eastAsia="宋体"/>
          <w:color w:val="000000"/>
          <w:sz w:val="22"/>
        </w:rPr>
        <w:t>优点必须对应正文中已经展示的证据；局限应说明数据、假设、计算量、可解释性或外推边界；改进方向应直接针对局限。推广时要区分可以复用的结构和必须重新估计的参数。</w:t>
      </w:r>
    </w:p>
    <w:p>
      <w:pPr>
        <w:pStyle w:val="Heading1"/>
      </w:pPr>
      <w:r>
        <w:t>参考文献</w:t>
      </w:r>
    </w:p>
    <w:p>
      <w:pPr>
        <w:pStyle w:val="Reference"/>
      </w:pPr>
      <w:r>
        <w:rPr>
          <w:rFonts w:ascii="Times New Roman" w:hAnsi="Times New Roman" w:eastAsia="宋体"/>
          <w:color w:val="000000"/>
          <w:sz w:val="21"/>
        </w:rPr>
        <w:t>[1] 作者. 题名[J]. 期刊名, 年, 卷(期): 起止页码.</w:t>
      </w:r>
    </w:p>
    <w:p>
      <w:pPr>
        <w:pStyle w:val="Reference"/>
      </w:pPr>
      <w:r>
        <w:rPr>
          <w:rFonts w:ascii="Times New Roman" w:hAnsi="Times New Roman" w:eastAsia="宋体"/>
          <w:color w:val="000000"/>
          <w:sz w:val="21"/>
        </w:rPr>
        <w:t>[2] Author A, Author B. Article title[J]. Journal Name, Year, Volume(Issue): Pages.</w:t>
      </w:r>
    </w:p>
    <w:p>
      <w:pPr>
        <w:pStyle w:val="Reference"/>
      </w:pPr>
      <w:r>
        <w:rPr>
          <w:rFonts w:ascii="Times New Roman" w:hAnsi="Times New Roman" w:eastAsia="宋体"/>
          <w:color w:val="000000"/>
          <w:sz w:val="21"/>
        </w:rPr>
        <w:t>[3] 机构名称. 报告名称[R/OL]. 发布地: 发布机构, 年. 访问日期和网址.</w:t>
      </w:r>
    </w:p>
    <w:p>
      <w:pPr>
        <w:pStyle w:val="Reference"/>
      </w:pPr>
      <w:r>
        <w:rPr>
          <w:rFonts w:ascii="Times New Roman" w:hAnsi="Times New Roman" w:eastAsia="宋体"/>
          <w:color w:val="000000"/>
          <w:sz w:val="21"/>
        </w:rPr>
        <w:t>[4] 作者. 书名[M]. 版次. 出版地: 出版社, 年.</w:t>
      </w:r>
    </w:p>
    <w:p>
      <w:pPr>
        <w:pStyle w:val="Heading1"/>
      </w:pPr>
      <w:r>
        <w:t>附录</w:t>
      </w:r>
    </w:p>
    <w:p>
      <w:pPr>
        <w:pStyle w:val="Heading2"/>
      </w:pPr>
      <w:r>
        <w:t>附录 A 核心代码和参数</w:t>
      </w:r>
    </w:p>
    <w:p>
      <w:pPr/>
      <w:r>
        <w:rPr>
          <w:rFonts w:ascii="Times New Roman" w:hAnsi="Times New Roman" w:eastAsia="宋体"/>
          <w:color w:val="000000"/>
          <w:sz w:val="22"/>
        </w:rPr>
        <w:t>附录放置影响复现但会打断正文的核心代码、数据字典、补充推导和参数表。正文应明确引用附录位置；附录不能替代正文中必要的模型说明。代码应保留文件名、运行环境、随机种子和输入输出说明。</w:t>
      </w:r>
    </w:p>
    <w:p>
      <w:pPr>
        <w:pStyle w:val="Heading1"/>
        <w:pageBreakBefore/>
      </w:pPr>
      <w:r>
        <w:t>提交前格式检查</w:t>
      </w:r>
    </w:p>
    <w:p>
      <w:pPr>
        <w:spacing w:after="60"/>
        <w:ind w:left="170" w:firstLine="0"/>
      </w:pPr>
      <w:r>
        <w:rPr>
          <w:rFonts w:ascii="Arial" w:hAnsi="Arial" w:eastAsia="微软雅黑"/>
          <w:color w:val="000000"/>
          <w:sz w:val="21"/>
        </w:rPr>
        <w:t>□ 已按当届官方要求核对封面、编号、匿名、页数和文件命名</w:t>
      </w:r>
    </w:p>
    <w:p>
      <w:pPr>
        <w:spacing w:after="60"/>
        <w:ind w:left="170" w:firstLine="0"/>
      </w:pPr>
      <w:r>
        <w:rPr>
          <w:rFonts w:ascii="Arial" w:hAnsi="Arial" w:eastAsia="微软雅黑"/>
          <w:color w:val="000000"/>
          <w:sz w:val="21"/>
        </w:rPr>
        <w:t>□ 标题层级不超过三级，目录由标题样式自动生成并已更新</w:t>
      </w:r>
    </w:p>
    <w:p>
      <w:pPr>
        <w:spacing w:after="60"/>
        <w:ind w:left="170" w:firstLine="0"/>
      </w:pPr>
      <w:r>
        <w:rPr>
          <w:rFonts w:ascii="Arial" w:hAnsi="Arial" w:eastAsia="微软雅黑"/>
          <w:color w:val="000000"/>
          <w:sz w:val="21"/>
        </w:rPr>
        <w:t>□ 正文、英文、数字、公式、图题、表题和参考文献字体统一</w:t>
      </w:r>
    </w:p>
    <w:p>
      <w:pPr>
        <w:spacing w:after="60"/>
        <w:ind w:left="170" w:firstLine="0"/>
      </w:pPr>
      <w:r>
        <w:rPr>
          <w:rFonts w:ascii="Arial" w:hAnsi="Arial" w:eastAsia="微软雅黑"/>
          <w:color w:val="000000"/>
          <w:sz w:val="21"/>
        </w:rPr>
        <w:t>□ 图表按首次引用顺序编号，正文解释了每张图表的论证作用</w:t>
      </w:r>
    </w:p>
    <w:p>
      <w:pPr>
        <w:spacing w:after="60"/>
        <w:ind w:left="170" w:firstLine="0"/>
      </w:pPr>
      <w:r>
        <w:rPr>
          <w:rFonts w:ascii="Arial" w:hAnsi="Arial" w:eastAsia="微软雅黑"/>
          <w:color w:val="000000"/>
          <w:sz w:val="21"/>
        </w:rPr>
        <w:t>□ 坐标、单位、图例、样本范围、误差类型和数据来源完整</w:t>
      </w:r>
    </w:p>
    <w:p>
      <w:pPr>
        <w:spacing w:after="60"/>
        <w:ind w:left="170" w:firstLine="0"/>
      </w:pPr>
      <w:r>
        <w:rPr>
          <w:rFonts w:ascii="Arial" w:hAnsi="Arial" w:eastAsia="微软雅黑"/>
          <w:color w:val="000000"/>
          <w:sz w:val="21"/>
        </w:rPr>
        <w:t>□ 公式变量首次出现即定义，公式编号连续且正文有引用</w:t>
      </w:r>
    </w:p>
    <w:p>
      <w:pPr>
        <w:spacing w:after="60"/>
        <w:ind w:left="170" w:firstLine="0"/>
      </w:pPr>
      <w:r>
        <w:rPr>
          <w:rFonts w:ascii="Arial" w:hAnsi="Arial" w:eastAsia="微软雅黑"/>
          <w:color w:val="000000"/>
          <w:sz w:val="21"/>
        </w:rPr>
        <w:t>□ 表格未跨页断开关键行，表头在续页重复，小数位和单位一致</w:t>
      </w:r>
    </w:p>
    <w:p>
      <w:pPr>
        <w:spacing w:after="60"/>
        <w:ind w:left="170" w:firstLine="0"/>
      </w:pPr>
      <w:r>
        <w:rPr>
          <w:rFonts w:ascii="Arial" w:hAnsi="Arial" w:eastAsia="微软雅黑"/>
          <w:color w:val="000000"/>
          <w:sz w:val="21"/>
        </w:rPr>
        <w:t>□ 参考文献在正文中均有引用，正文引用与文后条目一一对应</w:t>
      </w:r>
    </w:p>
    <w:p>
      <w:pPr>
        <w:spacing w:after="60"/>
        <w:ind w:left="170" w:firstLine="0"/>
      </w:pPr>
      <w:r>
        <w:rPr>
          <w:rFonts w:ascii="Arial" w:hAnsi="Arial" w:eastAsia="微软雅黑"/>
          <w:color w:val="000000"/>
          <w:sz w:val="21"/>
        </w:rPr>
        <w:t>□ PDF 导出后逐页检查了空白页、孤行、重叠、模糊图片和字体替换</w:t>
      </w:r>
    </w:p>
    <w:p>
      <w:pPr>
        <w:spacing w:after="60"/>
        <w:ind w:left="170" w:firstLine="0"/>
      </w:pPr>
      <w:r>
        <w:rPr>
          <w:rFonts w:ascii="Arial" w:hAnsi="Arial" w:eastAsia="微软雅黑"/>
          <w:color w:val="000000"/>
          <w:sz w:val="21"/>
        </w:rPr>
        <w:t>□ 文件属性、图片、附录代码和路径中没有泄露匿名信息</w:t>
      </w:r>
    </w:p>
    <w:p>
      <w:pPr>
        <w:pStyle w:val="Heading2"/>
      </w:pPr>
      <w:r>
        <w:t>推荐交稿顺序</w:t>
      </w:r>
    </w:p>
    <w:p>
      <w:pPr/>
      <w:r>
        <w:rPr>
          <w:rFonts w:ascii="Times New Roman" w:hAnsi="Times New Roman" w:eastAsia="宋体"/>
          <w:color w:val="000000"/>
          <w:sz w:val="22"/>
        </w:rPr>
        <w:t>先冻结正文和数据版本，再统一更新目录、图表编号、公式编号和交叉引用；随后导出 PDF 并逐页检查；最后复制一份只读归档，保留 Word 源文件、绘图脚本、数据版本和提交版 PDF。若官方系统会再次转换文件，应在上传后下载回看，确认分页和字体没有变化。</w:t>
      </w:r>
    </w:p>
    <w:sectPr w:rsidR="00FC693F" w:rsidRPr="0006063C" w:rsidSect="00034616">
      <w:footerReference w:type="default" r:id="rId9"/>
      <w:pgSz w:w="11906" w:h="16838"/>
      <w:pgMar w:top="1361" w:right="147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4B556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440"/>
      <w:jc w:val="both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76" w:lineRule="auto"/>
      <w:ind w:firstLine="0"/>
      <w:jc w:val="left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76" w:lineRule="auto"/>
      <w:ind w:firstLine="0"/>
      <w:jc w:val="left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ind w:firstLine="0"/>
      <w:jc w:val="left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760"/>
      <w:contextualSpacing/>
      <w:jc w:val="center"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Text">
    <w:name w:val="Subtitle Text"/>
    <w:pPr>
      <w:spacing w:line="300" w:lineRule="auto" w:before="0" w:after="0"/>
      <w:ind w:firstLine="0"/>
      <w:jc w:val="center"/>
    </w:pPr>
    <w:rPr>
      <w:rFonts w:ascii="Arial" w:hAnsi="Arial" w:eastAsia="宋体"/>
      <w:b w:val="0"/>
      <w:color w:val="000000"/>
      <w:sz w:val="22"/>
    </w:rPr>
  </w:style>
  <w:style w:type="paragraph" w:customStyle="1" w:styleId="PaperTitle">
    <w:name w:val="Paper Title"/>
    <w:pPr>
      <w:keepNext/>
      <w:spacing w:line="300" w:lineRule="auto" w:before="160" w:after="280"/>
      <w:ind w:firstLine="0"/>
      <w:jc w:val="center"/>
    </w:pPr>
    <w:rPr>
      <w:rFonts w:ascii="Arial" w:hAnsi="Arial" w:eastAsia="黑体"/>
      <w:b w:val="0"/>
      <w:color w:val="000000"/>
      <w:sz w:val="36"/>
    </w:rPr>
  </w:style>
  <w:style w:type="paragraph" w:customStyle="1" w:styleId="AbstractText">
    <w:name w:val="Abstract Text"/>
    <w:pPr>
      <w:spacing w:line="300" w:lineRule="auto" w:before="0" w:after="0"/>
      <w:ind w:firstLine="0"/>
      <w:jc w:val="both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TableCaption">
    <w:name w:val="Table Caption"/>
    <w:pPr>
      <w:keepNext/>
      <w:spacing w:line="300" w:lineRule="auto" w:before="0" w:after="80"/>
      <w:ind w:firstLine="0"/>
      <w:jc w:val="center"/>
    </w:pPr>
    <w:rPr>
      <w:rFonts w:ascii="Times New Roman" w:hAnsi="Times New Roman" w:eastAsia="宋体"/>
      <w:b w:val="0"/>
      <w:color w:val="000000"/>
      <w:sz w:val="20"/>
    </w:rPr>
  </w:style>
  <w:style w:type="paragraph" w:customStyle="1" w:styleId="FigureCaption">
    <w:name w:val="Figure Caption"/>
    <w:pPr>
      <w:spacing w:line="300" w:lineRule="auto" w:before="0" w:after="80"/>
      <w:ind w:firstLine="0"/>
      <w:jc w:val="center"/>
    </w:pPr>
    <w:rPr>
      <w:rFonts w:ascii="Times New Roman" w:hAnsi="Times New Roman" w:eastAsia="宋体"/>
      <w:b w:val="0"/>
      <w:color w:val="000000"/>
      <w:sz w:val="20"/>
    </w:rPr>
  </w:style>
  <w:style w:type="paragraph" w:customStyle="1" w:styleId="Equation">
    <w:name w:val="Equation"/>
    <w:pPr>
      <w:spacing w:line="300" w:lineRule="auto" w:before="0" w:after="0"/>
      <w:ind w:firstLine="0"/>
      <w:jc w:val="left"/>
    </w:pPr>
    <w:rPr>
      <w:rFonts w:ascii="Times New Roman" w:hAnsi="Times New Roman" w:eastAsia="宋体"/>
      <w:b w:val="0"/>
      <w:color w:val="000000"/>
      <w:sz w:val="21"/>
    </w:rPr>
  </w:style>
  <w:style w:type="paragraph" w:customStyle="1" w:styleId="Reference">
    <w:name w:val="Reference"/>
    <w:pPr>
      <w:spacing w:line="300" w:lineRule="auto" w:before="0" w:after="60"/>
      <w:ind w:left="420" w:hanging="420"/>
      <w:jc w:val="both"/>
    </w:pPr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数学建模竞赛论文格式规范与可编辑示例</dc:title>
  <dc:subject>数学建模竞赛论文排版</dc:subject>
  <dc:creator/>
  <cp:keywords>数学建模, 论文格式, Word模板, 图表, 公式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