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/>
        <w:ind w:firstLine="5242"/>
        <w:rPr>
          <w:rFonts w:ascii="Times New Roman" w:hAnsi="Times New Roman" w:eastAsia="標楷體"/>
          <w:sz w:val="36"/>
          <w:szCs w:val="36"/>
        </w:rPr>
      </w:pPr>
      <w:r>
        <w:rPr>
          <w:rFonts w:ascii="Times New Roman" w:hAnsi="Times New Roman" w:eastAsia="標楷體"/>
          <w:sz w:val="36"/>
          <w:szCs w:val="36"/>
        </w:rPr>
        <w:t>超正齒輪科技有限公司</w:t>
      </w:r>
    </w:p>
    <w:p>
      <w:pPr>
        <w:pStyle w:val="Normal"/>
        <w:spacing w:lineRule="atLeast" w:line="0"/>
        <w:ind w:firstLine="5670"/>
        <w:rPr>
          <w:rFonts w:ascii="Times New Roman" w:hAnsi="Times New Roman" w:eastAsia="標楷體"/>
          <w:sz w:val="36"/>
          <w:szCs w:val="36"/>
        </w:rPr>
      </w:pPr>
      <w:r>
        <w:rPr>
          <w:rFonts w:ascii="Times New Roman" w:hAnsi="Times New Roman" w:eastAsia="標楷體"/>
          <w:sz w:val="36"/>
          <w:szCs w:val="36"/>
        </w:rPr>
        <w:t>組織處境分析表</w:t>
      </w:r>
    </w:p>
    <w:tbl>
      <w:tblPr>
        <w:tblStyle w:val="a7"/>
        <w:tblW w:w="145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5"/>
        <w:gridCol w:w="3228"/>
        <w:gridCol w:w="5303"/>
        <w:gridCol w:w="5301"/>
      </w:tblGrid>
      <w:tr>
        <w:trPr>
          <w:trHeight w:val="461" w:hRule="atLeast"/>
        </w:trPr>
        <w:tc>
          <w:tcPr>
            <w:tcW w:w="396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標楷體"/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6985</wp:posOffset>
                      </wp:positionV>
                      <wp:extent cx="2506980" cy="1470660"/>
                      <wp:effectExtent l="635" t="635" r="635" b="635"/>
                      <wp:wrapNone/>
                      <wp:docPr id="1" name="線條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7040" cy="147060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25pt,0.55pt" to="194.1pt,116.3pt" ID="線條 1" stroked="t" o:allowincell="f" style="position:absolute">
                      <v:stroke color="#3465a4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ascii="Times New Roman" w:hAnsi="Times New Roman" w:cs="" w:eastAsia="標楷體"/>
                <w:kern w:val="2"/>
                <w:sz w:val="28"/>
                <w:szCs w:val="28"/>
                <w:lang w:val="en-US" w:eastAsia="zh-TW" w:bidi="ar-SA"/>
              </w:rPr>
              <w:t>內部問題</w:t>
            </w:r>
          </w:p>
          <w:p>
            <w:pPr>
              <w:pStyle w:val="Normal"/>
              <w:spacing w:before="0" w:after="0"/>
              <w:ind w:firstLine="280"/>
              <w:jc w:val="left"/>
              <w:rPr>
                <w:rFonts w:ascii="Times New Roman" w:hAnsi="Times New Roman" w:eastAsia="標楷體"/>
                <w:sz w:val="28"/>
                <w:szCs w:val="28"/>
              </w:rPr>
            </w:pPr>
            <w:r>
              <w:rPr>
                <w:rFonts w:eastAsia="新細明體" w:cs=""/>
                <w:kern w:val="2"/>
                <w:sz w:val="24"/>
                <w:szCs w:val="22"/>
                <w:lang w:val="en-US" w:eastAsia="zh-TW" w:bidi="ar-SA"/>
              </w:rPr>
            </w:r>
          </w:p>
          <w:p>
            <w:pPr>
              <w:pStyle w:val="Normal"/>
              <w:spacing w:before="0" w:after="0"/>
              <w:ind w:firstLine="280"/>
              <w:jc w:val="left"/>
              <w:rPr>
                <w:rFonts w:ascii="Times New Roman" w:hAnsi="Times New Roman" w:eastAsia="標楷體"/>
                <w:sz w:val="28"/>
                <w:szCs w:val="28"/>
              </w:rPr>
            </w:pPr>
            <w:r>
              <w:rPr>
                <w:rFonts w:eastAsia="新細明體" w:cs=""/>
                <w:kern w:val="2"/>
                <w:sz w:val="24"/>
                <w:szCs w:val="22"/>
                <w:lang w:val="en-US" w:eastAsia="zh-TW" w:bidi="ar-SA"/>
              </w:rPr>
            </w:r>
          </w:p>
          <w:p>
            <w:pPr>
              <w:pStyle w:val="Normal"/>
              <w:spacing w:before="0" w:after="0"/>
              <w:ind w:firstLine="280"/>
              <w:jc w:val="left"/>
              <w:rPr>
                <w:rFonts w:ascii="Times New Roman" w:hAnsi="Times New Roman" w:eastAsia="標楷體"/>
                <w:sz w:val="28"/>
                <w:szCs w:val="28"/>
              </w:rPr>
            </w:pPr>
            <w:r>
              <w:rPr>
                <w:rFonts w:eastAsia="新細明體" w:cs=""/>
                <w:kern w:val="2"/>
                <w:sz w:val="24"/>
                <w:szCs w:val="22"/>
                <w:lang w:val="en-US" w:eastAsia="zh-TW" w:bidi="ar-SA"/>
              </w:rPr>
            </w:r>
          </w:p>
          <w:p>
            <w:pPr>
              <w:pStyle w:val="Normal"/>
              <w:spacing w:before="0" w:after="0"/>
              <w:ind w:firstLine="280"/>
              <w:jc w:val="left"/>
              <w:rPr>
                <w:rFonts w:ascii="Times New Roman" w:hAnsi="Times New Roman" w:eastAsia="標楷體"/>
                <w:sz w:val="28"/>
                <w:szCs w:val="28"/>
              </w:rPr>
            </w:pPr>
            <w:r>
              <w:rPr>
                <w:rFonts w:ascii="Times New Roman" w:hAnsi="Times New Roman" w:cs="" w:eastAsia="標楷體"/>
                <w:kern w:val="2"/>
                <w:sz w:val="28"/>
                <w:szCs w:val="28"/>
                <w:lang w:val="en-US" w:eastAsia="zh-TW" w:bidi="ar-SA"/>
              </w:rPr>
              <w:t>外部問題</w:t>
            </w:r>
          </w:p>
        </w:tc>
        <w:tc>
          <w:tcPr>
            <w:tcW w:w="5303" w:type="dxa"/>
            <w:tcBorders>
              <w:top w:val="single" w:sz="1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>優勢</w:t>
            </w:r>
          </w:p>
        </w:tc>
        <w:tc>
          <w:tcPr>
            <w:tcW w:w="5301" w:type="dxa"/>
            <w:tcBorders>
              <w:top w:val="single" w:sz="12" w:space="0" w:color="000000"/>
              <w:left w:val="single" w:sz="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>劣勢</w:t>
            </w:r>
          </w:p>
        </w:tc>
      </w:tr>
      <w:tr>
        <w:trPr>
          <w:trHeight w:val="1872" w:hRule="atLeast"/>
        </w:trPr>
        <w:tc>
          <w:tcPr>
            <w:tcW w:w="3963" w:type="dxa"/>
            <w:gridSpan w:val="2"/>
            <w:vMerge w:val="continue"/>
            <w:tcBorders>
              <w:left w:val="single" w:sz="1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eastAsia="標楷體" w:cs="" w:ascii="Times New Roman" w:hAnsi="Times New Roman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5303" w:type="dxa"/>
            <w:tcBorders>
              <w:top w:val="doub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擁有豐富的製造經驗與技術能力，能在齒輪設計、製造工藝與品質控制上維持競爭優勢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</w:t>
            </w:r>
          </w:p>
        </w:tc>
        <w:tc>
          <w:tcPr>
            <w:tcW w:w="5301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規模較小的公司資源有限，難以與大型國際齒輪廠在資金、設備、行銷等面向抗衡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</w:t>
            </w:r>
          </w:p>
        </w:tc>
      </w:tr>
      <w:tr>
        <w:trPr>
          <w:trHeight w:val="2329" w:hRule="atLeast"/>
        </w:trPr>
        <w:tc>
          <w:tcPr>
            <w:tcW w:w="735" w:type="dxa"/>
            <w:tcBorders>
              <w:left w:val="single" w:sz="12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>機會</w:t>
            </w:r>
          </w:p>
        </w:tc>
        <w:tc>
          <w:tcPr>
            <w:tcW w:w="3228" w:type="dxa"/>
            <w:tcBorders>
              <w:left w:val="double" w:sz="4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電動車、新能源車、機器人、航太、軌道運輸等新興產業對高精度齒輪需求大增，可積極布局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</w:t>
            </w:r>
          </w:p>
        </w:tc>
        <w:tc>
          <w:tcPr>
            <w:tcW w:w="5303" w:type="dxa"/>
            <w:tcBorders>
              <w:top w:val="single" w:sz="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持續強化製造經驗與技術能力，積極投入自動化、智慧製造（如工業</w:t>
            </w:r>
            <w:r>
              <w:rPr>
                <w:rFonts w:eastAsia="標楷體" w:cs="" w:ascii="fkGroteskNeue;fkGroteskNeue Fallback;ui-sans-serif;system-ui;apple-system;BlinkMacSystemFont;Segoe UI;Roboto;Helvetica Neue;Arial;Noto Sans;sans-serif;Apple Color Emoji;Segoe UI Emoji;Segoe UI Symbol;Noto Color Emoji" w:hAnsi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4.0</w:t>
            </w: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）、先進</w:t>
            </w:r>
            <w:r>
              <w:rPr>
                <w:rFonts w:eastAsia="標楷體" w:cs="" w:ascii="fkGroteskNeue;fkGroteskNeue Fallback;ui-sans-serif;system-ui;apple-system;BlinkMacSystemFont;Segoe UI;Roboto;Helvetica Neue;Arial;Noto Sans;sans-serif;Apple Color Emoji;Segoe UI Emoji;Segoe UI Symbol;Noto Color Emoji" w:hAnsi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CNC</w:t>
            </w: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設備與數位化管理，提升產品品質與生產效率，維持競爭優勢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。</w:t>
            </w:r>
          </w:p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把握電動車、新能源車、機器人、航太、軌道運輸等新興產業對高精度齒輪需求成長的機會，投入相關產品開發與市場布局，並積極參與國際供應鏈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。</w:t>
            </w:r>
          </w:p>
        </w:tc>
        <w:tc>
          <w:tcPr>
            <w:tcW w:w="5301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同業策略聯盟，整合上下游資源，形成產業聚落，共同採購、研發與行銷，提升整體競爭力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。</w:t>
            </w:r>
          </w:p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eastAsia="標楷體" w:cs="" w:ascii="Times New Roman" w:hAnsi="Times New Roman"/>
                <w:kern w:val="2"/>
                <w:sz w:val="24"/>
                <w:szCs w:val="24"/>
                <w:lang w:val="en-US" w:eastAsia="zh-TW" w:bidi="ar-SA"/>
              </w:rPr>
            </w:r>
          </w:p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提升研發與製造能力，因應產業升級與技術創新需求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。</w:t>
            </w:r>
          </w:p>
        </w:tc>
      </w:tr>
      <w:tr>
        <w:trPr>
          <w:trHeight w:val="2295" w:hRule="atLeast"/>
        </w:trPr>
        <w:tc>
          <w:tcPr>
            <w:tcW w:w="735" w:type="dxa"/>
            <w:tcBorders>
              <w:left w:val="single" w:sz="12" w:space="0" w:color="000000"/>
              <w:bottom w:val="single" w:sz="12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>威脅</w:t>
            </w:r>
          </w:p>
        </w:tc>
        <w:tc>
          <w:tcPr>
            <w:tcW w:w="3228" w:type="dxa"/>
            <w:tcBorders>
              <w:left w:val="double" w:sz="4" w:space="0" w:color="000000"/>
              <w:bottom w:val="single" w:sz="1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2"/>
                <w:lang w:val="en-US" w:eastAsia="zh-TW" w:bidi="ar-SA"/>
              </w:rPr>
              <w:t>全球經濟波動、貿易戰或地緣政治風險，影響出口訂單穩定性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2"/>
                <w:lang w:val="en-US" w:eastAsia="zh-TW" w:bidi="ar-SA"/>
              </w:rPr>
              <w:t xml:space="preserve"> </w:t>
            </w:r>
          </w:p>
        </w:tc>
        <w:tc>
          <w:tcPr>
            <w:tcW w:w="5303" w:type="dxa"/>
            <w:tcBorders>
              <w:bottom w:val="single" w:sz="1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 xml:space="preserve">因應全球經濟波動、貿易戰與地緣政治風險，分散市場與客戶結構，降低對單一市場的依賴，提升出口訂單穩定性 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</w:t>
            </w:r>
          </w:p>
        </w:tc>
        <w:tc>
          <w:tcPr>
            <w:tcW w:w="5301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cs="" w:eastAsia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kern w:val="2"/>
                <w:sz w:val="24"/>
                <w:szCs w:val="24"/>
                <w:lang w:val="en-US" w:eastAsia="zh-TW" w:bidi="ar-SA"/>
              </w:rPr>
              <w:t>建立彈性生產與供應鏈管理機制，提升應變能力，減少外部環境變化對營運的影響</w:t>
            </w:r>
            <w:r>
              <w:rPr>
                <w:rFonts w:ascii="Times New Roman" w:hAnsi="Times New Roman" w:cs="" w:eastAsia="標楷體"/>
                <w:kern w:val="2"/>
                <w:sz w:val="24"/>
                <w:szCs w:val="24"/>
                <w:lang w:val="en-US" w:eastAsia="zh-TW" w:bidi="ar-SA"/>
              </w:rPr>
              <w:t xml:space="preserve"> </w:t>
            </w:r>
          </w:p>
        </w:tc>
      </w:tr>
    </w:tbl>
    <w:p>
      <w:pPr>
        <w:pStyle w:val="Normal"/>
        <w:rPr>
          <w:rFonts w:ascii="Times New Roman" w:hAnsi="Times New Roman" w:eastAsia="標楷體"/>
          <w:szCs w:val="24"/>
        </w:rPr>
      </w:pPr>
      <w:r>
        <w:rPr>
          <w:rFonts w:ascii="Times New Roman" w:hAnsi="Times New Roman" w:eastAsia="標楷體"/>
          <w:szCs w:val="24"/>
        </w:rPr>
        <w:t>製表日期：                                 製表者：                                 管理代表</w:t>
      </w:r>
      <w:r>
        <w:rPr>
          <w:rFonts w:ascii="標楷體" w:hAnsi="標楷體" w:eastAsia="標楷體"/>
          <w:szCs w:val="24"/>
        </w:rPr>
        <w:t>：</w:t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440" w:right="820" w:gutter="0" w:header="0" w:top="993" w:footer="1017" w:bottom="107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Calibri Light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新細明體">
    <w:charset w:val="88"/>
    <w:family w:val="roman"/>
    <w:pitch w:val="variable"/>
  </w:font>
  <w:font w:name="Times New Roman">
    <w:charset w:val="88"/>
    <w:family w:val="roman"/>
    <w:pitch w:val="variable"/>
  </w:font>
  <w:font w:name="fkGroteskNeue">
    <w:altName w:val="fkGroteskNeue Fallback"/>
    <w:charset w:val="88"/>
    <w:family w:val="auto"/>
    <w:pitch w:val="default"/>
  </w:font>
  <w:font w:name="標楷體"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  <w:t>2-GM-01-01</w:t>
    </w:r>
  </w:p>
  <w:p>
    <w:pPr>
      <w:pStyle w:val="Footer"/>
      <w:jc w:val="right"/>
      <w:rPr>
        <w:rFonts w:ascii="Times New Roman" w:hAnsi="Times New Roman" w:eastAsia="標楷體"/>
      </w:rPr>
    </w:pPr>
    <w:r>
      <w:rPr>
        <w:rFonts w:eastAsia="標楷體" w:ascii="Times New Roman" w:hAnsi="Times New Roma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  <w:t>2-GM-01-01</w:t>
    </w:r>
  </w:p>
  <w:p>
    <w:pPr>
      <w:pStyle w:val="Footer"/>
      <w:jc w:val="right"/>
      <w:rPr>
        <w:rFonts w:ascii="Times New Roman" w:hAnsi="Times New Roman" w:eastAsia="標楷體"/>
      </w:rPr>
    </w:pPr>
    <w:r>
      <w:rPr>
        <w:rFonts w:eastAsia="標楷體" w:ascii="Times New Roman" w:hAnsi="Times New Roman"/>
      </w:rPr>
    </w:r>
  </w:p>
</w:ft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頁首 字元"/>
    <w:basedOn w:val="DefaultParagraphFont"/>
    <w:qFormat/>
    <w:rsid w:val="001e18f6"/>
    <w:rPr>
      <w:sz w:val="20"/>
      <w:szCs w:val="20"/>
    </w:rPr>
  </w:style>
  <w:style w:type="character" w:styleId="Style15" w:customStyle="1">
    <w:name w:val="頁尾 字元"/>
    <w:basedOn w:val="DefaultParagraphFont"/>
    <w:uiPriority w:val="99"/>
    <w:qFormat/>
    <w:rsid w:val="001e18f6"/>
    <w:rPr>
      <w:sz w:val="20"/>
      <w:szCs w:val="20"/>
    </w:rPr>
  </w:style>
  <w:style w:type="character" w:styleId="Style16" w:customStyle="1">
    <w:name w:val="註解方塊文字 字元"/>
    <w:basedOn w:val="DefaultParagraphFont"/>
    <w:link w:val="BalloonText"/>
    <w:uiPriority w:val="99"/>
    <w:semiHidden/>
    <w:qFormat/>
    <w:rsid w:val="007f5e3c"/>
    <w:rPr>
      <w:rFonts w:ascii="Calibri Light" w:hAnsi="Calibri Light" w:eastAsia="新細明體" w:cs="" w:asciiTheme="majorHAnsi" w:cstheme="majorBidi" w:eastAsiaTheme="majorEastAsia" w:hAnsiTheme="majorHAnsi"/>
      <w:sz w:val="18"/>
      <w:szCs w:val="18"/>
    </w:rPr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Arial Unicode MS"/>
    </w:rPr>
  </w:style>
  <w:style w:type="paragraph" w:styleId="Style19">
    <w:name w:val="頁首與頁尾"/>
    <w:basedOn w:val="Normal"/>
    <w:qFormat/>
    <w:pPr/>
    <w:rPr/>
  </w:style>
  <w:style w:type="paragraph" w:styleId="Header">
    <w:name w:val="header"/>
    <w:basedOn w:val="Normal"/>
    <w:link w:val="Style14"/>
    <w:unhideWhenUsed/>
    <w:rsid w:val="001e18f6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5"/>
    <w:uiPriority w:val="99"/>
    <w:unhideWhenUsed/>
    <w:rsid w:val="001e18f6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ca10a6"/>
    <w:pPr>
      <w:widowControl/>
      <w:ind w:left="480"/>
    </w:pPr>
    <w:rPr>
      <w:rFonts w:ascii="新細明體" w:hAnsi="新細明體" w:eastAsia="新細明體" w:cs="新細明體"/>
      <w:kern w:val="0"/>
      <w:szCs w:val="24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7f5e3c"/>
    <w:pPr/>
    <w:rPr>
      <w:rFonts w:ascii="Calibri Light" w:hAnsi="Calibri Light" w:eastAsia="新細明體" w:cs="" w:asciiTheme="majorHAnsi" w:cstheme="majorBidi" w:eastAsiaTheme="majorEastAsia" w:hAnsiTheme="majorHAnsi"/>
      <w:sz w:val="18"/>
      <w:szCs w:val="18"/>
    </w:rPr>
  </w:style>
  <w:style w:type="numbering" w:styleId="Style20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e31e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F0C33-644F-451D-A004-0B4E5D829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LibreOffice/24.8.6.2$Windows_X86_64 LibreOffice_project/6d98ba145e9a8a39fc57bcc76981d1fb1316c60c</Application>
  <AppVersion>15.0000</AppVersion>
  <Pages>1</Pages>
  <Words>471</Words>
  <Characters>484</Characters>
  <CharactersWithSpaces>563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2020-02-12T03:51:00Z</dcterms:created>
  <dc:creator>ethan99[徐明義]</dc:creator>
  <dc:description/>
  <dc:language>zh-TW</dc:language>
  <cp:lastModifiedBy/>
  <cp:lastPrinted>2020-07-09T06:37:00Z</cp:lastPrinted>
  <dcterms:modified xsi:type="dcterms:W3CDTF">2025-06-04T14:56:25Z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