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tabs>
          <w:tab w:val="left" w:pos="480"/>
        </w:tabs>
        <w:spacing w:line="36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b/>
          <w:color w:val="000000"/>
          <w:sz w:val="22"/>
          <w:szCs w:val="22"/>
          <w:rtl w:val="0"/>
        </w:rPr>
        <w:t>SONALI SHARMA</w:t>
      </w:r>
      <w:r>
        <w:rPr>
          <w:rFonts w:ascii="Arial" w:hAnsi="Arial" w:eastAsia="Arial" w:cs="Arial"/>
          <w:b/>
          <w:color w:val="000000"/>
          <w:sz w:val="22"/>
          <w:szCs w:val="22"/>
          <w:rtl w:val="0"/>
        </w:rPr>
        <w:tab/>
      </w:r>
      <w:r>
        <w:rPr>
          <w:rFonts w:ascii="Arial" w:hAnsi="Arial" w:eastAsia="Arial" w:cs="Arial"/>
          <w:b/>
          <w:color w:val="000000"/>
          <w:sz w:val="22"/>
          <w:szCs w:val="22"/>
          <w:rtl w:val="0"/>
        </w:rPr>
        <w:tab/>
      </w:r>
      <w:r>
        <w:rPr>
          <w:rFonts w:ascii="Arial" w:hAnsi="Arial" w:eastAsia="Arial" w:cs="Arial"/>
          <w:b/>
          <w:color w:val="000000"/>
          <w:sz w:val="22"/>
          <w:szCs w:val="22"/>
          <w:rtl w:val="0"/>
        </w:rPr>
        <w:tab/>
      </w:r>
      <w:r>
        <w:rPr>
          <w:rFonts w:ascii="Arial" w:hAnsi="Arial" w:eastAsia="Arial" w:cs="Arial"/>
          <w:b/>
          <w:color w:val="000000"/>
          <w:sz w:val="22"/>
          <w:szCs w:val="22"/>
          <w:rtl w:val="0"/>
        </w:rPr>
        <w:tab/>
      </w:r>
      <w:r>
        <w:rPr>
          <w:rFonts w:ascii="Arial" w:hAnsi="Arial" w:eastAsia="Arial" w:cs="Arial"/>
          <w:b/>
          <w:color w:val="000000"/>
          <w:sz w:val="22"/>
          <w:szCs w:val="22"/>
          <w:rtl w:val="0"/>
        </w:rPr>
        <w:tab/>
      </w:r>
      <w:r>
        <w:rPr>
          <w:rFonts w:ascii="Arial" w:hAnsi="Arial" w:eastAsia="Arial" w:cs="Arial"/>
          <w:b/>
          <w:color w:val="000000"/>
          <w:sz w:val="22"/>
          <w:szCs w:val="22"/>
          <w:rtl w:val="0"/>
        </w:rPr>
        <w:t xml:space="preserve">            </w:t>
      </w:r>
      <w:r>
        <w:rPr>
          <w:rFonts w:ascii="Noto Sans Symbols" w:hAnsi="Noto Sans Symbols" w:eastAsia="Noto Sans Symbols" w:cs="Noto Sans Symbols"/>
          <w:b/>
          <w:sz w:val="18"/>
          <w:szCs w:val="18"/>
          <w:rtl w:val="0"/>
        </w:rPr>
        <w:t>🖂</w:t>
      </w:r>
      <w:r>
        <w:rPr>
          <w:rFonts w:ascii="Arial" w:hAnsi="Arial" w:eastAsia="Arial" w:cs="Arial"/>
          <w:b/>
          <w:sz w:val="18"/>
          <w:szCs w:val="18"/>
          <w:rtl w:val="0"/>
        </w:rPr>
        <w:t>:</w:t>
      </w:r>
      <w:r>
        <w:rPr>
          <w:rFonts w:ascii="Arial" w:hAnsi="Arial" w:eastAsia="Arial" w:cs="Arial"/>
          <w:sz w:val="18"/>
          <w:szCs w:val="18"/>
          <w:rtl w:val="0"/>
        </w:rPr>
        <w:t xml:space="preserve"> </w:t>
      </w:r>
      <w:r>
        <w:fldChar w:fldCharType="begin"/>
      </w:r>
      <w:r>
        <w:instrText xml:space="preserve"> HYPERLINK "mailto:sonalimsharma@gmail.com" \h </w:instrText>
      </w:r>
      <w:r>
        <w:fldChar w:fldCharType="separate"/>
      </w:r>
      <w:r>
        <w:rPr>
          <w:rFonts w:ascii="Arial" w:hAnsi="Arial" w:eastAsia="Arial" w:cs="Arial"/>
          <w:color w:val="0000FF"/>
          <w:sz w:val="18"/>
          <w:szCs w:val="18"/>
          <w:u w:val="single"/>
          <w:rtl w:val="0"/>
        </w:rPr>
        <w:t>sonalimsharma@gmail.com</w:t>
      </w:r>
      <w:r>
        <w:rPr>
          <w:rFonts w:ascii="Arial" w:hAnsi="Arial" w:eastAsia="Arial" w:cs="Arial"/>
          <w:color w:val="0000FF"/>
          <w:sz w:val="18"/>
          <w:szCs w:val="18"/>
          <w:u w:val="single"/>
          <w:rtl w:val="0"/>
        </w:rPr>
        <w:fldChar w:fldCharType="end"/>
      </w:r>
    </w:p>
    <w:p w14:paraId="00000002">
      <w:pPr>
        <w:tabs>
          <w:tab w:val="left" w:pos="480"/>
        </w:tabs>
        <w:spacing w:line="360" w:lineRule="auto"/>
        <w:rPr>
          <w:rFonts w:ascii="Arial" w:hAnsi="Arial" w:eastAsia="Arial" w:cs="Arial"/>
          <w:b/>
          <w:i/>
          <w:color w:val="000000"/>
          <w:sz w:val="22"/>
          <w:szCs w:val="22"/>
        </w:rPr>
      </w:pPr>
      <w:r>
        <w:rPr>
          <w:rFonts w:ascii="Arial" w:hAnsi="Arial" w:eastAsia="Arial" w:cs="Arial"/>
          <w:sz w:val="18"/>
          <w:szCs w:val="18"/>
          <w:rtl w:val="0"/>
        </w:rPr>
        <w:tab/>
      </w:r>
      <w:r>
        <w:rPr>
          <w:rFonts w:ascii="Arial" w:hAnsi="Arial" w:eastAsia="Arial" w:cs="Arial"/>
          <w:sz w:val="18"/>
          <w:szCs w:val="18"/>
          <w:rtl w:val="0"/>
        </w:rPr>
        <w:tab/>
      </w:r>
      <w:r>
        <w:rPr>
          <w:rFonts w:ascii="Arial" w:hAnsi="Arial" w:eastAsia="Arial" w:cs="Arial"/>
          <w:sz w:val="18"/>
          <w:szCs w:val="18"/>
          <w:rtl w:val="0"/>
        </w:rPr>
        <w:tab/>
      </w:r>
      <w:r>
        <w:rPr>
          <w:rFonts w:ascii="Arial" w:hAnsi="Arial" w:eastAsia="Arial" w:cs="Arial"/>
          <w:sz w:val="18"/>
          <w:szCs w:val="18"/>
          <w:rtl w:val="0"/>
        </w:rPr>
        <w:tab/>
      </w:r>
      <w:r>
        <w:rPr>
          <w:rFonts w:ascii="Arial" w:hAnsi="Arial" w:eastAsia="Arial" w:cs="Arial"/>
          <w:sz w:val="18"/>
          <w:szCs w:val="18"/>
          <w:rtl w:val="0"/>
        </w:rPr>
        <w:tab/>
      </w:r>
      <w:r>
        <w:rPr>
          <w:rFonts w:ascii="Arial" w:hAnsi="Arial" w:eastAsia="Arial" w:cs="Arial"/>
          <w:sz w:val="18"/>
          <w:szCs w:val="18"/>
          <w:rtl w:val="0"/>
        </w:rPr>
        <w:tab/>
      </w:r>
      <w:r>
        <w:rPr>
          <w:rFonts w:ascii="Arial" w:hAnsi="Arial" w:eastAsia="Arial" w:cs="Arial"/>
          <w:sz w:val="18"/>
          <w:szCs w:val="18"/>
          <w:rtl w:val="0"/>
        </w:rPr>
        <w:tab/>
      </w:r>
      <w:r>
        <w:rPr>
          <w:rFonts w:ascii="Arial" w:hAnsi="Arial" w:eastAsia="Arial" w:cs="Arial"/>
          <w:sz w:val="18"/>
          <w:szCs w:val="18"/>
          <w:rtl w:val="0"/>
        </w:rPr>
        <w:tab/>
      </w:r>
      <w:r>
        <w:rPr>
          <w:rFonts w:ascii="Arial" w:hAnsi="Arial" w:eastAsia="Arial" w:cs="Arial"/>
          <w:sz w:val="18"/>
          <w:szCs w:val="18"/>
          <w:rtl w:val="0"/>
        </w:rPr>
        <w:tab/>
      </w:r>
      <w:r>
        <w:rPr>
          <w:rFonts w:ascii="Noto Sans Symbols" w:hAnsi="Noto Sans Symbols" w:eastAsia="Noto Sans Symbols" w:cs="Noto Sans Symbols"/>
          <w:sz w:val="18"/>
          <w:szCs w:val="18"/>
          <w:rtl w:val="0"/>
        </w:rPr>
        <w:t>🕿</w:t>
      </w:r>
      <w:r>
        <w:rPr>
          <w:rFonts w:ascii="Arial" w:hAnsi="Arial" w:eastAsia="Arial" w:cs="Arial"/>
          <w:sz w:val="18"/>
          <w:szCs w:val="18"/>
          <w:rtl w:val="0"/>
        </w:rPr>
        <w:t>:</w:t>
      </w:r>
      <w:r>
        <w:rPr>
          <w:rFonts w:ascii="Arial" w:hAnsi="Arial" w:eastAsia="Arial" w:cs="Arial"/>
          <w:b/>
          <w:sz w:val="18"/>
          <w:szCs w:val="18"/>
          <w:rtl w:val="0"/>
        </w:rPr>
        <w:t xml:space="preserve"> 9960462425</w:t>
      </w:r>
    </w:p>
    <w:p w14:paraId="00000003">
      <w:pPr>
        <w:rPr>
          <w:rFonts w:ascii="Arial" w:hAnsi="Arial" w:eastAsia="Arial" w:cs="Arial"/>
          <w:sz w:val="20"/>
          <w:szCs w:val="20"/>
        </w:rPr>
      </w:pPr>
    </w:p>
    <w:tbl>
      <w:tblPr>
        <w:tblStyle w:val="13"/>
        <w:tblpPr w:leftFromText="180" w:rightFromText="180" w:vertAnchor="text" w:tblpXSpec="left" w:tblpY="55"/>
        <w:tblW w:w="10296" w:type="dxa"/>
        <w:tblInd w:w="-115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96"/>
      </w:tblGrid>
      <w:tr w14:paraId="0F8FC14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80" w:hRule="atLeast"/>
        </w:trPr>
        <w:tc>
          <w:tcPr>
            <w:shd w:val="clear" w:color="auto" w:fill="C0C0C0"/>
            <w:vAlign w:val="center"/>
          </w:tcPr>
          <w:p w14:paraId="00000004">
            <w:pPr>
              <w:rPr>
                <w:rFonts w:ascii="Arial" w:hAnsi="Arial" w:eastAsia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  <w:rtl w:val="0"/>
              </w:rPr>
              <w:t>CAREER OBJECTIVE</w:t>
            </w:r>
          </w:p>
        </w:tc>
      </w:tr>
    </w:tbl>
    <w:p w14:paraId="00000005">
      <w:pPr>
        <w:jc w:val="both"/>
        <w:rPr>
          <w:rFonts w:ascii="Arial" w:hAnsi="Arial" w:eastAsia="Arial" w:cs="Arial"/>
          <w:sz w:val="20"/>
          <w:szCs w:val="20"/>
        </w:rPr>
      </w:pPr>
    </w:p>
    <w:p w14:paraId="00000006">
      <w:pPr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rtl w:val="0"/>
        </w:rPr>
        <w:t>A versatile professional with over 10 years of experience in managing a full spectrum in banking sector, customer service and HR &amp; administration.</w:t>
      </w:r>
    </w:p>
    <w:p w14:paraId="00000007">
      <w:pPr>
        <w:jc w:val="both"/>
        <w:rPr>
          <w:rFonts w:ascii="Arial" w:hAnsi="Arial" w:eastAsia="Arial" w:cs="Arial"/>
          <w:sz w:val="20"/>
          <w:szCs w:val="20"/>
        </w:rPr>
      </w:pPr>
    </w:p>
    <w:tbl>
      <w:tblPr>
        <w:tblStyle w:val="14"/>
        <w:tblW w:w="10276" w:type="dxa"/>
        <w:tblInd w:w="-115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76"/>
      </w:tblGrid>
      <w:tr w14:paraId="47DE39DF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2" w:hRule="atLeast"/>
        </w:trPr>
        <w:tc>
          <w:tcPr>
            <w:tcBorders>
              <w:right w:val="single" w:color="808080" w:sz="6" w:space="0"/>
            </w:tcBorders>
            <w:shd w:val="clear" w:color="auto" w:fill="C0C0C0"/>
            <w:vAlign w:val="bottom"/>
          </w:tcPr>
          <w:p w14:paraId="00000008">
            <w:pPr>
              <w:jc w:val="both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  <w:rtl w:val="0"/>
              </w:rPr>
              <w:t>PROFESSIONAL EXPERIENCE</w:t>
            </w:r>
          </w:p>
        </w:tc>
      </w:tr>
    </w:tbl>
    <w:p w14:paraId="11C6FCEC">
      <w:pPr>
        <w:jc w:val="both"/>
        <w:rPr>
          <w:rFonts w:ascii="Arial" w:hAnsi="Arial" w:eastAsia="Arial" w:cs="Arial"/>
          <w:b/>
          <w:sz w:val="20"/>
          <w:szCs w:val="20"/>
          <w:rtl w:val="0"/>
        </w:rPr>
      </w:pPr>
    </w:p>
    <w:p w14:paraId="0000000A">
      <w:pPr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hint="default" w:ascii="Arial" w:hAnsi="Arial" w:eastAsia="Arial" w:cs="Arial"/>
          <w:b/>
          <w:sz w:val="20"/>
          <w:szCs w:val="20"/>
          <w:rtl w:val="0"/>
          <w:lang w:val="en-US"/>
        </w:rPr>
        <w:t>Branch Banking T</w:t>
      </w:r>
      <w:r>
        <w:rPr>
          <w:rFonts w:ascii="Arial" w:hAnsi="Arial" w:eastAsia="Arial" w:cs="Arial"/>
          <w:b/>
          <w:sz w:val="20"/>
          <w:szCs w:val="20"/>
          <w:rtl w:val="0"/>
        </w:rPr>
        <w:t>eller</w:t>
      </w:r>
    </w:p>
    <w:p w14:paraId="0000000B">
      <w:pPr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  <w:rtl w:val="0"/>
        </w:rPr>
        <w:t>Bank of Baroda - Pune, Maharashtra</w:t>
      </w:r>
    </w:p>
    <w:p w14:paraId="0000000C">
      <w:pPr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  <w:rtl w:val="0"/>
        </w:rPr>
        <w:t>May 2015 to April 2020</w:t>
      </w:r>
    </w:p>
    <w:p w14:paraId="0000000D">
      <w:pPr>
        <w:jc w:val="both"/>
        <w:rPr>
          <w:rFonts w:ascii="Arial" w:hAnsi="Arial" w:eastAsia="Arial" w:cs="Arial"/>
          <w:sz w:val="20"/>
          <w:szCs w:val="20"/>
        </w:rPr>
      </w:pPr>
    </w:p>
    <w:p w14:paraId="0000000E">
      <w:pPr>
        <w:numPr>
          <w:ilvl w:val="0"/>
          <w:numId w:val="1"/>
        </w:numPr>
        <w:spacing w:before="0" w:after="0" w:line="240" w:lineRule="auto"/>
        <w:ind w:left="720" w:right="0" w:hanging="36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rtl w:val="0"/>
        </w:rPr>
        <w:t xml:space="preserve">Assisting customers with processing transactions </w:t>
      </w:r>
      <w:r>
        <w:rPr>
          <w:rFonts w:hint="default" w:ascii="Arial" w:hAnsi="Arial" w:eastAsia="Arial" w:cs="Arial"/>
          <w:sz w:val="20"/>
          <w:szCs w:val="20"/>
          <w:rtl w:val="0"/>
          <w:lang w:val="en-US"/>
        </w:rPr>
        <w:t>pertaining to cash</w:t>
      </w:r>
      <w:r>
        <w:rPr>
          <w:rFonts w:ascii="Arial" w:hAnsi="Arial" w:eastAsia="Arial" w:cs="Arial"/>
          <w:sz w:val="20"/>
          <w:szCs w:val="20"/>
          <w:rtl w:val="0"/>
        </w:rPr>
        <w:t xml:space="preserve"> deposits</w:t>
      </w:r>
      <w:r>
        <w:rPr>
          <w:rFonts w:hint="default" w:ascii="Arial" w:hAnsi="Arial" w:eastAsia="Arial" w:cs="Arial"/>
          <w:sz w:val="20"/>
          <w:szCs w:val="20"/>
          <w:rtl w:val="0"/>
          <w:lang w:val="en-US"/>
        </w:rPr>
        <w:t>,</w:t>
      </w:r>
      <w:r>
        <w:rPr>
          <w:rFonts w:ascii="Arial" w:hAnsi="Arial" w:eastAsia="Arial" w:cs="Arial"/>
          <w:sz w:val="20"/>
          <w:szCs w:val="20"/>
          <w:rtl w:val="0"/>
        </w:rPr>
        <w:t>withdrawals,</w:t>
      </w:r>
      <w:r>
        <w:rPr>
          <w:rFonts w:hint="default" w:ascii="Arial" w:hAnsi="Arial" w:eastAsia="Arial" w:cs="Arial"/>
          <w:sz w:val="20"/>
          <w:szCs w:val="20"/>
          <w:rtl w:val="0"/>
          <w:lang w:val="en-US"/>
        </w:rPr>
        <w:t xml:space="preserve"> DD’s, Cheque deposits, NEFT and RTGS </w:t>
      </w:r>
      <w:r>
        <w:rPr>
          <w:rFonts w:ascii="Arial" w:hAnsi="Arial" w:eastAsia="Arial" w:cs="Arial"/>
          <w:sz w:val="20"/>
          <w:szCs w:val="20"/>
          <w:rtl w:val="0"/>
        </w:rPr>
        <w:t>payments, resolving complaints or account discrepancies and answering questions</w:t>
      </w:r>
      <w:r>
        <w:rPr>
          <w:rFonts w:hint="default" w:ascii="Arial" w:hAnsi="Arial" w:eastAsia="Arial" w:cs="Arial"/>
          <w:sz w:val="20"/>
          <w:szCs w:val="20"/>
          <w:rtl w:val="0"/>
          <w:lang w:val="en-US"/>
        </w:rPr>
        <w:t xml:space="preserve"> and general information</w:t>
      </w:r>
      <w:r>
        <w:rPr>
          <w:rFonts w:ascii="Arial" w:hAnsi="Arial" w:eastAsia="Arial" w:cs="Arial"/>
          <w:sz w:val="20"/>
          <w:szCs w:val="20"/>
          <w:rtl w:val="0"/>
        </w:rPr>
        <w:t>.</w:t>
      </w:r>
    </w:p>
    <w:p w14:paraId="39C3E8D8">
      <w:pPr>
        <w:numPr>
          <w:ilvl w:val="0"/>
          <w:numId w:val="1"/>
        </w:numPr>
        <w:spacing w:before="0" w:after="0" w:line="240" w:lineRule="auto"/>
        <w:ind w:left="720" w:right="0" w:hanging="360"/>
        <w:jc w:val="both"/>
        <w:rPr>
          <w:sz w:val="20"/>
          <w:szCs w:val="20"/>
        </w:rPr>
      </w:pPr>
      <w:r>
        <w:rPr>
          <w:rFonts w:hint="default" w:ascii="Arial" w:hAnsi="Arial" w:eastAsia="Arial" w:cs="Arial"/>
          <w:sz w:val="20"/>
          <w:szCs w:val="20"/>
          <w:rtl w:val="0"/>
          <w:lang w:val="en-US"/>
        </w:rPr>
        <w:t>Cash Management - Cash and non-cash transactional activities.</w:t>
      </w:r>
    </w:p>
    <w:p w14:paraId="0000000F">
      <w:pPr>
        <w:numPr>
          <w:ilvl w:val="0"/>
          <w:numId w:val="1"/>
        </w:numPr>
        <w:ind w:left="720" w:hanging="360"/>
        <w:jc w:val="both"/>
        <w:rPr>
          <w:rFonts w:hint="default" w:ascii="Arial" w:hAnsi="Arial" w:cs="Arial"/>
          <w:sz w:val="20"/>
          <w:szCs w:val="20"/>
          <w:highlight w:val="none"/>
        </w:rPr>
      </w:pPr>
      <w:r>
        <w:rPr>
          <w:rFonts w:ascii="Arial" w:hAnsi="Arial" w:eastAsia="Arial" w:cs="Arial"/>
          <w:sz w:val="20"/>
          <w:szCs w:val="20"/>
          <w:rtl w:val="0"/>
        </w:rPr>
        <w:t>All banking daily operations work, cash handling, Handling customers queries, administration paperwork, daily</w:t>
      </w:r>
      <w:r>
        <w:rPr>
          <w:rFonts w:hint="default" w:ascii="Arial" w:hAnsi="Arial" w:eastAsia="Arial" w:cs="Arial"/>
          <w:sz w:val="20"/>
          <w:szCs w:val="20"/>
          <w:rtl w:val="0"/>
          <w:lang w:val="en-US"/>
        </w:rPr>
        <w:t xml:space="preserve"> branch </w:t>
      </w:r>
      <w:r>
        <w:rPr>
          <w:rFonts w:ascii="Arial" w:hAnsi="Arial" w:eastAsia="Arial" w:cs="Arial"/>
          <w:sz w:val="20"/>
          <w:szCs w:val="20"/>
          <w:rtl w:val="0"/>
        </w:rPr>
        <w:t xml:space="preserve"> operational activities, documentation work</w:t>
      </w:r>
      <w:r>
        <w:rPr>
          <w:rFonts w:hint="default" w:ascii="Arial" w:hAnsi="Arial" w:eastAsia="Arial" w:cs="Arial"/>
          <w:sz w:val="20"/>
          <w:szCs w:val="20"/>
          <w:rtl w:val="0"/>
          <w:lang w:val="en-US"/>
        </w:rPr>
        <w:t xml:space="preserve"> and to </w:t>
      </w:r>
      <w:r>
        <w:rPr>
          <w:rFonts w:hint="default" w:ascii="Arial" w:hAnsi="Arial" w:eastAsia="Satoshi Fallback" w:cs="Arial"/>
          <w:i w:val="0"/>
          <w:iCs w:val="0"/>
          <w:caps w:val="0"/>
          <w:color w:val="000000" w:themeColor="text1"/>
          <w:spacing w:val="0"/>
          <w:sz w:val="20"/>
          <w:szCs w:val="20"/>
          <w:highlight w:val="none"/>
          <w:shd w:val="clear" w:fill="FFFFFF"/>
          <w14:textFill>
            <w14:solidFill>
              <w14:schemeClr w14:val="tx1"/>
            </w14:solidFill>
          </w14:textFill>
        </w:rPr>
        <w:t>co-ordinate</w:t>
      </w:r>
      <w:r>
        <w:rPr>
          <w:rFonts w:hint="default" w:ascii="Arial" w:hAnsi="Arial" w:eastAsia="Satoshi Fallback" w:cs="Arial"/>
          <w:i w:val="0"/>
          <w:iCs w:val="0"/>
          <w:caps w:val="0"/>
          <w:color w:val="000000" w:themeColor="text1"/>
          <w:spacing w:val="0"/>
          <w:sz w:val="20"/>
          <w:szCs w:val="20"/>
          <w:highlight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in</w:t>
      </w:r>
      <w:r>
        <w:rPr>
          <w:rFonts w:hint="default" w:ascii="Arial" w:hAnsi="Arial" w:eastAsia="Satoshi Fallback" w:cs="Arial"/>
          <w:i w:val="0"/>
          <w:iCs w:val="0"/>
          <w:caps w:val="0"/>
          <w:color w:val="000000" w:themeColor="text1"/>
          <w:spacing w:val="0"/>
          <w:sz w:val="20"/>
          <w:szCs w:val="20"/>
          <w:highlight w:val="none"/>
          <w:shd w:val="clear" w:fill="FFFFFF"/>
          <w14:textFill>
            <w14:solidFill>
              <w14:schemeClr w14:val="tx1"/>
            </w14:solidFill>
          </w14:textFill>
        </w:rPr>
        <w:t xml:space="preserve"> the audit of the branch</w:t>
      </w:r>
      <w:r>
        <w:rPr>
          <w:rFonts w:hint="default" w:ascii="Arial" w:hAnsi="Arial" w:eastAsia="Satoshi Fallback" w:cs="Arial"/>
          <w:i w:val="0"/>
          <w:iCs w:val="0"/>
          <w:caps w:val="0"/>
          <w:color w:val="000000" w:themeColor="text1"/>
          <w:spacing w:val="0"/>
          <w:sz w:val="20"/>
          <w:szCs w:val="20"/>
          <w:highlight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.</w:t>
      </w:r>
    </w:p>
    <w:p w14:paraId="00000010">
      <w:pPr>
        <w:numPr>
          <w:ilvl w:val="0"/>
          <w:numId w:val="1"/>
        </w:numPr>
        <w:ind w:left="720" w:hanging="360"/>
        <w:jc w:val="both"/>
        <w:rPr>
          <w:sz w:val="20"/>
          <w:szCs w:val="20"/>
        </w:rPr>
      </w:pPr>
      <w:r>
        <w:rPr>
          <w:rFonts w:hint="default" w:ascii="Arial" w:hAnsi="Arial" w:eastAsia="Arial" w:cs="Arial"/>
          <w:sz w:val="20"/>
          <w:szCs w:val="20"/>
          <w:rtl w:val="0"/>
          <w:lang w:val="en-US"/>
        </w:rPr>
        <w:t xml:space="preserve">Experience on </w:t>
      </w:r>
      <w:r>
        <w:rPr>
          <w:rFonts w:ascii="Arial" w:hAnsi="Arial" w:eastAsia="Arial" w:cs="Arial"/>
          <w:sz w:val="20"/>
          <w:szCs w:val="20"/>
          <w:rtl w:val="0"/>
        </w:rPr>
        <w:t>Working on Finacle</w:t>
      </w:r>
      <w:r>
        <w:rPr>
          <w:rFonts w:hint="default" w:ascii="Arial" w:hAnsi="Arial" w:eastAsia="Arial" w:cs="Arial"/>
          <w:sz w:val="20"/>
          <w:szCs w:val="20"/>
          <w:rtl w:val="0"/>
          <w:lang w:val="en-US"/>
        </w:rPr>
        <w:t xml:space="preserve"> 9 and 10</w:t>
      </w:r>
      <w:r>
        <w:rPr>
          <w:rFonts w:ascii="Arial" w:hAnsi="Arial" w:eastAsia="Arial" w:cs="Arial"/>
          <w:sz w:val="20"/>
          <w:szCs w:val="20"/>
          <w:rtl w:val="0"/>
        </w:rPr>
        <w:t>.</w:t>
      </w:r>
    </w:p>
    <w:p w14:paraId="39BC2960">
      <w:pPr>
        <w:numPr>
          <w:ilvl w:val="0"/>
          <w:numId w:val="1"/>
        </w:numPr>
        <w:ind w:left="720" w:hanging="360"/>
        <w:jc w:val="both"/>
        <w:rPr>
          <w:rFonts w:hint="default" w:ascii="Arial" w:hAnsi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Satoshi Fallback" w:cs="Arial"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Complete </w:t>
      </w:r>
      <w:r>
        <w:rPr>
          <w:rFonts w:hint="default" w:ascii="Arial" w:hAnsi="Arial" w:eastAsia="Satoshi Fallback" w:cs="Arial"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14:textFill>
            <w14:solidFill>
              <w14:schemeClr w14:val="tx1"/>
            </w14:solidFill>
          </w14:textFill>
        </w:rPr>
        <w:t xml:space="preserve">process level compliance through accurate document collection from customers and adherence to RBI regulations </w:t>
      </w:r>
      <w:r>
        <w:rPr>
          <w:rFonts w:hint="default" w:ascii="Arial" w:hAnsi="Arial" w:eastAsia="Satoshi Fallback" w:cs="Arial"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for </w:t>
      </w:r>
      <w:r>
        <w:rPr>
          <w:rFonts w:hint="default" w:ascii="Arial" w:hAnsi="Arial" w:eastAsia="Satoshi Fallback" w:cs="Arial"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14:textFill>
            <w14:solidFill>
              <w14:schemeClr w14:val="tx1"/>
            </w14:solidFill>
          </w14:textFill>
        </w:rPr>
        <w:t>KYC, AML,</w:t>
      </w:r>
      <w:r>
        <w:rPr>
          <w:rFonts w:hint="default" w:ascii="Arial" w:hAnsi="Arial" w:eastAsia="Satoshi Fallback" w:cs="Arial"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HFACTA, AADHAR seeding, all government tax CBDT challan (Direct/Indirect taxes) , Tax remittance.</w:t>
      </w:r>
    </w:p>
    <w:p w14:paraId="00000011">
      <w:pPr>
        <w:numPr>
          <w:ilvl w:val="0"/>
          <w:numId w:val="1"/>
        </w:numPr>
        <w:ind w:left="720" w:hanging="36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rtl w:val="0"/>
        </w:rPr>
        <w:t>Daily Banking Transactions and activities, FDR, RD, Account opening</w:t>
      </w:r>
      <w:r>
        <w:rPr>
          <w:rFonts w:hint="default" w:ascii="Arial" w:hAnsi="Arial" w:eastAsia="Arial" w:cs="Arial"/>
          <w:sz w:val="20"/>
          <w:szCs w:val="20"/>
          <w:rtl w:val="0"/>
          <w:lang w:val="en-US"/>
        </w:rPr>
        <w:t>, Government Business.</w:t>
      </w:r>
    </w:p>
    <w:p w14:paraId="00000012">
      <w:pPr>
        <w:ind w:left="0" w:firstLine="0"/>
        <w:jc w:val="both"/>
        <w:rPr>
          <w:rFonts w:ascii="Arial" w:hAnsi="Arial" w:eastAsia="Arial" w:cs="Arial"/>
          <w:sz w:val="20"/>
          <w:szCs w:val="20"/>
        </w:rPr>
      </w:pPr>
    </w:p>
    <w:p w14:paraId="00000013">
      <w:pPr>
        <w:jc w:val="both"/>
        <w:rPr>
          <w:rFonts w:ascii="Arial" w:hAnsi="Arial" w:eastAsia="Arial" w:cs="Arial"/>
          <w:b/>
          <w:sz w:val="20"/>
          <w:szCs w:val="20"/>
        </w:rPr>
      </w:pPr>
    </w:p>
    <w:p w14:paraId="00000014">
      <w:pPr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  <w:rtl w:val="0"/>
        </w:rPr>
        <w:t>HR Officer</w:t>
      </w:r>
    </w:p>
    <w:p w14:paraId="00000015">
      <w:pPr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  <w:rtl w:val="0"/>
        </w:rPr>
        <w:t>Fiora Services Limited (Trent Hypermarket limited)</w:t>
      </w:r>
    </w:p>
    <w:p w14:paraId="00000016">
      <w:pPr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  <w:rtl w:val="0"/>
        </w:rPr>
        <w:t>July 2014 to May 2015</w:t>
      </w:r>
    </w:p>
    <w:p w14:paraId="00000017">
      <w:pPr>
        <w:jc w:val="both"/>
        <w:rPr>
          <w:rFonts w:ascii="Arial" w:hAnsi="Arial" w:eastAsia="Arial" w:cs="Arial"/>
          <w:sz w:val="20"/>
          <w:szCs w:val="20"/>
        </w:rPr>
      </w:pPr>
    </w:p>
    <w:p w14:paraId="00000018">
      <w:pPr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  <w:rtl w:val="0"/>
        </w:rPr>
        <w:t>Responsibilities:</w:t>
      </w:r>
      <w:r>
        <w:rPr>
          <w:rFonts w:ascii="Arial" w:hAnsi="Arial" w:eastAsia="Arial" w:cs="Arial"/>
          <w:sz w:val="20"/>
          <w:szCs w:val="20"/>
          <w:rtl w:val="0"/>
        </w:rPr>
        <w:t xml:space="preserve"> </w:t>
      </w:r>
    </w:p>
    <w:p w14:paraId="101DE306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Arial" w:hAnsi="Arial" w:eastAsia="Segoe UI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rtl w:val="0"/>
        </w:rPr>
        <w:t xml:space="preserve">Handling employee movement </w:t>
      </w:r>
      <w:r>
        <w:rPr>
          <w:rFonts w:hint="default" w:ascii="Arial" w:hAnsi="Arial" w:eastAsia="Arial" w:cs="Arial"/>
          <w:sz w:val="20"/>
          <w:szCs w:val="20"/>
          <w:rtl w:val="0"/>
          <w:lang w:val="en-US"/>
        </w:rPr>
        <w:t xml:space="preserve">On- Boarding formalities </w:t>
      </w:r>
      <w:r>
        <w:rPr>
          <w:rFonts w:ascii="Arial" w:hAnsi="Arial" w:eastAsia="Arial" w:cs="Arial"/>
          <w:sz w:val="20"/>
          <w:szCs w:val="20"/>
          <w:rtl w:val="0"/>
        </w:rPr>
        <w:t xml:space="preserve">in terms of Joining </w:t>
      </w:r>
      <w:r>
        <w:rPr>
          <w:rFonts w:hint="default" w:ascii="Arial" w:hAnsi="Arial" w:eastAsia="Arial" w:cs="Arial"/>
          <w:sz w:val="20"/>
          <w:szCs w:val="20"/>
          <w:rtl w:val="0"/>
          <w:lang w:val="en-US"/>
        </w:rPr>
        <w:t>paper work</w:t>
      </w:r>
      <w:r>
        <w:rPr>
          <w:rFonts w:ascii="Arial" w:hAnsi="Arial" w:eastAsia="Arial" w:cs="Arial"/>
          <w:sz w:val="20"/>
          <w:szCs w:val="20"/>
          <w:rtl w:val="0"/>
        </w:rPr>
        <w:t>, Confirmation, and Transfer, Exits, Full and Final settlement through software.</w:t>
      </w:r>
      <w:r>
        <w:rPr>
          <w:rFonts w:hint="default" w:ascii="Arial" w:hAnsi="Arial" w:eastAsia="Arial" w:cs="Arial"/>
          <w:sz w:val="20"/>
          <w:szCs w:val="20"/>
          <w:rtl w:val="0"/>
          <w:lang w:val="en-US"/>
        </w:rPr>
        <w:t xml:space="preserve"> </w:t>
      </w: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0"/>
          <w:szCs w:val="20"/>
          <w:bdr w:val="none" w:color="auto" w:sz="0" w:space="0"/>
          <w:vertAlign w:val="baseline"/>
        </w:rPr>
        <w:t>Support</w:t>
      </w: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0"/>
          <w:szCs w:val="20"/>
          <w:bdr w:val="none" w:color="auto" w:sz="0" w:space="0"/>
          <w:vertAlign w:val="baseline"/>
          <w:lang w:val="en-US"/>
        </w:rPr>
        <w:t xml:space="preserve"> in</w:t>
      </w: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0"/>
          <w:szCs w:val="20"/>
          <w:bdr w:val="none" w:color="auto" w:sz="0" w:space="0"/>
          <w:vertAlign w:val="baseline"/>
        </w:rPr>
        <w:t xml:space="preserve"> the maintenance and updating of employee payroll records in coordination with HR, including processing new hires, exits, and compensation </w:t>
      </w: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0"/>
          <w:szCs w:val="20"/>
          <w:bdr w:val="none" w:color="auto" w:sz="0" w:space="0"/>
          <w:vertAlign w:val="baseline"/>
          <w:lang w:val="en-US"/>
        </w:rPr>
        <w:t>management</w:t>
      </w:r>
      <w:bookmarkStart w:id="0" w:name="_GoBack"/>
      <w:bookmarkEnd w:id="0"/>
      <w:r>
        <w:rPr>
          <w:rFonts w:hint="default" w:ascii="Arial" w:hAnsi="Arial" w:eastAsia="Segoe UI" w:cs="Arial"/>
          <w:i w:val="0"/>
          <w:iCs w:val="0"/>
          <w:caps w:val="0"/>
          <w:spacing w:val="0"/>
          <w:sz w:val="20"/>
          <w:szCs w:val="20"/>
          <w:bdr w:val="none" w:color="auto" w:sz="0" w:space="0"/>
          <w:vertAlign w:val="baseline"/>
        </w:rPr>
        <w:t>.</w:t>
      </w:r>
    </w:p>
    <w:p w14:paraId="6A223CA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420"/>
        </w:tabs>
        <w:spacing w:before="0" w:beforeAutospacing="1" w:after="0" w:afterAutospacing="1"/>
        <w:ind w:left="420" w:leftChars="0" w:hanging="420" w:firstLineChars="0"/>
        <w:jc w:val="both"/>
        <w:textAlignment w:val="baseline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rtl w:val="0"/>
        </w:rPr>
        <w:t>Responsible for HR helpdesk &amp; grievances handling of employees</w:t>
      </w:r>
      <w:r>
        <w:rPr>
          <w:rFonts w:hint="default" w:ascii="Arial" w:hAnsi="Arial" w:eastAsia="Arial" w:cs="Arial"/>
          <w:sz w:val="20"/>
          <w:szCs w:val="20"/>
          <w:rtl w:val="0"/>
          <w:lang w:val="en-US"/>
        </w:rPr>
        <w:t xml:space="preserve"> </w:t>
      </w: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0"/>
          <w:szCs w:val="20"/>
          <w:vertAlign w:val="baseline"/>
        </w:rPr>
        <w:t>Respond to employee payroll-related queries in a timely and professional manner.</w:t>
      </w:r>
    </w:p>
    <w:p w14:paraId="0000001B">
      <w:pPr>
        <w:numPr>
          <w:ilvl w:val="0"/>
          <w:numId w:val="2"/>
        </w:numPr>
        <w:ind w:left="420" w:leftChars="0" w:hanging="420" w:firstLineChars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rtl w:val="0"/>
        </w:rPr>
        <w:t>Responsible for Attendance Records, Leave, Leave Encashment, travel benefits/reimbursements as well as Personnel files and records of employees.</w:t>
      </w:r>
    </w:p>
    <w:p w14:paraId="0000001C">
      <w:pPr>
        <w:numPr>
          <w:ilvl w:val="0"/>
          <w:numId w:val="2"/>
        </w:numPr>
        <w:ind w:left="420" w:leftChars="0" w:hanging="420" w:firstLineChars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rtl w:val="0"/>
        </w:rPr>
        <w:t>Responsible for preparing payroll data through ERP.</w:t>
      </w:r>
    </w:p>
    <w:p w14:paraId="0000001D">
      <w:pPr>
        <w:numPr>
          <w:ilvl w:val="0"/>
          <w:numId w:val="2"/>
        </w:numPr>
        <w:ind w:left="420" w:leftChars="0" w:hanging="420" w:firstLineChars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rtl w:val="0"/>
        </w:rPr>
        <w:t>Adherence to all statutory requirements viz. Provident Fund &amp; ESIC, PT.</w:t>
      </w:r>
    </w:p>
    <w:p w14:paraId="0000001E">
      <w:pPr>
        <w:numPr>
          <w:ilvl w:val="0"/>
          <w:numId w:val="2"/>
        </w:numPr>
        <w:ind w:left="420" w:leftChars="0" w:hanging="420" w:firstLineChars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rtl w:val="0"/>
        </w:rPr>
        <w:t>Responsible for maintaining claimed benefit for employees</w:t>
      </w:r>
    </w:p>
    <w:p w14:paraId="0000001F">
      <w:pPr>
        <w:numPr>
          <w:ilvl w:val="0"/>
          <w:numId w:val="2"/>
        </w:numPr>
        <w:spacing w:before="0" w:after="0" w:line="240" w:lineRule="auto"/>
        <w:ind w:left="420" w:leftChars="0" w:right="0" w:rightChars="0" w:hanging="420" w:firstLineChars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rtl w:val="0"/>
        </w:rPr>
        <w:t>Employee Relations &amp; Statutory Compliance.</w:t>
      </w:r>
    </w:p>
    <w:p w14:paraId="00000020">
      <w:pPr>
        <w:jc w:val="both"/>
        <w:rPr>
          <w:rFonts w:ascii="Arial" w:hAnsi="Arial" w:eastAsia="Arial" w:cs="Arial"/>
          <w:b/>
          <w:sz w:val="20"/>
          <w:szCs w:val="20"/>
        </w:rPr>
      </w:pPr>
    </w:p>
    <w:p w14:paraId="00000021">
      <w:pPr>
        <w:jc w:val="both"/>
        <w:rPr>
          <w:rFonts w:ascii="Arial" w:hAnsi="Arial" w:eastAsia="Arial" w:cs="Arial"/>
          <w:b/>
          <w:sz w:val="20"/>
          <w:szCs w:val="20"/>
        </w:rPr>
      </w:pPr>
    </w:p>
    <w:p w14:paraId="00000022">
      <w:pPr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  <w:rtl w:val="0"/>
        </w:rPr>
        <w:t xml:space="preserve">Vishvaraj Infrastructure Limited, Nagpur as Executive- Human Resource </w:t>
      </w:r>
    </w:p>
    <w:p w14:paraId="00000023">
      <w:pPr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  <w:rtl w:val="0"/>
        </w:rPr>
        <w:t>August 2011 to December 2013</w:t>
      </w:r>
    </w:p>
    <w:p w14:paraId="00000024">
      <w:pPr>
        <w:jc w:val="both"/>
        <w:rPr>
          <w:rFonts w:ascii="Arial" w:hAnsi="Arial" w:eastAsia="Arial" w:cs="Arial"/>
          <w:b/>
          <w:sz w:val="20"/>
          <w:szCs w:val="20"/>
        </w:rPr>
      </w:pPr>
    </w:p>
    <w:p w14:paraId="00000025">
      <w:pPr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  <w:rtl w:val="0"/>
        </w:rPr>
        <w:t>Job Profile</w:t>
      </w:r>
      <w:r>
        <w:rPr>
          <w:rFonts w:ascii="Arial" w:hAnsi="Arial" w:eastAsia="Arial" w:cs="Arial"/>
          <w:b/>
          <w:sz w:val="20"/>
          <w:szCs w:val="20"/>
          <w:rtl w:val="0"/>
        </w:rPr>
        <w:tab/>
      </w:r>
      <w:r>
        <w:rPr>
          <w:rFonts w:ascii="Arial" w:hAnsi="Arial" w:eastAsia="Arial" w:cs="Arial"/>
          <w:b/>
          <w:sz w:val="20"/>
          <w:szCs w:val="20"/>
          <w:rtl w:val="0"/>
        </w:rPr>
        <w:t xml:space="preserve">: </w:t>
      </w:r>
      <w:r>
        <w:rPr>
          <w:rFonts w:ascii="Arial" w:hAnsi="Arial" w:eastAsia="Arial" w:cs="Arial"/>
          <w:sz w:val="20"/>
          <w:szCs w:val="20"/>
          <w:rtl w:val="0"/>
        </w:rPr>
        <w:t>HR Generalist</w:t>
      </w:r>
    </w:p>
    <w:p w14:paraId="00000026">
      <w:pPr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  <w:rtl w:val="0"/>
        </w:rPr>
        <w:t xml:space="preserve">Working on ERP – </w:t>
      </w:r>
      <w:r>
        <w:rPr>
          <w:rFonts w:ascii="Arial" w:hAnsi="Arial" w:eastAsia="Arial" w:cs="Arial"/>
          <w:sz w:val="20"/>
          <w:szCs w:val="20"/>
          <w:rtl w:val="0"/>
        </w:rPr>
        <w:t>HR Module</w:t>
      </w:r>
    </w:p>
    <w:p w14:paraId="00000027">
      <w:pPr>
        <w:jc w:val="both"/>
        <w:rPr>
          <w:rFonts w:ascii="Arial" w:hAnsi="Arial" w:eastAsia="Arial" w:cs="Arial"/>
          <w:b/>
          <w:sz w:val="20"/>
          <w:szCs w:val="20"/>
        </w:rPr>
      </w:pPr>
    </w:p>
    <w:p w14:paraId="00000028">
      <w:pPr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  <w:rtl w:val="0"/>
        </w:rPr>
        <w:t>Responsibilities:  Employee Relations &amp; Statutory Compliance:</w:t>
      </w:r>
    </w:p>
    <w:p w14:paraId="00000029">
      <w:pPr>
        <w:numPr>
          <w:ilvl w:val="0"/>
          <w:numId w:val="3"/>
        </w:numPr>
        <w:ind w:left="720" w:hanging="360"/>
        <w:jc w:val="both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  <w:rtl w:val="0"/>
        </w:rPr>
        <w:t>Handling employee movement in terms of Joining Formalities, Confirmation, and Transfer, Exits, Full and Final settlement through software.</w:t>
      </w:r>
    </w:p>
    <w:p w14:paraId="0000002A">
      <w:pPr>
        <w:numPr>
          <w:ilvl w:val="0"/>
          <w:numId w:val="3"/>
        </w:numPr>
        <w:ind w:left="720" w:hanging="360"/>
        <w:jc w:val="both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  <w:rtl w:val="0"/>
        </w:rPr>
        <w:t>Responsible for HR helpdesk &amp; grievances handling of employees.</w:t>
      </w:r>
    </w:p>
    <w:p w14:paraId="0000002B">
      <w:pPr>
        <w:numPr>
          <w:ilvl w:val="0"/>
          <w:numId w:val="3"/>
        </w:numPr>
        <w:ind w:left="720" w:hanging="360"/>
        <w:jc w:val="both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  <w:rtl w:val="0"/>
        </w:rPr>
        <w:t>Responsible for Attendance Records, Leave, Leave Encashment, travel benefits/reimbursements as well as Personnel files and records of employees.</w:t>
      </w:r>
    </w:p>
    <w:p w14:paraId="0000002C">
      <w:pPr>
        <w:numPr>
          <w:ilvl w:val="0"/>
          <w:numId w:val="3"/>
        </w:numPr>
        <w:ind w:left="720" w:hanging="360"/>
        <w:jc w:val="both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  <w:rtl w:val="0"/>
        </w:rPr>
        <w:t>Responsible for preparing payroll data through ERP.</w:t>
      </w:r>
    </w:p>
    <w:p w14:paraId="0000002D">
      <w:pPr>
        <w:numPr>
          <w:ilvl w:val="0"/>
          <w:numId w:val="3"/>
        </w:numPr>
        <w:ind w:left="720" w:hanging="360"/>
        <w:jc w:val="both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  <w:rtl w:val="0"/>
        </w:rPr>
        <w:t>Adherence to all statutory requirements viz. Provident Fund &amp; ESIC, PT.</w:t>
      </w:r>
    </w:p>
    <w:p w14:paraId="0000002E">
      <w:pPr>
        <w:numPr>
          <w:ilvl w:val="0"/>
          <w:numId w:val="3"/>
        </w:numPr>
        <w:ind w:left="720" w:hanging="360"/>
        <w:jc w:val="both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  <w:rtl w:val="0"/>
        </w:rPr>
        <w:t xml:space="preserve">Responsible for maintaining mediclaim </w:t>
      </w:r>
      <w:r>
        <w:rPr>
          <w:rFonts w:ascii="Arial" w:hAnsi="Arial" w:eastAsia="Arial" w:cs="Arial"/>
          <w:sz w:val="20"/>
          <w:szCs w:val="20"/>
          <w:rtl w:val="0"/>
        </w:rPr>
        <w:t>benefits</w:t>
      </w:r>
      <w:r>
        <w:rPr>
          <w:rFonts w:ascii="Arial" w:hAnsi="Arial" w:eastAsia="Arial" w:cs="Arial"/>
          <w:color w:val="000000"/>
          <w:sz w:val="20"/>
          <w:szCs w:val="20"/>
          <w:rtl w:val="0"/>
        </w:rPr>
        <w:t xml:space="preserve"> for employees.</w:t>
      </w:r>
    </w:p>
    <w:p w14:paraId="0000002F">
      <w:pPr>
        <w:numPr>
          <w:ilvl w:val="0"/>
          <w:numId w:val="4"/>
        </w:numPr>
        <w:ind w:left="720" w:hanging="360"/>
        <w:jc w:val="both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  <w:rtl w:val="0"/>
        </w:rPr>
        <w:t>Implementing increments and promotions, other remuneration.</w:t>
      </w:r>
    </w:p>
    <w:p w14:paraId="00000030">
      <w:pPr>
        <w:ind w:left="360" w:firstLine="0"/>
        <w:jc w:val="both"/>
        <w:rPr>
          <w:rFonts w:ascii="Arial" w:hAnsi="Arial" w:eastAsia="Arial" w:cs="Arial"/>
          <w:color w:val="000000"/>
          <w:sz w:val="20"/>
          <w:szCs w:val="20"/>
        </w:rPr>
      </w:pPr>
    </w:p>
    <w:p w14:paraId="00000031">
      <w:pPr>
        <w:jc w:val="both"/>
        <w:rPr>
          <w:rFonts w:ascii="Arial" w:hAnsi="Arial" w:eastAsia="Arial" w:cs="Arial"/>
          <w:b/>
          <w:sz w:val="20"/>
          <w:szCs w:val="20"/>
        </w:rPr>
      </w:pPr>
    </w:p>
    <w:p w14:paraId="00000032">
      <w:pPr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  <w:rtl w:val="0"/>
        </w:rPr>
        <w:t>ESMS ESource India Pvt. Ltd., Nagpur as an HR Executive</w:t>
      </w:r>
      <w:r>
        <w:rPr>
          <w:rFonts w:ascii="Arial" w:hAnsi="Arial" w:eastAsia="Arial" w:cs="Arial"/>
          <w:b/>
          <w:sz w:val="20"/>
          <w:szCs w:val="20"/>
          <w:rtl w:val="0"/>
        </w:rPr>
        <w:tab/>
      </w:r>
      <w:r>
        <w:rPr>
          <w:rFonts w:ascii="Arial" w:hAnsi="Arial" w:eastAsia="Arial" w:cs="Arial"/>
          <w:b/>
          <w:sz w:val="20"/>
          <w:szCs w:val="20"/>
          <w:rtl w:val="0"/>
        </w:rPr>
        <w:tab/>
      </w:r>
      <w:r>
        <w:rPr>
          <w:rFonts w:ascii="Arial" w:hAnsi="Arial" w:eastAsia="Arial" w:cs="Arial"/>
          <w:b/>
          <w:sz w:val="20"/>
          <w:szCs w:val="20"/>
          <w:rtl w:val="0"/>
        </w:rPr>
        <w:tab/>
      </w:r>
      <w:r>
        <w:rPr>
          <w:rFonts w:ascii="Arial" w:hAnsi="Arial" w:eastAsia="Arial" w:cs="Arial"/>
          <w:b/>
          <w:sz w:val="20"/>
          <w:szCs w:val="20"/>
          <w:rtl w:val="0"/>
        </w:rPr>
        <w:t>May 2010 Till July 2011</w:t>
      </w:r>
    </w:p>
    <w:p w14:paraId="00000033">
      <w:pPr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  <w:rtl w:val="0"/>
        </w:rPr>
        <w:t>Responsibilities:</w:t>
      </w:r>
    </w:p>
    <w:p w14:paraId="00000034">
      <w:pPr>
        <w:numPr>
          <w:ilvl w:val="0"/>
          <w:numId w:val="5"/>
        </w:numPr>
        <w:ind w:left="720" w:hanging="360"/>
        <w:jc w:val="both"/>
        <w:rPr>
          <w:b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  <w:rtl w:val="0"/>
        </w:rPr>
        <w:t xml:space="preserve">Responsible </w:t>
      </w:r>
      <w:r>
        <w:rPr>
          <w:rFonts w:ascii="Arial" w:hAnsi="Arial" w:eastAsia="Arial" w:cs="Arial"/>
          <w:sz w:val="20"/>
          <w:szCs w:val="20"/>
          <w:rtl w:val="0"/>
        </w:rPr>
        <w:t>for understanding</w:t>
      </w:r>
      <w:r>
        <w:rPr>
          <w:rFonts w:ascii="Arial" w:hAnsi="Arial" w:eastAsia="Arial" w:cs="Arial"/>
          <w:color w:val="000000"/>
          <w:sz w:val="20"/>
          <w:szCs w:val="20"/>
          <w:rtl w:val="0"/>
        </w:rPr>
        <w:t xml:space="preserve"> and </w:t>
      </w:r>
      <w:r>
        <w:rPr>
          <w:rFonts w:ascii="Arial" w:hAnsi="Arial" w:eastAsia="Arial" w:cs="Arial"/>
          <w:sz w:val="20"/>
          <w:szCs w:val="20"/>
          <w:rtl w:val="0"/>
        </w:rPr>
        <w:t>analyzing</w:t>
      </w:r>
      <w:r>
        <w:rPr>
          <w:rFonts w:ascii="Arial" w:hAnsi="Arial" w:eastAsia="Arial" w:cs="Arial"/>
          <w:color w:val="000000"/>
          <w:sz w:val="20"/>
          <w:szCs w:val="20"/>
          <w:rtl w:val="0"/>
        </w:rPr>
        <w:t xml:space="preserve"> the requirements.</w:t>
      </w:r>
    </w:p>
    <w:p w14:paraId="00000035">
      <w:pPr>
        <w:numPr>
          <w:ilvl w:val="0"/>
          <w:numId w:val="5"/>
        </w:numPr>
        <w:ind w:left="720" w:hanging="36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rtl w:val="0"/>
        </w:rPr>
        <w:t>Handling Training &amp; Development.</w:t>
      </w:r>
    </w:p>
    <w:p w14:paraId="00000036">
      <w:pPr>
        <w:numPr>
          <w:ilvl w:val="0"/>
          <w:numId w:val="5"/>
        </w:numPr>
        <w:ind w:left="720" w:hanging="36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rtl w:val="0"/>
        </w:rPr>
        <w:t>Co-ordinate in Training Program for the employees from arranging the program to feedback analysis of the training.</w:t>
      </w:r>
    </w:p>
    <w:p w14:paraId="00000037">
      <w:pPr>
        <w:numPr>
          <w:ilvl w:val="0"/>
          <w:numId w:val="5"/>
        </w:numPr>
        <w:ind w:left="720" w:hanging="360"/>
        <w:jc w:val="both"/>
        <w:rPr>
          <w:b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  <w:rtl w:val="0"/>
        </w:rPr>
        <w:t xml:space="preserve">Screening and short-listing appropriate profiles </w:t>
      </w:r>
      <w:r>
        <w:rPr>
          <w:rFonts w:ascii="Arial" w:hAnsi="Arial" w:eastAsia="Arial" w:cs="Arial"/>
          <w:sz w:val="20"/>
          <w:szCs w:val="20"/>
          <w:rtl w:val="0"/>
        </w:rPr>
        <w:t>from the database</w:t>
      </w:r>
      <w:r>
        <w:rPr>
          <w:rFonts w:ascii="Arial" w:hAnsi="Arial" w:eastAsia="Arial" w:cs="Arial"/>
          <w:color w:val="000000"/>
          <w:sz w:val="20"/>
          <w:szCs w:val="20"/>
          <w:rtl w:val="0"/>
        </w:rPr>
        <w:t>.</w:t>
      </w:r>
    </w:p>
    <w:p w14:paraId="00000038">
      <w:pPr>
        <w:numPr>
          <w:ilvl w:val="0"/>
          <w:numId w:val="5"/>
        </w:numPr>
        <w:ind w:left="720" w:hanging="360"/>
        <w:jc w:val="both"/>
        <w:rPr>
          <w:b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  <w:rtl w:val="0"/>
        </w:rPr>
        <w:t>Sourcing candidates at various levels through personal network, internet, and referrals.</w:t>
      </w:r>
    </w:p>
    <w:p w14:paraId="00000039">
      <w:pPr>
        <w:numPr>
          <w:ilvl w:val="0"/>
          <w:numId w:val="5"/>
        </w:numPr>
        <w:ind w:left="720" w:hanging="360"/>
        <w:jc w:val="both"/>
        <w:rPr>
          <w:b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  <w:rtl w:val="0"/>
        </w:rPr>
        <w:t>Interview coordination – Fixing interview schedule and its coordination between the candidates</w:t>
      </w:r>
      <w:r>
        <w:rPr>
          <w:rFonts w:ascii="Arial" w:hAnsi="Arial" w:eastAsia="Arial" w:cs="Arial"/>
          <w:sz w:val="20"/>
          <w:szCs w:val="20"/>
          <w:rtl w:val="0"/>
        </w:rPr>
        <w:t xml:space="preserve"> and clients.</w:t>
      </w:r>
    </w:p>
    <w:p w14:paraId="0000003A">
      <w:pPr>
        <w:jc w:val="both"/>
        <w:rPr>
          <w:rFonts w:ascii="Arial" w:hAnsi="Arial" w:eastAsia="Arial" w:cs="Arial"/>
          <w:sz w:val="20"/>
          <w:szCs w:val="20"/>
        </w:rPr>
      </w:pPr>
    </w:p>
    <w:tbl>
      <w:tblPr>
        <w:tblStyle w:val="15"/>
        <w:tblW w:w="10095" w:type="dxa"/>
        <w:tblInd w:w="-115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095"/>
      </w:tblGrid>
      <w:tr w14:paraId="24D589A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1" w:hRule="atLeast"/>
        </w:trPr>
        <w:tc>
          <w:tcPr>
            <w:tcBorders>
              <w:right w:val="single" w:color="808080" w:sz="6" w:space="0"/>
            </w:tcBorders>
            <w:shd w:val="clear" w:color="auto" w:fill="C0C0C0"/>
            <w:vAlign w:val="bottom"/>
          </w:tcPr>
          <w:p w14:paraId="0000003B">
            <w:pPr>
              <w:jc w:val="both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  <w:rtl w:val="0"/>
              </w:rPr>
              <w:t xml:space="preserve">EDUCATIONAL CREDENTIALS </w:t>
            </w:r>
          </w:p>
        </w:tc>
      </w:tr>
    </w:tbl>
    <w:p w14:paraId="0000003C">
      <w:pPr>
        <w:tabs>
          <w:tab w:val="left" w:pos="720"/>
          <w:tab w:val="left" w:pos="1080"/>
        </w:tabs>
        <w:jc w:val="both"/>
        <w:rPr>
          <w:rFonts w:ascii="Arial" w:hAnsi="Arial" w:eastAsia="Arial" w:cs="Arial"/>
          <w:sz w:val="20"/>
          <w:szCs w:val="20"/>
        </w:rPr>
      </w:pPr>
    </w:p>
    <w:tbl>
      <w:tblPr>
        <w:tblStyle w:val="16"/>
        <w:tblW w:w="7138" w:type="dxa"/>
        <w:tblInd w:w="16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630"/>
        <w:gridCol w:w="990"/>
        <w:gridCol w:w="2610"/>
        <w:gridCol w:w="2908"/>
      </w:tblGrid>
      <w:tr w14:paraId="1BD7CB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0" w:hRule="atLeast"/>
        </w:trPr>
        <w:tc>
          <w:tcPr>
            <w:vAlign w:val="center"/>
          </w:tcPr>
          <w:p w14:paraId="0000003D">
            <w:pPr>
              <w:jc w:val="center"/>
              <w:rPr>
                <w:rFonts w:ascii="Bookman Old Style" w:hAnsi="Bookman Old Style" w:eastAsia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20"/>
                <w:szCs w:val="20"/>
                <w:rtl w:val="0"/>
              </w:rPr>
              <w:t>Sr</w:t>
            </w:r>
          </w:p>
        </w:tc>
        <w:tc>
          <w:tcPr>
            <w:vAlign w:val="center"/>
          </w:tcPr>
          <w:p w14:paraId="0000003E">
            <w:pPr>
              <w:jc w:val="center"/>
              <w:rPr>
                <w:rFonts w:ascii="Bookman Old Style" w:hAnsi="Bookman Old Style" w:eastAsia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20"/>
                <w:szCs w:val="20"/>
                <w:rtl w:val="0"/>
              </w:rPr>
              <w:t>Year</w:t>
            </w:r>
          </w:p>
        </w:tc>
        <w:tc>
          <w:tcPr>
            <w:vAlign w:val="center"/>
          </w:tcPr>
          <w:p w14:paraId="0000003F">
            <w:pPr>
              <w:jc w:val="center"/>
              <w:rPr>
                <w:rFonts w:ascii="Bookman Old Style" w:hAnsi="Bookman Old Style" w:eastAsia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20"/>
                <w:szCs w:val="20"/>
                <w:rtl w:val="0"/>
              </w:rPr>
              <w:t>Education</w:t>
            </w:r>
          </w:p>
        </w:tc>
        <w:tc>
          <w:tcPr>
            <w:vAlign w:val="center"/>
          </w:tcPr>
          <w:p w14:paraId="00000040">
            <w:pPr>
              <w:jc w:val="center"/>
              <w:rPr>
                <w:rFonts w:ascii="Bookman Old Style" w:hAnsi="Bookman Old Style" w:eastAsia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20"/>
                <w:szCs w:val="20"/>
                <w:rtl w:val="0"/>
              </w:rPr>
              <w:t>% age</w:t>
            </w:r>
          </w:p>
        </w:tc>
      </w:tr>
      <w:tr w14:paraId="105DE1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0" w:hRule="atLeast"/>
        </w:trPr>
        <w:tc>
          <w:tcPr>
            <w:vAlign w:val="center"/>
          </w:tcPr>
          <w:p w14:paraId="00000041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1</w:t>
            </w:r>
          </w:p>
        </w:tc>
        <w:tc>
          <w:tcPr>
            <w:vAlign w:val="center"/>
          </w:tcPr>
          <w:p w14:paraId="00000042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2010</w:t>
            </w:r>
          </w:p>
        </w:tc>
        <w:tc>
          <w:tcPr>
            <w:vAlign w:val="center"/>
          </w:tcPr>
          <w:p w14:paraId="00000043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                MBA </w:t>
            </w:r>
          </w:p>
          <w:p w14:paraId="00000044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       (HR &amp; Finance)</w:t>
            </w:r>
          </w:p>
        </w:tc>
        <w:tc>
          <w:tcPr>
            <w:vAlign w:val="center"/>
          </w:tcPr>
          <w:p w14:paraId="00000045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67%</w:t>
            </w:r>
          </w:p>
        </w:tc>
      </w:tr>
      <w:tr w14:paraId="24E510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0" w:hRule="atLeast"/>
        </w:trPr>
        <w:tc>
          <w:tcPr>
            <w:vAlign w:val="center"/>
          </w:tcPr>
          <w:p w14:paraId="00000046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2</w:t>
            </w:r>
          </w:p>
        </w:tc>
        <w:tc>
          <w:tcPr>
            <w:vAlign w:val="center"/>
          </w:tcPr>
          <w:p w14:paraId="00000047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2008</w:t>
            </w:r>
          </w:p>
        </w:tc>
        <w:tc>
          <w:tcPr>
            <w:vAlign w:val="center"/>
          </w:tcPr>
          <w:p w14:paraId="00000048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B.Com</w:t>
            </w:r>
          </w:p>
          <w:p w14:paraId="00000049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  (Computer Application)</w:t>
            </w:r>
          </w:p>
        </w:tc>
        <w:tc>
          <w:tcPr>
            <w:vAlign w:val="center"/>
          </w:tcPr>
          <w:p w14:paraId="0000004A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63%</w:t>
            </w:r>
          </w:p>
        </w:tc>
      </w:tr>
      <w:tr w14:paraId="390CCE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0" w:hRule="atLeast"/>
        </w:trPr>
        <w:tc>
          <w:tcPr>
            <w:vAlign w:val="center"/>
          </w:tcPr>
          <w:p w14:paraId="0000004B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3</w:t>
            </w:r>
          </w:p>
        </w:tc>
        <w:tc>
          <w:tcPr>
            <w:vAlign w:val="center"/>
          </w:tcPr>
          <w:p w14:paraId="0000004C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2005</w:t>
            </w:r>
          </w:p>
        </w:tc>
        <w:tc>
          <w:tcPr>
            <w:vAlign w:val="center"/>
          </w:tcPr>
          <w:p w14:paraId="0000004D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12</w:t>
            </w:r>
            <w:r>
              <w:rPr>
                <w:rFonts w:ascii="Arial" w:hAnsi="Arial" w:eastAsia="Arial" w:cs="Arial"/>
                <w:sz w:val="20"/>
                <w:szCs w:val="20"/>
                <w:vertAlign w:val="superscript"/>
                <w:rtl w:val="0"/>
              </w:rPr>
              <w:t>th</w:t>
            </w: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Align w:val="center"/>
          </w:tcPr>
          <w:p w14:paraId="0000004E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64%</w:t>
            </w:r>
          </w:p>
        </w:tc>
      </w:tr>
      <w:tr w14:paraId="025BBD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77" w:hRule="atLeast"/>
        </w:trPr>
        <w:tc>
          <w:tcPr>
            <w:vAlign w:val="center"/>
          </w:tcPr>
          <w:p w14:paraId="0000004F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4</w:t>
            </w:r>
          </w:p>
        </w:tc>
        <w:tc>
          <w:tcPr>
            <w:vAlign w:val="center"/>
          </w:tcPr>
          <w:p w14:paraId="00000050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2003</w:t>
            </w:r>
          </w:p>
        </w:tc>
        <w:tc>
          <w:tcPr>
            <w:vAlign w:val="center"/>
          </w:tcPr>
          <w:p w14:paraId="00000051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10</w:t>
            </w:r>
            <w:r>
              <w:rPr>
                <w:rFonts w:ascii="Arial" w:hAnsi="Arial" w:eastAsia="Arial" w:cs="Arial"/>
                <w:sz w:val="20"/>
                <w:szCs w:val="20"/>
                <w:vertAlign w:val="superscript"/>
                <w:rtl w:val="0"/>
              </w:rPr>
              <w:t>th</w:t>
            </w: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Align w:val="center"/>
          </w:tcPr>
          <w:p w14:paraId="00000052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                     76%</w:t>
            </w:r>
          </w:p>
        </w:tc>
      </w:tr>
    </w:tbl>
    <w:p w14:paraId="00000053">
      <w:pPr>
        <w:jc w:val="both"/>
        <w:rPr>
          <w:rFonts w:ascii="Arial" w:hAnsi="Arial" w:eastAsia="Arial" w:cs="Arial"/>
          <w:color w:val="000000"/>
          <w:sz w:val="20"/>
          <w:szCs w:val="20"/>
        </w:rPr>
      </w:pPr>
    </w:p>
    <w:tbl>
      <w:tblPr>
        <w:tblStyle w:val="17"/>
        <w:tblW w:w="10151" w:type="dxa"/>
        <w:tblInd w:w="-115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151"/>
      </w:tblGrid>
      <w:tr w14:paraId="19A9039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2" w:hRule="atLeast"/>
        </w:trPr>
        <w:tc>
          <w:tcPr>
            <w:tcBorders>
              <w:right w:val="single" w:color="808080" w:sz="6" w:space="0"/>
            </w:tcBorders>
            <w:shd w:val="clear" w:color="auto" w:fill="C0C0C0"/>
            <w:vAlign w:val="bottom"/>
          </w:tcPr>
          <w:p w14:paraId="00000054">
            <w:pPr>
              <w:tabs>
                <w:tab w:val="left" w:pos="720"/>
                <w:tab w:val="left" w:pos="1080"/>
              </w:tabs>
              <w:jc w:val="both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  <w:rtl w:val="0"/>
              </w:rPr>
              <w:t>PROJECT/ INTERNSHIP</w:t>
            </w:r>
          </w:p>
        </w:tc>
      </w:tr>
    </w:tbl>
    <w:p w14:paraId="00000055">
      <w:pPr>
        <w:jc w:val="both"/>
        <w:rPr>
          <w:rFonts w:ascii="Arial" w:hAnsi="Arial" w:eastAsia="Arial" w:cs="Arial"/>
          <w:sz w:val="20"/>
          <w:szCs w:val="20"/>
        </w:rPr>
      </w:pPr>
    </w:p>
    <w:p w14:paraId="00000056">
      <w:pPr>
        <w:keepNext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Human Resource Project – 1 month </w:t>
      </w:r>
    </w:p>
    <w:p w14:paraId="00000057">
      <w:pPr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rtl w:val="0"/>
        </w:rPr>
        <w:t xml:space="preserve">Done Internship in Zeon Solutions and Dinshaw's Dairy Food Limited in HR Department </w:t>
      </w:r>
    </w:p>
    <w:p w14:paraId="00000058">
      <w:pPr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rtl w:val="0"/>
        </w:rPr>
        <w:t>Study generalize concepts in HR, Recruitment handling, maintenance of employee’s record, training and development and understand the training concept, training given to employees. Day to days HR and Admin work.</w:t>
      </w:r>
    </w:p>
    <w:p w14:paraId="00000059">
      <w:pPr>
        <w:ind w:left="90" w:firstLine="0"/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  <w:rtl w:val="0"/>
        </w:rPr>
        <w:t xml:space="preserve">Skills </w:t>
      </w:r>
    </w:p>
    <w:p w14:paraId="0000005A">
      <w:pPr>
        <w:ind w:left="90" w:firstLine="0"/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  <w:rtl w:val="0"/>
        </w:rPr>
        <w:t xml:space="preserve">Skills </w:t>
      </w:r>
    </w:p>
    <w:p w14:paraId="0000005B">
      <w:pPr>
        <w:ind w:left="90" w:firstLine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rtl w:val="0"/>
        </w:rPr>
        <w:t>Working on ERP Software, HR and Admin Work, Banking Operations, Customer handling .</w:t>
      </w:r>
    </w:p>
    <w:p w14:paraId="0000005C">
      <w:pPr>
        <w:ind w:left="90" w:firstLine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rtl w:val="0"/>
        </w:rPr>
        <w:t>Payroll</w:t>
      </w:r>
    </w:p>
    <w:p w14:paraId="0000005D">
      <w:pPr>
        <w:ind w:left="90" w:firstLine="0"/>
        <w:rPr>
          <w:rFonts w:ascii="Arial" w:hAnsi="Arial" w:eastAsia="Arial" w:cs="Arial"/>
          <w:sz w:val="20"/>
          <w:szCs w:val="20"/>
        </w:rPr>
      </w:pPr>
    </w:p>
    <w:tbl>
      <w:tblPr>
        <w:tblStyle w:val="18"/>
        <w:tblW w:w="10148" w:type="dxa"/>
        <w:tblInd w:w="-115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148"/>
      </w:tblGrid>
      <w:tr w14:paraId="795542A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2" w:hRule="atLeast"/>
        </w:trPr>
        <w:tc>
          <w:tcPr>
            <w:tcBorders>
              <w:right w:val="single" w:color="808080" w:sz="6" w:space="0"/>
            </w:tcBorders>
            <w:shd w:val="clear" w:color="auto" w:fill="C0C0C0"/>
            <w:vAlign w:val="bottom"/>
          </w:tcPr>
          <w:p w14:paraId="0000005E">
            <w:pPr>
              <w:jc w:val="both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  <w:rtl w:val="0"/>
              </w:rPr>
              <w:t>PERSONAL DETAILS</w:t>
            </w:r>
          </w:p>
        </w:tc>
      </w:tr>
    </w:tbl>
    <w:p w14:paraId="0000005F">
      <w:pPr>
        <w:jc w:val="both"/>
        <w:rPr>
          <w:rFonts w:ascii="Arial" w:hAnsi="Arial" w:eastAsia="Arial" w:cs="Arial"/>
          <w:sz w:val="20"/>
          <w:szCs w:val="20"/>
        </w:rPr>
      </w:pPr>
    </w:p>
    <w:p w14:paraId="00000060">
      <w:pPr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rtl w:val="0"/>
        </w:rPr>
        <w:t>Date of Birth</w:t>
      </w:r>
      <w:r>
        <w:rPr>
          <w:rFonts w:ascii="Arial" w:hAnsi="Arial" w:eastAsia="Arial" w:cs="Arial"/>
          <w:sz w:val="20"/>
          <w:szCs w:val="20"/>
          <w:rtl w:val="0"/>
        </w:rPr>
        <w:tab/>
      </w:r>
      <w:r>
        <w:rPr>
          <w:rFonts w:ascii="Arial" w:hAnsi="Arial" w:eastAsia="Arial" w:cs="Arial"/>
          <w:sz w:val="20"/>
          <w:szCs w:val="20"/>
          <w:rtl w:val="0"/>
        </w:rPr>
        <w:tab/>
      </w:r>
      <w:r>
        <w:rPr>
          <w:rFonts w:ascii="Arial" w:hAnsi="Arial" w:eastAsia="Arial" w:cs="Arial"/>
          <w:sz w:val="20"/>
          <w:szCs w:val="20"/>
          <w:rtl w:val="0"/>
        </w:rPr>
        <w:t>: 12 May, 1987</w:t>
      </w:r>
    </w:p>
    <w:p w14:paraId="00000061">
      <w:pPr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rtl w:val="0"/>
        </w:rPr>
        <w:t>Languages Known</w:t>
      </w:r>
      <w:r>
        <w:rPr>
          <w:rFonts w:ascii="Arial" w:hAnsi="Arial" w:eastAsia="Arial" w:cs="Arial"/>
          <w:sz w:val="20"/>
          <w:szCs w:val="20"/>
          <w:rtl w:val="0"/>
        </w:rPr>
        <w:tab/>
      </w:r>
      <w:r>
        <w:rPr>
          <w:rFonts w:ascii="Arial" w:hAnsi="Arial" w:eastAsia="Arial" w:cs="Arial"/>
          <w:sz w:val="20"/>
          <w:szCs w:val="20"/>
          <w:rtl w:val="0"/>
        </w:rPr>
        <w:t>: English, Hindi, Marathi, and Punjabi.</w:t>
      </w:r>
    </w:p>
    <w:p w14:paraId="00000062">
      <w:pPr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rtl w:val="0"/>
        </w:rPr>
        <w:t>Marital Status</w:t>
      </w:r>
      <w:r>
        <w:rPr>
          <w:rFonts w:ascii="Arial" w:hAnsi="Arial" w:eastAsia="Arial" w:cs="Arial"/>
          <w:sz w:val="20"/>
          <w:szCs w:val="20"/>
          <w:rtl w:val="0"/>
        </w:rPr>
        <w:tab/>
      </w:r>
      <w:r>
        <w:rPr>
          <w:rFonts w:ascii="Arial" w:hAnsi="Arial" w:eastAsia="Arial" w:cs="Arial"/>
          <w:sz w:val="20"/>
          <w:szCs w:val="20"/>
          <w:rtl w:val="0"/>
        </w:rPr>
        <w:tab/>
      </w:r>
      <w:r>
        <w:rPr>
          <w:rFonts w:ascii="Arial" w:hAnsi="Arial" w:eastAsia="Arial" w:cs="Arial"/>
          <w:sz w:val="20"/>
          <w:szCs w:val="20"/>
          <w:rtl w:val="0"/>
        </w:rPr>
        <w:t>: Married.</w:t>
      </w:r>
    </w:p>
    <w:p w14:paraId="00000063">
      <w:pPr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rtl w:val="0"/>
        </w:rPr>
        <w:t>Address                          : Kumar Park Infinia, Phursungi, Pune - 412308.</w:t>
      </w:r>
    </w:p>
    <w:p w14:paraId="00000064">
      <w:pPr>
        <w:jc w:val="both"/>
        <w:rPr>
          <w:rFonts w:ascii="Arial" w:hAnsi="Arial" w:eastAsia="Arial" w:cs="Arial"/>
          <w:sz w:val="20"/>
          <w:szCs w:val="20"/>
        </w:rPr>
      </w:pPr>
    </w:p>
    <w:tbl>
      <w:tblPr>
        <w:tblStyle w:val="19"/>
        <w:tblW w:w="10296" w:type="dxa"/>
        <w:tblInd w:w="-115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96"/>
      </w:tblGrid>
      <w:tr w14:paraId="742CB46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right w:val="single" w:color="808080" w:sz="6" w:space="0"/>
            </w:tcBorders>
            <w:shd w:val="clear" w:color="auto" w:fill="C0C0C0"/>
            <w:vAlign w:val="bottom"/>
          </w:tcPr>
          <w:p w14:paraId="00000065">
            <w:pPr>
              <w:jc w:val="both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  <w:rtl w:val="0"/>
              </w:rPr>
              <w:t>DECLARATION</w:t>
            </w:r>
          </w:p>
        </w:tc>
      </w:tr>
    </w:tbl>
    <w:p w14:paraId="00000066">
      <w:pPr>
        <w:jc w:val="both"/>
        <w:rPr>
          <w:rFonts w:ascii="Arial" w:hAnsi="Arial" w:eastAsia="Arial" w:cs="Arial"/>
          <w:sz w:val="20"/>
          <w:szCs w:val="20"/>
        </w:rPr>
      </w:pPr>
    </w:p>
    <w:p w14:paraId="00000067">
      <w:pPr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rtl w:val="0"/>
        </w:rPr>
        <w:t>I hereby declare that the information furnished above is true to the best of my knowledge &amp; belief.</w:t>
      </w:r>
    </w:p>
    <w:p w14:paraId="00000068">
      <w:pPr>
        <w:jc w:val="both"/>
        <w:rPr>
          <w:rFonts w:ascii="Arial" w:hAnsi="Arial" w:eastAsia="Arial" w:cs="Arial"/>
          <w:sz w:val="20"/>
          <w:szCs w:val="20"/>
        </w:rPr>
      </w:pPr>
    </w:p>
    <w:p w14:paraId="0000006B">
      <w:pPr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  <w:rtl w:val="0"/>
        </w:rPr>
        <w:t>Date:</w:t>
      </w:r>
      <w:r>
        <w:rPr>
          <w:rFonts w:ascii="Arial" w:hAnsi="Arial" w:eastAsia="Arial" w:cs="Arial"/>
          <w:b/>
          <w:sz w:val="20"/>
          <w:szCs w:val="20"/>
          <w:rtl w:val="0"/>
        </w:rPr>
        <w:tab/>
      </w:r>
      <w:r>
        <w:rPr>
          <w:rFonts w:ascii="Arial" w:hAnsi="Arial" w:eastAsia="Arial" w:cs="Arial"/>
          <w:b/>
          <w:sz w:val="20"/>
          <w:szCs w:val="20"/>
          <w:rtl w:val="0"/>
        </w:rPr>
        <w:tab/>
      </w:r>
      <w:r>
        <w:rPr>
          <w:rFonts w:ascii="Arial" w:hAnsi="Arial" w:eastAsia="Arial" w:cs="Arial"/>
          <w:b/>
          <w:sz w:val="20"/>
          <w:szCs w:val="20"/>
          <w:rtl w:val="0"/>
        </w:rPr>
        <w:tab/>
      </w:r>
      <w:r>
        <w:rPr>
          <w:rFonts w:ascii="Arial" w:hAnsi="Arial" w:eastAsia="Arial" w:cs="Arial"/>
          <w:b/>
          <w:sz w:val="20"/>
          <w:szCs w:val="20"/>
          <w:rtl w:val="0"/>
        </w:rPr>
        <w:tab/>
      </w:r>
      <w:r>
        <w:rPr>
          <w:rFonts w:ascii="Arial" w:hAnsi="Arial" w:eastAsia="Arial" w:cs="Arial"/>
          <w:b/>
          <w:sz w:val="20"/>
          <w:szCs w:val="20"/>
          <w:rtl w:val="0"/>
        </w:rPr>
        <w:tab/>
      </w:r>
      <w:r>
        <w:rPr>
          <w:rFonts w:ascii="Arial" w:hAnsi="Arial" w:eastAsia="Arial" w:cs="Arial"/>
          <w:b/>
          <w:sz w:val="20"/>
          <w:szCs w:val="20"/>
          <w:rtl w:val="0"/>
        </w:rPr>
        <w:tab/>
      </w:r>
      <w:r>
        <w:rPr>
          <w:rFonts w:ascii="Arial" w:hAnsi="Arial" w:eastAsia="Arial" w:cs="Arial"/>
          <w:b/>
          <w:sz w:val="20"/>
          <w:szCs w:val="20"/>
          <w:rtl w:val="0"/>
        </w:rPr>
        <w:tab/>
      </w:r>
      <w:r>
        <w:rPr>
          <w:rFonts w:ascii="Arial" w:hAnsi="Arial" w:eastAsia="Arial" w:cs="Arial"/>
          <w:b/>
          <w:sz w:val="20"/>
          <w:szCs w:val="20"/>
          <w:rtl w:val="0"/>
        </w:rPr>
        <w:tab/>
      </w:r>
      <w:r>
        <w:rPr>
          <w:rFonts w:ascii="Arial" w:hAnsi="Arial" w:eastAsia="Arial" w:cs="Arial"/>
          <w:b/>
          <w:sz w:val="20"/>
          <w:szCs w:val="20"/>
          <w:rtl w:val="0"/>
        </w:rPr>
        <w:tab/>
      </w:r>
      <w:r>
        <w:rPr>
          <w:rFonts w:ascii="Arial" w:hAnsi="Arial" w:eastAsia="Arial" w:cs="Arial"/>
          <w:b/>
          <w:sz w:val="20"/>
          <w:szCs w:val="20"/>
          <w:rtl w:val="0"/>
        </w:rPr>
        <w:tab/>
      </w:r>
      <w:r>
        <w:rPr>
          <w:rFonts w:ascii="Arial" w:hAnsi="Arial" w:eastAsia="Arial" w:cs="Arial"/>
          <w:b/>
          <w:sz w:val="20"/>
          <w:szCs w:val="20"/>
          <w:rtl w:val="0"/>
        </w:rPr>
        <w:t>Cordially,</w:t>
      </w:r>
    </w:p>
    <w:p w14:paraId="0000006C">
      <w:pPr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  <w:rtl w:val="0"/>
        </w:rPr>
        <w:t>Place:</w:t>
      </w:r>
      <w:r>
        <w:rPr>
          <w:rFonts w:ascii="Arial" w:hAnsi="Arial" w:eastAsia="Arial" w:cs="Arial"/>
          <w:b/>
          <w:sz w:val="20"/>
          <w:szCs w:val="20"/>
          <w:rtl w:val="0"/>
        </w:rPr>
        <w:tab/>
      </w:r>
      <w:r>
        <w:rPr>
          <w:rFonts w:ascii="Arial" w:hAnsi="Arial" w:eastAsia="Arial" w:cs="Arial"/>
          <w:b/>
          <w:sz w:val="20"/>
          <w:szCs w:val="20"/>
          <w:rtl w:val="0"/>
        </w:rPr>
        <w:tab/>
      </w:r>
      <w:r>
        <w:rPr>
          <w:rFonts w:ascii="Arial" w:hAnsi="Arial" w:eastAsia="Arial" w:cs="Arial"/>
          <w:b/>
          <w:sz w:val="20"/>
          <w:szCs w:val="20"/>
          <w:rtl w:val="0"/>
        </w:rPr>
        <w:tab/>
      </w:r>
      <w:r>
        <w:rPr>
          <w:rFonts w:ascii="Arial" w:hAnsi="Arial" w:eastAsia="Arial" w:cs="Arial"/>
          <w:b/>
          <w:sz w:val="20"/>
          <w:szCs w:val="20"/>
          <w:rtl w:val="0"/>
        </w:rPr>
        <w:tab/>
      </w:r>
      <w:r>
        <w:rPr>
          <w:rFonts w:ascii="Arial" w:hAnsi="Arial" w:eastAsia="Arial" w:cs="Arial"/>
          <w:b/>
          <w:sz w:val="20"/>
          <w:szCs w:val="20"/>
          <w:rtl w:val="0"/>
        </w:rPr>
        <w:tab/>
      </w:r>
      <w:r>
        <w:rPr>
          <w:rFonts w:ascii="Arial" w:hAnsi="Arial" w:eastAsia="Arial" w:cs="Arial"/>
          <w:b/>
          <w:sz w:val="20"/>
          <w:szCs w:val="20"/>
          <w:rtl w:val="0"/>
        </w:rPr>
        <w:tab/>
      </w:r>
      <w:r>
        <w:rPr>
          <w:rFonts w:ascii="Arial" w:hAnsi="Arial" w:eastAsia="Arial" w:cs="Arial"/>
          <w:b/>
          <w:sz w:val="20"/>
          <w:szCs w:val="20"/>
          <w:rtl w:val="0"/>
        </w:rPr>
        <w:tab/>
      </w:r>
      <w:r>
        <w:rPr>
          <w:rFonts w:ascii="Arial" w:hAnsi="Arial" w:eastAsia="Arial" w:cs="Arial"/>
          <w:b/>
          <w:sz w:val="20"/>
          <w:szCs w:val="20"/>
          <w:rtl w:val="0"/>
        </w:rPr>
        <w:tab/>
      </w:r>
      <w:r>
        <w:rPr>
          <w:rFonts w:ascii="Arial" w:hAnsi="Arial" w:eastAsia="Arial" w:cs="Arial"/>
          <w:b/>
          <w:sz w:val="20"/>
          <w:szCs w:val="20"/>
          <w:rtl w:val="0"/>
        </w:rPr>
        <w:tab/>
      </w:r>
      <w:r>
        <w:rPr>
          <w:rFonts w:ascii="Arial" w:hAnsi="Arial" w:eastAsia="Arial" w:cs="Arial"/>
          <w:b/>
          <w:sz w:val="20"/>
          <w:szCs w:val="20"/>
          <w:rtl w:val="0"/>
        </w:rPr>
        <w:tab/>
      </w:r>
      <w:r>
        <w:rPr>
          <w:rFonts w:ascii="Arial" w:hAnsi="Arial" w:eastAsia="Arial" w:cs="Arial"/>
          <w:b/>
          <w:sz w:val="20"/>
          <w:szCs w:val="20"/>
          <w:rtl w:val="0"/>
        </w:rPr>
        <w:t>Sonali Sharma</w:t>
      </w:r>
    </w:p>
    <w:sectPr>
      <w:pgSz w:w="12240" w:h="15840"/>
      <w:pgMar w:top="1080" w:right="1080" w:bottom="1080" w:left="108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toshi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okman Old Style">
    <w:panose1 w:val="02050604050505020204"/>
    <w:charset w:val="00"/>
    <w:family w:val="auto"/>
    <w:pitch w:val="default"/>
    <w:sig w:usb0="00000287" w:usb1="00000000" w:usb2="00000000" w:usb3="00000000" w:csb0="2000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Ravie">
    <w:panose1 w:val="04040805050809020602"/>
    <w:charset w:val="00"/>
    <w:family w:val="auto"/>
    <w:pitch w:val="default"/>
    <w:sig w:usb0="00000003" w:usb1="00000000" w:usb2="00000000" w:usb3="00000000" w:csb0="2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>
    <w:nsid w:val="F052CAA9"/>
    <w:multiLevelType w:val="singleLevel"/>
    <w:tmpl w:val="F052CAA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4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98147A7"/>
    <w:rsid w:val="0AAC0A11"/>
    <w:rsid w:val="0BB93C9B"/>
    <w:rsid w:val="4E1A6AB1"/>
    <w:rsid w:val="51BD208B"/>
    <w:rsid w:val="58696E06"/>
    <w:rsid w:val="6BFC4839"/>
    <w:rsid w:val="6E6A23B4"/>
    <w:rsid w:val="7988077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4"/>
      <w:szCs w:val="24"/>
      <w:lang w:val="en-US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2">
    <w:name w:val="Table Normal1"/>
    <w:qFormat/>
    <w:uiPriority w:val="0"/>
  </w:style>
  <w:style w:type="table" w:customStyle="1" w:styleId="13">
    <w:name w:val="_Style 10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4">
    <w:name w:val="_Style 11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5">
    <w:name w:val="_Style 12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6">
    <w:name w:val="_Style 13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7">
    <w:name w:val="_Style 14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8">
    <w:name w:val="_Style 15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9">
    <w:name w:val="_Style 16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44</TotalTime>
  <ScaleCrop>false</ScaleCrop>
  <LinksUpToDate>false</LinksUpToDate>
  <Application>WPS Office_12.2.0.21936_F1E327BC-269C-435d-A152-05C5408002CA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2025-07-23T08:30:00Z</dcterms:created>
  <dc:creator>sonal</dc:creator>
  <cp:lastModifiedBy>sonal</cp:lastModifiedBy>
  <dcterms:modified xsi:type="dcterms:W3CDTF">2025-07-23T09:54:56Z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1033-12.2.0.21936</vt:lpwstr>
  </property>
  <property fmtid="{D5CDD505-2E9C-101B-9397-08002B2CF9AE}" pid="3" name="ICV">
    <vt:lpwstr>CEAE15246BE642488191D598E888FE45_12</vt:lpwstr>
  </property>
</Properties>
</file>