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70471" cy="2146250"/>
            <wp:effectExtent b="0" l="0" r="0" t="0"/>
            <wp:docPr descr="A logo with a person in a red and white shield&#10;&#10;AI-generated content may be incorrect." id="4" name="image1.png"/>
            <a:graphic>
              <a:graphicData uri="http://schemas.openxmlformats.org/drawingml/2006/picture">
                <pic:pic>
                  <pic:nvPicPr>
                    <pic:cNvPr descr="A logo with a person in a red and white shield&#10;&#10;AI-generated content may be incorrect." id="0" name="image1.png"/>
                    <pic:cNvPicPr preferRelativeResize="0"/>
                  </pic:nvPicPr>
                  <pic:blipFill>
                    <a:blip r:embed="rId7"/>
                    <a:srcRect b="0" l="0" r="0" t="0"/>
                    <a:stretch>
                      <a:fillRect/>
                    </a:stretch>
                  </pic:blipFill>
                  <pic:spPr>
                    <a:xfrm>
                      <a:off x="0" y="0"/>
                      <a:ext cx="2270471" cy="2146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MAPÚA MALAYAN COLLEGES MINDANAO</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AidVocate: Integrating Cryptographic Commitments, Merkle Trees, and Zero-Knowledge Proofs for Privacy-Preserving Donation Verification on Blockchain</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 Kharl A. Devera</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 Lesmoras</w:t>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Mc Curvin B. Royeras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Computer Science</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Adviser</w:t>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Chester Clyde R. Balaman</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Computer and Information Science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AidVocate: Integrating Cryptographic Commitments, Merkle Trees, and Zero-Knowledge Proofs for Privacy-Preserving Donation Verification on Blockchain</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 Kharl A. Devera</w:t>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 Lesmoras</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Mc Curvin B. Royeras</w:t>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Thesis Report Submitted to the College of Computer and Information Science In Partial Fulfillment of the Requirements for the Degree</w:t>
      </w:r>
    </w:p>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Computer Science</w:t>
      </w:r>
    </w:p>
    <w:p w:rsidR="00000000" w:rsidDel="00000000" w:rsidP="00000000" w:rsidRDefault="00000000" w:rsidRPr="00000000" w14:paraId="0000002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Mapúa Malayan Colleges Mindanao</w:t>
      </w:r>
    </w:p>
    <w:p w:rsidR="00000000" w:rsidDel="00000000" w:rsidP="00000000" w:rsidRDefault="00000000" w:rsidRPr="00000000" w14:paraId="0000002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Davao City</w:t>
      </w:r>
    </w:p>
    <w:p w:rsidR="00000000" w:rsidDel="00000000" w:rsidP="00000000" w:rsidRDefault="00000000" w:rsidRPr="00000000" w14:paraId="00000024">
      <w:pPr>
        <w:spacing w:after="0" w:line="48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5">
      <w:pPr>
        <w:spacing w:after="0" w:line="48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ff0000"/>
        </w:rPr>
        <w:sectPr>
          <w:headerReference r:id="rId8" w:type="default"/>
          <w:headerReference r:id="rId9" w:type="first"/>
          <w:footerReference r:id="rId10" w:type="default"/>
          <w:footerReference r:id="rId11" w:type="first"/>
          <w:pgSz w:h="15840" w:w="12240" w:orient="portrait"/>
          <w:pgMar w:bottom="1440" w:top="1440" w:left="216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sdt>
      <w:sdtPr>
        <w:id w:val="1581200938"/>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g4039l63yv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oasicw9jlx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Literature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z1jlwnz0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Smart Contract Development Paradigms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mxydhpfo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Contract Architecture and Platform Considerations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y9owvydd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Token Standards and Event Logging Mechanisms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qjrpsl3r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Ethereum Token Standards Comparison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70fswt9b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Cryptographic Hash Functions in Blockchain Systems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3323vgnf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Development and Evaluation Tools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mlwbqt21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Existing Donation Management Systems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bd0bympl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Limitations of Conventional Approaches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9xe9i0c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Blockchain-Based Donation Platforms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3c5g4jfut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Comparative Analysis Against Research Problems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y9ja71uq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Cryptographic Primitives and Mechanisms</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k3ykiihu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Merkle Trees for Data Integrity</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mpz3fjm9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Commitment Schemes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ro2phdqt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Zero-Knowledge Proofs and Privacy-Preserving Verification</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vgycj7ah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Zero-Knowledge Circuit Development and Proof Generation Architectures</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kwzbw6rs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Circom: A Domain-Specific Language for ZK Circuit Development</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5pr7z0rr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Alternative ZKP Development Frameworks</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ixztyk0w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Client-Side vs. Server-Side Proof Generation Architectures</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w3amfcds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Trust Models and Privacy Implications</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yqrwaii8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Performance Considerations and Optimization Strategies</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lxo8lr1x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Algebraic and ZKP-Friendly Hash Functions</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yxdic2qw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Poseidon Hash Function</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sfq79bd4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MiMC Hash Function</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sdnhj52x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Pedersen Hash Function</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lcsivsmr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Hash Function Selection as a Multi-Criteria Decision</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5m1vnc9j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Comparative Benchmarking of Hash Functions in Blockchain Contexts</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3zpy89dj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Existing ZKP-Oriented Hash Function Benchmarks</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f6i2p56i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Security Margin Analysis of Algebraic Hash Functions</w:t>
              <w:tab/>
              <w:t xml:space="preserve">45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49s0chsv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Comparative Benchmarking of ZKP Frameworks for Client-Side Proving</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pcr5rxld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 Existing SNARK Benchmarking Frameworks</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0s5ehhtw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Proving System Trade-offs: Groth16 vs. PLONK</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o5xjyjlk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Research Gaps</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cdjpn4vhts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Methods</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340a1meb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Design</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rnlha09b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Conceptual Framework</w:t>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3pal2dny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Comparative Technology Analysis</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s8rjct7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 Function Comparison</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1boedd2m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ZKP Framework and Proving System Comparison</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x7uwvox6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Commitment Generation</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4fpf6lag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Merkle Tree Batching</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wp4tf2y8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Zero-Knowledge Proof Verification</w:t>
              <w:tab/>
              <w:t xml:space="preserve">59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1dt9mxs4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Research Respondents</w:t>
              <w:tab/>
              <w:t xml:space="preserve">61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r50p1c01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Research Instruments</w:t>
              <w:tab/>
              <w:t xml:space="preserve">62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erkjal0a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Comparative Benchmarking Test Harness</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hllnpobo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Hardhat Framework</w:t>
              <w:tab/>
              <w:t xml:space="preserve">64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holmopog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Slither Static Analyzer</w:t>
              <w:tab/>
              <w:t xml:space="preserve">65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rjy03tkb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Circomspect / Manual Circuit Review</w:t>
              <w:tab/>
              <w:t xml:space="preserve">65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i1e1w0k9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System Usability Scale (SUS)</w:t>
              <w:tab/>
              <w:t xml:space="preserve">66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iwktndbx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Data Collection Procedures</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nobr3qdc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Phase 0a: Hash Function Comparative Benchmarking</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6idpxss6l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Phase 0b: ZKP Framework Comparative Benchmarking</w:t>
              <w:tab/>
              <w:t xml:space="preserve">68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1qilmrik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Phase 2a: Performance and Scalability Testing</w:t>
              <w:tab/>
              <w:t xml:space="preserve">70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uc5hpxd0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Phase 2b: Static Security Analysis</w:t>
              <w:tab/>
              <w:t xml:space="preserve">74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tbxgrw2n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 Phase 2c: Usability Assessment</w:t>
              <w:tab/>
              <w:t xml:space="preserve">75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ddeirepb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Data Analysis</w:t>
              <w:tab/>
              <w:t xml:space="preserve">76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tt542nyv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Comparative Technology Analysis</w:t>
              <w:tab/>
              <w:t xml:space="preserve">77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h6iv3x44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Performance and Scalability Analysis</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ktanu82q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Static Security Analysis</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2dwflak5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Usability Assessment Analysis</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x8gtyyk5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Ethical Considerations</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ywi21jomf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Results and Discussion</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db3y324m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Phase 0a: Hash Function Comparison</w:t>
              <w:tab/>
              <w:t xml:space="preserve">83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87syd6xi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Phase 0b: Zero-Knowledge Proof Framework Comparison</w:t>
              <w:tab/>
              <w:t xml:space="preserve">85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o3fjil7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yg4039l63yvw" w:id="0"/>
      <w:bookmarkEnd w:id="0"/>
      <w:r w:rsidDel="00000000" w:rsidR="00000000" w:rsidRPr="00000000">
        <w:rPr>
          <w:rtl w:val="0"/>
        </w:rPr>
        <w:t xml:space="preserve">1. Introduction</w:t>
      </w:r>
    </w:p>
    <w:p w:rsidR="00000000" w:rsidDel="00000000" w:rsidP="00000000" w:rsidRDefault="00000000" w:rsidRPr="00000000" w14:paraId="0000006E">
      <w:pPr>
        <w:spacing w:after="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Non-governmental organizations (NGOs) rely on donation systems wherein donors have limited control over self-verification of their donations. Donors generally cannot independently and cryptographically verify their own contribution without relying on organizations or centralized platforms to provide proof (Singh et al., 2020; Nairi et al., 2024). On the other hand, while traditional NGO processes utilize receipts, financial reports, and third-party audits, blockchain-based donation platforms have gradually evolved to enhance transparency by recording transactions on immutable distributed ledgers (Wu &amp; Zhu, 2020). These systems improve public visibility of fund allocation and reduce the risk of record tampering.</w:t>
      </w:r>
    </w:p>
    <w:p w:rsidR="00000000" w:rsidDel="00000000" w:rsidP="00000000" w:rsidRDefault="00000000" w:rsidRPr="00000000" w14:paraId="0000006F">
      <w:pPr>
        <w:spacing w:after="0" w:line="480" w:lineRule="auto"/>
        <w:ind w:firstLine="20"/>
        <w:jc w:val="both"/>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ab/>
        <w:t xml:space="preserve">Though, when donating to charities or non-government organizations, providing proofs is often a requirement in order to claim tax deductions, company benefits, and ensure transparency, and proper documentation of the transaction. During this process, the donor has to present sensitive, private information about themself and the charity. The donor may want to keep these details private, but still proving that a certain amount was given to a recognized NGO (Casaburi &amp; Matyja, 2024). According to Keany and Berthon (2025), the innate structure of blockchain’s “trustless” or “trustlessness” conflicts with human’s inherent nature to call for accountability, usability, and security.  Studies suggest that blockchain’s promises—such as eliminating intermediaries, and democratizing access to financial tools—are being undermined in application. Hence, users still seek, and are inclined towards centralized systems for convenience and support (Bappy et al., 2025). </w:t>
      </w:r>
    </w:p>
    <w:p w:rsidR="00000000" w:rsidDel="00000000" w:rsidP="00000000" w:rsidRDefault="00000000" w:rsidRPr="00000000" w14:paraId="00000070">
      <w:pPr>
        <w:spacing w:after="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Currently, several blockchain-based donation platforms such as The Giving Block, BitGive’s GiveTrack, and similar initiatives implement cryptographic hashing and smart contract mechanisms in order to secure and automate donation records (Rangone &amp; Busolli, 2021; Almaghrabi &amp; Alhogail, 2022). However, these existing implementations primarily emphasize organizational transparency which enables public observation of public donations instead of donor-controlled verification (Trotter et al., 2020). Hence, donors seeking to prove their contributions to third parties must still depend on platforms for documentation. This suggests that decentralization at the infrastructure level does not necessitate autonomy at the user level (Farooq et al., 2020).</w:t>
      </w:r>
    </w:p>
    <w:p w:rsidR="00000000" w:rsidDel="00000000" w:rsidP="00000000" w:rsidRDefault="00000000" w:rsidRPr="00000000" w14:paraId="00000071">
      <w:pPr>
        <w:spacing w:after="0" w:line="4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addition to verification constraints, current blockchain-based donation systems face scalability and cost limitations. Recording individual donations directly on-chain induces gas fees for each transaction; this causes per-donation verification economically impractical for small yet frequent donations (Nairi et al., 2024). For organizations which rely on small donations, an accumulation of these gas fees may significantly reduce the net funds delivered to beneficiaries (Abdul et al., 2025). Furthermore, on-chain cryptographic processing scales with transaction volume, which further exacerbates confirmation times and state growth in networks with limited throughput—such as Ethereum’s base layer (Pham et al., 2024). These findings highlight that trade-offs incur when balancing qualities such as transparency, scalability, and cost efficiency. </w:t>
      </w:r>
    </w:p>
    <w:p w:rsidR="00000000" w:rsidDel="00000000" w:rsidP="00000000" w:rsidRDefault="00000000" w:rsidRPr="00000000" w14:paraId="00000072">
      <w:pPr>
        <w:spacing w:after="0" w:line="523.63636363636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cryptographic commitment schemes and Merkle tree batching have been proposed as mechanisms to mitigate on-chain storage and transaction costs while preserving data integrity (Kutnetsov et al., 2024a). Empirical results demonstrate that committing Merkle root on-chain alone can significantly reduce gas consumption while maintaining verifiability of individual records (Sharmin et al., 2025). However, within the context of donation management, these techniques are frequently discussed as individual techniques, rather than how commitment schemes, batching mechanisms, and privacy-preserving verification models are integrated into a unified architecture (Ji &amp; Chalkias, 2021). </w:t>
      </w:r>
    </w:p>
    <w:p w:rsidR="00000000" w:rsidDel="00000000" w:rsidP="00000000" w:rsidRDefault="00000000" w:rsidRPr="00000000" w14:paraId="00000073">
      <w:pPr>
        <w:spacing w:after="0" w:line="523.6363636363636" w:lineRule="auto"/>
        <w:ind w:firstLine="720"/>
        <w:jc w:val="both"/>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Recent blockchain-based transparency and verification systems are largely built on a common technology stack: Ethereum-compatible smart contracts with  event-based logging through the transaction receipt trie which is used as a lightweight storage alternative to costly state writes and tamper-evident anchors for off-chain records. To mitigate Ethereum's persistent gas-cost constraints, current practice combines several optimization strategies—variable packing, call data usage, custom errors, and aggressive compiler-level optimization—which together have been shown to measurably reduce deployment and invocation costs in production contracts (Ariffin et al., 2025). Moreover, for substantial or sensitive data, hybrid on-chain/off-chain architectures have become the dominant pattern, with the InterPlanetary File System (IPFS) handling distributed storage while the blockchain retains only the content hash as an immutable verification anchor (Kuznetsov et al., 2024b; Pham et al., 2025).</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while batching techniques reduce on-chain storage costs, the effectiveness of donor-controlled verification mechanisms also depends heavily on the choice of cryptographic primitives and zero-knowledge proving systems (Grassi et al., 2021). Hash functions specifically designed for arithmetic circuits, such as Poseidon and MiMC, demonstrate significantly lower constraint counts compared to traditional hash functions when implemented in zk-SNARK circuits (Albrecht et al., 2016). Proving systems such as Groth16 and PLONK further exhibit trade-offs in proof size, verification gas cost, and trusted setup requirements (Groth, 2016; Gabizon et al., 2019). While these primitives are widely studied individually, existing blockchain donation research remains largely conceptual and does not provide comparative empirical evaluation of hash functions and proving systems within privacy-preserving donation verification architectures (Ji &amp; Chalkias, 2021; Jadhav et al., 2025).</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Blockchain systems for charitable giving have gradually improved in implementation; however, systematic evaluation of their underlying cryptographic and architectural choices remains limited.</w:t>
      </w:r>
    </w:p>
    <w:p w:rsidR="00000000" w:rsidDel="00000000" w:rsidP="00000000" w:rsidRDefault="00000000" w:rsidRPr="00000000" w14:paraId="000000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Lack of Comparative Evaluation of Hash Function Trade-offs for Donation Verification.</w:t>
      </w:r>
      <w:r w:rsidDel="00000000" w:rsidR="00000000" w:rsidRPr="00000000">
        <w:rPr>
          <w:rFonts w:ascii="Times New Roman" w:cs="Times New Roman" w:eastAsia="Times New Roman" w:hAnsi="Times New Roman"/>
          <w:rtl w:val="0"/>
        </w:rPr>
        <w:t xml:space="preserve"> Existing blockchain donation platforms typically adopt a single hash function (often Keccak256) without empirically comparing alternatives across both on-chain commitment generation and zero-knowledge proof circuit implementation. Although Poseidon, MiMC, Keccak256, and Pedersen are individually well-documented, no study has systematically evaluated their trade-offs in a unified donation verification setting—balancing gas cost, circuit constraints, proof generation time, and security maturity.</w:t>
      </w:r>
    </w:p>
    <w:p w:rsidR="00000000" w:rsidDel="00000000" w:rsidP="00000000" w:rsidRDefault="00000000" w:rsidRPr="00000000" w14:paraId="00000077">
      <w:pPr>
        <w:spacing w:after="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Limited Comparative Evaluation of ZKP Circuit Efficiency and Cryptographic Maturity. </w:t>
      </w:r>
      <w:r w:rsidDel="00000000" w:rsidR="00000000" w:rsidRPr="00000000">
        <w:rPr>
          <w:rFonts w:ascii="Times New Roman" w:cs="Times New Roman" w:eastAsia="Times New Roman" w:hAnsi="Times New Roman"/>
          <w:rtl w:val="0"/>
        </w:rPr>
        <w:t xml:space="preserve">While algebraic hashes such as Poseidon, MiMC, and Pedersen offer circuit efficiency for zero-knowledge proofs, they have shorter cryptanalytic histories compared to Keccak256, which has undergone extensive scrutiny through the NIST SHA-3 process. There remains limited investigation into how this efficiency–maturity trade-off impacts security and performance specifically in financial donation verification contexts.</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 Comparative Benchmarking of ZKP Frameworks for Donor-Controlled Proof Generation.  </w:t>
      </w:r>
      <w:r w:rsidDel="00000000" w:rsidR="00000000" w:rsidRPr="00000000">
        <w:rPr>
          <w:rFonts w:ascii="Times New Roman" w:cs="Times New Roman" w:eastAsia="Times New Roman" w:hAnsi="Times New Roman"/>
          <w:rtl w:val="0"/>
        </w:rPr>
        <w:t xml:space="preserve">Although multiple zero-knowledge proof frameworks (Circom/snarkjs, ZoKrates, Noir) are available, there is limited benchmarking of their performance for donor-controlled, client-side proof generation in donation verification contexts. Existing evaluations focus on general-purpose or rollup-scale applications rather than browser-based usability, proving time on consumer devices, and on-chain verification cost.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iCs w:val="1"/>
          <w:rtl w:val="0"/>
        </w:rPr>
        <w:t xml:space="preserve">Limited Empirical Validation of Integrated Privacy-Preserving Donation Architectures</w:t>
      </w:r>
      <w:r w:rsidDel="00000000" w:rsidR="00000000" w:rsidRPr="00000000">
        <w:rPr>
          <w:rFonts w:ascii="Times New Roman" w:cs="Times New Roman" w:eastAsia="Times New Roman" w:hAnsi="Times New Roman"/>
          <w:rtl w:val="0"/>
        </w:rPr>
        <w:t xml:space="preserve">. Existing literature treats commitment schemes, Merkle batching, smart contract automation, and zero-knowledge verification as separate components; however, their combined performance, security behavior, and usability implications in a unified donation verification architecture have not been empirically evaluated.</w:t>
      </w:r>
      <w:r w:rsidDel="00000000" w:rsidR="00000000" w:rsidRPr="00000000">
        <w:rPr>
          <w:rtl w:val="0"/>
        </w:rPr>
      </w:r>
    </w:p>
    <w:p w:rsidR="00000000" w:rsidDel="00000000" w:rsidP="00000000" w:rsidRDefault="00000000" w:rsidRPr="00000000" w14:paraId="0000007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focusing on a smart contract architecture that combines cryptographic commitments with Merkle tree batching and zero-knowledge proof verification, the research contributes to expanding the practical application of blockchain privacy techniques in charitable organizations. The integration of client-side zero-knowledge proofs highlights the potential of cryptographic technology to empower donors with independent, verifiable proof of their contributions without compromising any private information—neither to the verifying party, the platform, nor any observer of the public blockchain (Almaghrabi &amp; Alhogail, 2022). </w:t>
      </w:r>
    </w:p>
    <w:p w:rsidR="00000000" w:rsidDel="00000000" w:rsidP="00000000" w:rsidRDefault="00000000" w:rsidRPr="00000000" w14:paraId="0000007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limitations of current donation systems and the lack of accessible, privacy-preserving verification tools, this study aimed to:</w:t>
      </w:r>
    </w:p>
    <w:p w:rsidR="00000000" w:rsidDel="00000000" w:rsidP="00000000" w:rsidRDefault="00000000" w:rsidRPr="00000000" w14:paraId="0000007C">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cryptographic hash functions (Keccak256, Poseidon, MiMC, and Pedersen) for use in commitment schemes and zero-knowledge proof circuits, assessing trade-offs among native EVM compatibility, circuit constraint count, proof generation time, and security maturity.</w:t>
      </w:r>
    </w:p>
    <w:p w:rsidR="00000000" w:rsidDel="00000000" w:rsidP="00000000" w:rsidRDefault="00000000" w:rsidRPr="00000000" w14:paraId="0000007D">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zero-knowledge proof frameworks (Circom/snarkjs, ZoKrates, Noir) and proving systems (Groth16, PLONK) for donor-controlled proof generation, evaluating client-side feasibility and performance in terms of proving time, proof size, verification gas cost, and trusted setup requirements.</w:t>
      </w:r>
    </w:p>
    <w:p w:rsidR="00000000" w:rsidDel="00000000" w:rsidP="00000000" w:rsidRDefault="00000000" w:rsidRPr="00000000" w14:paraId="0000007E">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 integrated smart contract architecture for privacy-preserving donation verification, informed by the comparative findings, comprising:</w:t>
      </w:r>
    </w:p>
    <w:p w:rsidR="00000000" w:rsidDel="00000000" w:rsidP="00000000" w:rsidRDefault="00000000" w:rsidRPr="00000000" w14:paraId="0000007F">
      <w:pPr>
        <w:numPr>
          <w:ilvl w:val="1"/>
          <w:numId w:val="2"/>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commitment generation mechanism using the selected hash function to create hidden donation records;</w:t>
      </w:r>
    </w:p>
    <w:p w:rsidR="00000000" w:rsidDel="00000000" w:rsidP="00000000" w:rsidRDefault="00000000" w:rsidRPr="00000000" w14:paraId="00000080">
      <w:pPr>
        <w:numPr>
          <w:ilvl w:val="1"/>
          <w:numId w:val="2"/>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Merkle tree batching module to aggregate multiple commitments into a single on-chain root for gas optimization; and</w:t>
      </w:r>
    </w:p>
    <w:p w:rsidR="00000000" w:rsidDel="00000000" w:rsidP="00000000" w:rsidRDefault="00000000" w:rsidRPr="00000000" w14:paraId="00000081">
      <w:pPr>
        <w:numPr>
          <w:ilvl w:val="1"/>
          <w:numId w:val="2"/>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zero-knowledge proof verification system using the selected framework to enable on-chain validation without data disclosure.</w:t>
      </w:r>
    </w:p>
    <w:p w:rsidR="00000000" w:rsidDel="00000000" w:rsidP="00000000" w:rsidRDefault="00000000" w:rsidRPr="00000000" w14:paraId="00000082">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implemented architecture to determine its viability for real-world deployment through:</w:t>
      </w:r>
    </w:p>
    <w:p w:rsidR="00000000" w:rsidDel="00000000" w:rsidP="00000000" w:rsidRDefault="00000000" w:rsidRPr="00000000" w14:paraId="00000083">
      <w:pPr>
        <w:numPr>
          <w:ilvl w:val="0"/>
          <w:numId w:val="1"/>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and scalability testing — verifying correctness and measuring performance metrics (gas consumption, proof generation time, tree construction time) across varying batch sizes;</w:t>
      </w:r>
    </w:p>
    <w:p w:rsidR="00000000" w:rsidDel="00000000" w:rsidP="00000000" w:rsidRDefault="00000000" w:rsidRPr="00000000" w14:paraId="00000084">
      <w:pPr>
        <w:numPr>
          <w:ilvl w:val="0"/>
          <w:numId w:val="1"/>
        </w:numPr>
        <w:spacing w:after="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analysis — identifying vulnerabilities in smart contracts (via Slither) and ZKP circuits (via Circomspect or manual review); and</w:t>
      </w:r>
    </w:p>
    <w:p w:rsidR="00000000" w:rsidDel="00000000" w:rsidP="00000000" w:rsidRDefault="00000000" w:rsidRPr="00000000" w14:paraId="00000085">
      <w:pPr>
        <w:numPr>
          <w:ilvl w:val="0"/>
          <w:numId w:val="1"/>
        </w:numPr>
        <w:spacing w:after="20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assessment — gauging user acceptance among NGO representatives and donors using the System Usability Scale (SUS).</w:t>
      </w:r>
    </w:p>
    <w:p w:rsidR="00000000" w:rsidDel="00000000" w:rsidP="00000000" w:rsidRDefault="00000000" w:rsidRPr="00000000" w14:paraId="00000086">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focuses on the comparative evaluation of cryptographic primitives and zero-knowledge proof architectures for privacy-preserving donation verification systems. Rather than proposing a fully deployed solution for specific organizations, the research explores how different hash functions, commitment schemes, and proving frameworks perform when applied to a donation verification context. Moreover, the findings aim to discover and identify trade-offs in gas efficiency, proof generation, and verification. By experimentally analyzing these design choices, the study contributed empirical insight into how a donor-controlled, privacy-preserving verification mechanism may be implemented in a non-profit organization—cost-efficient manner.</w:t>
      </w:r>
    </w:p>
    <w:p w:rsidR="00000000" w:rsidDel="00000000" w:rsidP="00000000" w:rsidRDefault="00000000" w:rsidRPr="00000000" w14:paraId="00000087">
      <w:pPr>
        <w:spacing w:after="240" w:before="240" w:line="480" w:lineRule="auto"/>
        <w:ind w:firstLine="72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88">
      <w:pPr>
        <w:pStyle w:val="Heading1"/>
        <w:spacing w:after="240" w:line="480" w:lineRule="auto"/>
        <w:jc w:val="both"/>
        <w:rPr/>
      </w:pPr>
      <w:bookmarkStart w:colFirst="0" w:colLast="0" w:name="_heading=h.kzs66wgnh90r" w:id="1"/>
      <w:bookmarkEnd w:id="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40" w:line="480" w:lineRule="auto"/>
        <w:jc w:val="both"/>
        <w:rPr/>
      </w:pPr>
      <w:bookmarkStart w:colFirst="0" w:colLast="0" w:name="_heading=h.poasicw9jlxh" w:id="2"/>
      <w:bookmarkEnd w:id="2"/>
      <w:r w:rsidDel="00000000" w:rsidR="00000000" w:rsidRPr="00000000">
        <w:rPr>
          <w:rtl w:val="0"/>
        </w:rPr>
        <w:t xml:space="preserve">2. Related Literature</w:t>
      </w:r>
    </w:p>
    <w:p w:rsidR="00000000" w:rsidDel="00000000" w:rsidP="00000000" w:rsidRDefault="00000000" w:rsidRPr="00000000" w14:paraId="0000008A">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a comprehensive review of existing literature relevant to the experimental investigation of privacy-preserving mechanisms in blockchain-based donation systems. The review examines six interconnected domains: smart contract development paradigms and token design considerations, existing donation management systems with a comparative analysis of how current implementations address or fail to address key research problems, cryptographic primitives including Merkle trees, commitment schemes, and zero-knowledge proof mechanisms, the theoretical foundations underlying the novel combination of these techniques for donor-controlled privacy, zero-knowledge circuit development and proof generation architectures, and the comparative evaluation of algebraic hash functions and ZKP frameworks that inform the technology selection methodology adopted in this study. This literature review establishes the theoretical and empirical basis for the comparative and exploratory research conducted in this study.</w:t>
      </w:r>
    </w:p>
    <w:p w:rsidR="00000000" w:rsidDel="00000000" w:rsidP="00000000" w:rsidRDefault="00000000" w:rsidRPr="00000000" w14:paraId="0000008B">
      <w:pPr>
        <w:pStyle w:val="Heading2"/>
        <w:spacing w:after="240" w:before="360" w:lineRule="auto"/>
        <w:jc w:val="both"/>
        <w:rPr/>
      </w:pPr>
      <w:bookmarkStart w:colFirst="0" w:colLast="0" w:name="_heading=h.gvz1jlwnz0mj" w:id="3"/>
      <w:bookmarkEnd w:id="3"/>
      <w:r w:rsidDel="00000000" w:rsidR="00000000" w:rsidRPr="00000000">
        <w:rPr>
          <w:rtl w:val="0"/>
        </w:rPr>
        <w:t xml:space="preserve">2.1 Smart Contract Development Paradigms</w:t>
      </w:r>
    </w:p>
    <w:p w:rsidR="00000000" w:rsidDel="00000000" w:rsidP="00000000" w:rsidRDefault="00000000" w:rsidRPr="00000000" w14:paraId="0000008C">
      <w:pPr>
        <w:pStyle w:val="Heading3"/>
        <w:spacing w:after="200" w:before="280" w:line="480" w:lineRule="auto"/>
        <w:rPr>
          <w:b w:val="0"/>
          <w:bCs w:val="0"/>
        </w:rPr>
      </w:pPr>
      <w:bookmarkStart w:colFirst="0" w:colLast="0" w:name="_heading=h.swmxydhpfou7" w:id="4"/>
      <w:bookmarkEnd w:id="4"/>
      <w:r w:rsidDel="00000000" w:rsidR="00000000" w:rsidRPr="00000000">
        <w:rPr>
          <w:b w:val="0"/>
          <w:bCs w:val="0"/>
          <w:rtl w:val="0"/>
        </w:rPr>
        <w:t xml:space="preserve">2.1.1 Contract Architecture and Platform Considerations</w:t>
      </w:r>
    </w:p>
    <w:p w:rsidR="00000000" w:rsidDel="00000000" w:rsidP="00000000" w:rsidRDefault="00000000" w:rsidRPr="00000000" w14:paraId="0000008D">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contract development paradigms have evolved significantly since the introduction of Ethereum's programmable blockchain. According to Liu et al. (2024), smart contracts function as distributed ledger programs with predefined rules, states, and conditional responses that enable information exchange, value transfer, and asset management. From a computer science perspective, these contracts represent a novel computation model where program execution is verified through distributed consensus rather than centralized authority, raising fundamental questions about the trade-offs between decentralization, efficiency, and expressiveness.</w:t>
      </w:r>
    </w:p>
    <w:p w:rsidR="00000000" w:rsidDel="00000000" w:rsidP="00000000" w:rsidRDefault="00000000" w:rsidRPr="00000000" w14:paraId="0000008E">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Ethereum Virtual Machine (EVM) provides a Turing-complete execution environment for smart contracts, enabling arbitrary computation subject to gas constraints. Li et al. (2024) describe how Solidity, the predominant high-level language for EVM development, compiles to bytecode that executes deterministically across all network nodes. This architecture presents interesting research questions regarding optimization strategies, as the gas mechanism creates economic incentives for computational efficiency that differ fundamentally from traditional software development contexts.</w:t>
      </w:r>
    </w:p>
    <w:p w:rsidR="00000000" w:rsidDel="00000000" w:rsidP="00000000" w:rsidRDefault="00000000" w:rsidRPr="00000000" w14:paraId="0000008F">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Bartoletti et al. (2024) conducted a comparative analysis of six smart contract languages through their "Rosetta Smart Contracts" benchmark, examining Solidity, Rust, Aiken, PyTeal, Move, and SmartPy. Their findings illuminate how different blockchain architectures—particularly the distinction between account-based models (Ethereum) and UTXO-based models (Cardano)—influence contract design patterns and security properties. This comparative framework informs the platform selection rationale for experimental blockchain research, where the choice of underlying architecture affects both the feasibility of implementing specific cryptographic mechanisms and the generalizability of experimental results.</w:t>
      </w:r>
    </w:p>
    <w:p w:rsidR="00000000" w:rsidDel="00000000" w:rsidP="00000000" w:rsidRDefault="00000000" w:rsidRPr="00000000" w14:paraId="00000090">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2 scaling solutions present relevant considerations for experimental deployments. Gangwal et al. (2022) compared various Layer 2 protocols, documenting that Polygon's proof-of-stake architecture achieves transaction costs below $0.01 compared to $5–50 on Ethereum mainnet during congestion. For experimental research requiring iterative deployment and testing, such cost differentials are methodologically significant. It should be noted that the Polygon Mumbai testnet was deprecated in April 2024; experimental work should utilize the Polygon Amoy testnet or Polygon PoS mainnet with controlled test parameters.</w:t>
      </w:r>
    </w:p>
    <w:p w:rsidR="00000000" w:rsidDel="00000000" w:rsidP="00000000" w:rsidRDefault="00000000" w:rsidRPr="00000000" w14:paraId="00000091">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Vacca et al. (2021) conducted a systematic literature review of blockchain and smart contract development, identifying recurring security patterns and common vulnerabilities. Their synthesis of 96 articles reveals that role-based access control and state management patterns constitute essential security foundations, while also highlighting that the immutability of deployed contracts creates unique challenges for iterative development and bug remediation. These findings inform the experimental methodology by establishing baseline security requirements against which novel mechanisms can be evaluated.</w:t>
      </w:r>
    </w:p>
    <w:p w:rsidR="00000000" w:rsidDel="00000000" w:rsidP="00000000" w:rsidRDefault="00000000" w:rsidRPr="00000000" w14:paraId="00000092">
      <w:pPr>
        <w:pStyle w:val="Heading3"/>
        <w:spacing w:after="200" w:before="280" w:line="480" w:lineRule="auto"/>
        <w:rPr>
          <w:b w:val="0"/>
          <w:bCs w:val="0"/>
        </w:rPr>
      </w:pPr>
      <w:bookmarkStart w:colFirst="0" w:colLast="0" w:name="_heading=h.11y9owvyddez" w:id="5"/>
      <w:bookmarkEnd w:id="5"/>
      <w:r w:rsidDel="00000000" w:rsidR="00000000" w:rsidRPr="00000000">
        <w:rPr>
          <w:b w:val="0"/>
          <w:bCs w:val="0"/>
          <w:rtl w:val="0"/>
        </w:rPr>
        <w:t xml:space="preserve">2.1.2 Token Standards and Event Logging Mechanisms</w:t>
      </w:r>
    </w:p>
    <w:p w:rsidR="00000000" w:rsidDel="00000000" w:rsidP="00000000" w:rsidRDefault="00000000" w:rsidRPr="00000000" w14:paraId="00000093">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ERC-20 token standard, formalized through Ethereum Improvement Proposal 20, establishes an interface specification for fungible tokens enabling interoperability across the Ethereum ecosystem (Vogelsteller &amp; Buterin, 2015). Understanding the distinction between token-based and event-based data recording is essential for experimental design in blockchain systems. Tokens represent transferable digital assets managed through smart contract state, while events provide an append-only logging mechanism that is significantly more gas-efficient but does not support on-chain querying or transfer operations.</w:t>
      </w:r>
    </w:p>
    <w:p w:rsidR="00000000" w:rsidDel="00000000" w:rsidP="00000000" w:rsidRDefault="00000000" w:rsidRPr="00000000" w14:paraId="00000094">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between implementing custom tokens versus utilizing native event logging mechanisms involves several technical and regulatory considerations that merit examination. Albert et al. (2022) established that storage operations consume approximately 20,000 gas units compared to 375 gas for base LOG operations plus 8 gas per byte of logged data. This cost differential suggests that event-based logging may be preferable when the primary requirement is immutable record-keeping rather than value transfer. However, tokens provide capabilities that events cannot replicate, including transferability, balance queries, and integration with decentralized finance protocols.</w:t>
      </w:r>
    </w:p>
    <w:p w:rsidR="00000000" w:rsidDel="00000000" w:rsidP="00000000" w:rsidRDefault="00000000" w:rsidRPr="00000000" w14:paraId="00000095">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donation management systems, the token versus event decision depends on whether donations require representation as transferable assets or merely immutable records. If tokens represent actual donation value with intended transferability, the tokenomics—including supply mechanics, distribution rules, and utility functions—must be clearly specified. If the primary purpose is audit trail creation, event emissions offer substantial cost advantages without the complexity of token lifecycle management.</w:t>
      </w:r>
    </w:p>
    <w:p w:rsidR="00000000" w:rsidDel="00000000" w:rsidP="00000000" w:rsidRDefault="00000000" w:rsidRPr="00000000" w14:paraId="00000096">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considerations further complicate token implementation decisions. In the Philippine context, Bangko Sentral ng Pilipinas (BSP) Circular No. 944, Series of 2017, establishes registration requirements for Virtual Currency exchanges and mandates compliance with anti-money laundering regulations. Token issuance, even for non-speculative purposes, may trigger regulatory obligations that event-based logging would avoid. These regulatory implications represent important contextual factors for experimental research conducted within specific jurisdictions.</w:t>
      </w:r>
    </w:p>
    <w:p w:rsidR="00000000" w:rsidDel="00000000" w:rsidP="00000000" w:rsidRDefault="00000000" w:rsidRPr="00000000" w14:paraId="00000097">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Heines et al. (2021) provided a framework for analyzing tokenized assets, examining how tokenization designs integrate off-chain value with on-chain verifiability. Their work demonstrates that tokenization decisions involve trade-offs between functionality, cost, regulatory exposure, and implementation complexity. For experimental research investigating privacy-preserving donation mechanisms, these trade-offs must be explicitly acknowledged and justified based on the specific research objectives being pursued.</w:t>
      </w:r>
    </w:p>
    <w:p w:rsidR="00000000" w:rsidDel="00000000" w:rsidP="00000000" w:rsidRDefault="00000000" w:rsidRPr="00000000" w14:paraId="00000098">
      <w:pPr>
        <w:pStyle w:val="Heading3"/>
        <w:spacing w:after="200" w:before="280" w:line="480" w:lineRule="auto"/>
        <w:rPr>
          <w:b w:val="0"/>
          <w:bCs w:val="0"/>
          <w:i w:val="0"/>
          <w:iCs w:val="0"/>
          <w:sz w:val="26"/>
          <w:szCs w:val="26"/>
        </w:rPr>
      </w:pPr>
      <w:bookmarkStart w:colFirst="0" w:colLast="0" w:name="_heading=h.i0qjrpsl3rg8" w:id="6"/>
      <w:bookmarkEnd w:id="6"/>
      <w:r w:rsidDel="00000000" w:rsidR="00000000" w:rsidRPr="00000000">
        <w:rPr>
          <w:b w:val="0"/>
          <w:bCs w:val="0"/>
          <w:rtl w:val="0"/>
        </w:rPr>
        <w:t xml:space="preserve">2.1.3 Ethereum Token Standards Comparison</w:t>
      </w:r>
      <w:r w:rsidDel="00000000" w:rsidR="00000000" w:rsidRPr="00000000">
        <w:rPr>
          <w:rtl w:val="0"/>
        </w:rPr>
      </w:r>
    </w:p>
    <w:p w:rsidR="00000000" w:rsidDel="00000000" w:rsidP="00000000" w:rsidRDefault="00000000" w:rsidRPr="00000000" w14:paraId="00000099">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Ethereum ecosystem supports multiple token standards, each designed for specific use cases with distinct technical characteristics. Understanding these standards is essential for selecting appropriate mechanisms for donation tracking and verification. The three primary standards—ERC-20, ERC-721, and ERC-1155—represent an evolution in token design philosophy, from simple fungible assets to complex multi-token contracts capable of representing diverse asset types within a single deployment (Ethereum Foundation, 2024a).</w:t>
      </w:r>
    </w:p>
    <w:p w:rsidR="00000000" w:rsidDel="00000000" w:rsidP="00000000" w:rsidRDefault="00000000" w:rsidRPr="00000000" w14:paraId="0000009A">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ERC-20, proposed in 2015 and formally adopted in 2017, establishes the standard interface for fungible tokens where each unit is interchangeable with any other unit of the same token. The standard defines six mandatory functions (totalSupply, balanceOf, transfer, transferFrom, approve, allowance) and two events (Transfer, Approval) that enable consistent interaction across wallets, exchanges, and decentralized applications. ERC-20 tokens are widely used for cryptocurrencies, stablecoins, governance tokens, and utility tokens in decentralized finance applications (Ethereum Foundation, 2024a).</w:t>
      </w:r>
    </w:p>
    <w:p w:rsidR="00000000" w:rsidDel="00000000" w:rsidP="00000000" w:rsidRDefault="00000000" w:rsidRPr="00000000" w14:paraId="0000009B">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ERC-721, introduced in 2018, provides the standard for non-fungible tokens (NFTs) where each token possesses unique characteristics and cannot be exchanged on a one-to-one basis with other tokens. Each ERC-721 token has a distinct tokenId and can store individual metadata through the tokenURI function. This standard enabled the creation of digital collectibles, artwork, gaming assets, and identity credentials where uniqueness and provenance are essential properties (Ethereum Foundation, 2024a).</w:t>
      </w:r>
    </w:p>
    <w:p w:rsidR="00000000" w:rsidDel="00000000" w:rsidP="00000000" w:rsidRDefault="00000000" w:rsidRPr="00000000" w14:paraId="0000009C">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ERC-1155, proposed by Enjin CTO Witek Radomski in 2018, represents a multi-token standard that combines capabilities of both ERC-20 and ERC-721 within a single smart contract. This standard supports fungible, non-fungible, and semi-fungible tokens simultaneously, enabling batch transfers that significantly reduce gas costs compared to individual ERC-721 transfers. Semi-fungible tokens—assets that begin as fungible but become non-fungible upon redemption—are uniquely supported by ERC-1155, making it particularly suitable for gaming and event ticketing applications (Ethereum Foundation, 2024a).</w:t>
      </w:r>
    </w:p>
    <w:p w:rsidR="00000000" w:rsidDel="00000000" w:rsidP="00000000" w:rsidRDefault="00000000" w:rsidRPr="00000000" w14:paraId="0000009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w:t>
      </w:r>
    </w:p>
    <w:p w:rsidR="00000000" w:rsidDel="00000000" w:rsidP="00000000" w:rsidRDefault="00000000" w:rsidRPr="00000000" w14:paraId="0000009E">
      <w:pPr>
        <w:spacing w:after="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Comparison of Ethereum Token Standards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90"/>
        <w:gridCol w:w="1980"/>
        <w:gridCol w:w="3030"/>
        <w:tblGridChange w:id="0">
          <w:tblGrid>
            <w:gridCol w:w="1725"/>
            <w:gridCol w:w="1890"/>
            <w:gridCol w:w="1980"/>
            <w:gridCol w:w="303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9F">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Characteristic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0">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ERC-20</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1">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ERC-721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2">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ERC-1155</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Fungible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Non-Fungible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Multi-Token (Fungible, Non-Fungible, Semi-Fungible)</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 Introduced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2015/2017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2018</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Interchangeability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exchangeable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not exchangeable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Configurable per token ID</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Contracts per Collection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per token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per collection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for unlimited types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 Transfers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(one per transaction)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 (multiple tokens/types)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Gas Efficiency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per transfer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(batch operations)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Metadata Support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Per-token URI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Per-token ID URI</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Common Use Cases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Currencies, DeFi, governance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Digital art, collectibles, identity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Gaming, mixed assets, bulk NFTs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Example Projects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USDT, LINK, UNI, DAI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CryptoKitties, BAYC, ENS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Enjin, The Sandbox, Gods Unchained</w:t>
            </w:r>
          </w:p>
        </w:tc>
      </w:tr>
    </w:tbl>
    <w:p w:rsidR="00000000" w:rsidDel="00000000" w:rsidP="00000000" w:rsidRDefault="00000000" w:rsidRPr="00000000" w14:paraId="000000C7">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donation management systems, the choice of token standard depends on whether donations are treated as fungible contributions to a pool (favoring ERC-20 or event logging), unique recorded transactions requiring individual verification (potentially ERC-721), or a combination requiring batch processing efficiency (ERC-1155). The experimental investigation in this study primarily utilizes event-based logging rather than token minting, as the research objective centers on privacy-preserving verification rather than asset transferability (Albert et al., 2022).</w:t>
      </w:r>
    </w:p>
    <w:p w:rsidR="00000000" w:rsidDel="00000000" w:rsidP="00000000" w:rsidRDefault="00000000" w:rsidRPr="00000000" w14:paraId="000000C8">
      <w:pPr>
        <w:pStyle w:val="Heading3"/>
        <w:spacing w:after="200" w:before="280" w:line="480" w:lineRule="auto"/>
        <w:rPr>
          <w:b w:val="0"/>
          <w:bCs w:val="0"/>
        </w:rPr>
      </w:pPr>
      <w:bookmarkStart w:colFirst="0" w:colLast="0" w:name="_heading=h.pf70fswt9b8l" w:id="7"/>
      <w:bookmarkEnd w:id="7"/>
      <w:r w:rsidDel="00000000" w:rsidR="00000000" w:rsidRPr="00000000">
        <w:rPr>
          <w:b w:val="0"/>
          <w:bCs w:val="0"/>
          <w:rtl w:val="0"/>
        </w:rPr>
        <w:t xml:space="preserve">2.1.4 Cryptographic Hash Functions in Blockchain Systems</w:t>
      </w:r>
    </w:p>
    <w:p w:rsidR="00000000" w:rsidDel="00000000" w:rsidP="00000000" w:rsidRDefault="00000000" w:rsidRPr="00000000" w14:paraId="000000C9">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Cryptographic hash functions constitute fundamental building blocks for blockchain security, providing data integrity verification, commitment scheme construction, and address generation. Ethereum's native hash function, keccak256, differs from other commonly used algorithms in construction methodology, performance characteristics, and security properties. Understanding these differences informs implementation decisions for commitment-based privacy mechanisms (Bertoni et al., 2013).</w:t>
      </w:r>
    </w:p>
    <w:p w:rsidR="00000000" w:rsidDel="00000000" w:rsidP="00000000" w:rsidRDefault="00000000" w:rsidRPr="00000000" w14:paraId="000000CA">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Keccak-256 was selected as the winner of the NIST SHA-3 competition in 2012, developed by cryptographers Guido Bertoni, Joan Daemen, Michaël Peeters, and Gilles Van Assche (Bertoni et al., 2013). Notably, Ethereum implements the original Keccak submission rather than the final NIST SHA-3 standard, which introduced minor padding modifications after the competition. This distinction is important: Ethereum's keccak256 and NIST's SHA3-256 produce different outputs for identical inputs despite sharing the same underlying permutation function.</w:t>
      </w:r>
    </w:p>
    <w:p w:rsidR="00000000" w:rsidDel="00000000" w:rsidP="00000000" w:rsidRDefault="00000000" w:rsidRPr="00000000" w14:paraId="000000CB">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Keccak employs a sponge construction fundamentally different from the Merkle-Damgård construction used by SHA-256 and earlier hash functions. The sponge construction operates in two phases: an absorbing phase where input data is processed into an internal state, and a squeezing phase where output is extracted. This design provides inherent resistance to length extension attacks that affect Merkle-Damgård constructions, eliminating a class of vulnerabilities without requiring HMAC-style constructions for certain applications (Bertoni et al., 2013).</w:t>
      </w:r>
    </w:p>
    <w:p w:rsidR="00000000" w:rsidDel="00000000" w:rsidP="00000000" w:rsidRDefault="00000000" w:rsidRPr="00000000" w14:paraId="000000CC">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experimental implementation investigated in this study, Keccak256 serves as the baseline hash function for this study due to its native EVM support, while alternative hash functions (Poseidon, MiMC, Pedersen) are evaluated through comparative benchmarking. The 256-bit output provides adequate collision resistance for donation verification purposes, while the sponge construction offers favorable security properties for commitment scheme applications where preimage resistance is critical (Bertoni et al., 2013; QuickNode, 2024).</w:t>
      </w:r>
    </w:p>
    <w:p w:rsidR="00000000" w:rsidDel="00000000" w:rsidP="00000000" w:rsidRDefault="00000000" w:rsidRPr="00000000" w14:paraId="000000CD">
      <w:pPr>
        <w:pStyle w:val="Heading3"/>
        <w:keepNext w:val="0"/>
        <w:keepLines w:val="0"/>
        <w:spacing w:after="200" w:before="280" w:line="480" w:lineRule="auto"/>
        <w:rPr>
          <w:b w:val="0"/>
          <w:bCs w:val="0"/>
        </w:rPr>
      </w:pPr>
      <w:bookmarkStart w:colFirst="0" w:colLast="0" w:name="_heading=h.873323vgnfmn" w:id="8"/>
      <w:bookmarkEnd w:id="8"/>
      <w:r w:rsidDel="00000000" w:rsidR="00000000" w:rsidRPr="00000000">
        <w:rPr>
          <w:b w:val="0"/>
          <w:bCs w:val="0"/>
          <w:rtl w:val="0"/>
        </w:rPr>
        <w:t xml:space="preserve">2.1.5 Development and Evaluation Tools</w:t>
      </w:r>
    </w:p>
    <w:p w:rsidR="00000000" w:rsidDel="00000000" w:rsidP="00000000" w:rsidRDefault="00000000" w:rsidRPr="00000000" w14:paraId="000000CE">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and evaluation of smart contract systems requires specialized tooling for compilation, deployment, testing, and security analysis. Hardhat is an Ethereum development environment that provides an integrated framework for compiling Solidity source code, deploying contracts to local or remote networks, and executing automated test suites using JavaScript. The Hardhat Network, a built-in local blockchain simulator, enables deterministic testing by emulating the Ethereum Virtual Machine without incurring real network costs, while producing gas consumption measurements equivalent to mainnet execution (Nomic Foundation, 2024). Hardhat has become the industry-standard tool for EVM-compatible smart contract development, widely adopted in both academic research and commercial applications due to its comprehensive testing capabilities and extensible plugin architecture.</w:t>
      </w:r>
    </w:p>
    <w:p w:rsidR="00000000" w:rsidDel="00000000" w:rsidP="00000000" w:rsidRDefault="00000000" w:rsidRPr="00000000" w14:paraId="000000CF">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static security analysis, Slither provides a framework specifically designed for Solidity smart contracts that detects over 90 vulnerability patterns without requiring code execution. Developed by Trail of Bits, Slither converts Solidity source code into an intermediate representation (SlithIR) that enables pattern-based vulnerability detection, categorizing findings into severity levels ranging from high-severity exploitable vulnerabilities to informational code quality recommendations (Feist et al., 2019). Static analysis is particularly valuable for smart contract evaluation because the immutability of deployed contracts means that undetected vulnerabilities cannot be patched after deployment, necessitating rigorous pre-deployment analysis.</w:t>
      </w:r>
    </w:p>
    <w:p w:rsidR="00000000" w:rsidDel="00000000" w:rsidP="00000000" w:rsidRDefault="00000000" w:rsidRPr="00000000" w14:paraId="000000D0">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OpenZeppelin Contracts library provides audited, community-reviewed implementations of common smart contract patterns and utilities. The MerkleProof library within OpenZeppelin implements Merkle tree verification functions that enable efficient on-chain validation of leaf inclusion against a stored root hash, following the standard binary Merkle tree construction (OpenZeppelin, 2024). By leveraging audited library implementations rather than custom cryptographic code, smart contract developers can reduce the risk of implementation errors in security-critical operations while benefiting from established gas optimization patterns.</w:t>
      </w:r>
    </w:p>
    <w:p w:rsidR="00000000" w:rsidDel="00000000" w:rsidP="00000000" w:rsidRDefault="00000000" w:rsidRPr="00000000" w14:paraId="000000D1">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usability evaluation, the System Usability Scale (SUS) developed by Brooke (1996) provides a standardized ten-item questionnaire that has been validated across thousands of studies with over 20,000 academic citations. Bangor et al. (2008) established empirical benchmarks demonstrating that a score of 68 represents the 50th percentile of all reported SUS scores, providing an evidence-based threshold for usability assessment. The SUS has been successfully applied to evaluate blockchain-based systems, establishing its appropriateness for assessing user-facing smart contract applications.</w:t>
      </w:r>
    </w:p>
    <w:p w:rsidR="00000000" w:rsidDel="00000000" w:rsidP="00000000" w:rsidRDefault="00000000" w:rsidRPr="00000000" w14:paraId="000000D2">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ZKP circuit security analysis, Circomspect provides a static analysis tool specifically designed for Circom circuits that detects common vulnerabilities including under-constrained signals, unused variables, and potential soundness issues. Developed as an open-source tool by the Trail of Bits, Circomspect complements Slither by extending security analysis coverage from the smart contract layer to the zero-knowledge proof circuit layer (Trail of Bits, 2023). This dual-layer analysis approach—Slither for Solidity contracts and Circomspect for Circom circuits—ensures comprehensive security evaluation of the complete verification pipeline. For ZKP frameworks where Circomspect is not applicable (such as ZoKrates or Noir), manual circuit review following established ZKP security guidelines serves as an equivalent evaluation mechanism.</w:t>
      </w:r>
    </w:p>
    <w:p w:rsidR="00000000" w:rsidDel="00000000" w:rsidP="00000000" w:rsidRDefault="00000000" w:rsidRPr="00000000" w14:paraId="000000D3">
      <w:pPr>
        <w:pStyle w:val="Heading2"/>
        <w:spacing w:after="240" w:before="360" w:lineRule="auto"/>
        <w:jc w:val="both"/>
        <w:rPr/>
      </w:pPr>
      <w:bookmarkStart w:colFirst="0" w:colLast="0" w:name="_heading=h.8ymlwbqt21kt" w:id="9"/>
      <w:bookmarkEnd w:id="9"/>
      <w:r w:rsidDel="00000000" w:rsidR="00000000" w:rsidRPr="00000000">
        <w:rPr>
          <w:rtl w:val="0"/>
        </w:rPr>
        <w:t xml:space="preserve">2.2 Existing Donation Management Systems</w:t>
      </w:r>
    </w:p>
    <w:p w:rsidR="00000000" w:rsidDel="00000000" w:rsidP="00000000" w:rsidRDefault="00000000" w:rsidRPr="00000000" w14:paraId="000000D4">
      <w:pPr>
        <w:pStyle w:val="Heading3"/>
        <w:spacing w:after="200" w:before="280" w:line="480" w:lineRule="auto"/>
        <w:rPr>
          <w:b w:val="0"/>
          <w:bCs w:val="0"/>
        </w:rPr>
      </w:pPr>
      <w:bookmarkStart w:colFirst="0" w:colLast="0" w:name="_heading=h.urbd0bymplo6" w:id="10"/>
      <w:bookmarkEnd w:id="10"/>
      <w:r w:rsidDel="00000000" w:rsidR="00000000" w:rsidRPr="00000000">
        <w:rPr>
          <w:b w:val="0"/>
          <w:bCs w:val="0"/>
          <w:rtl w:val="0"/>
        </w:rPr>
        <w:t xml:space="preserve">2.2.1 Limitations of Conventional Approaches</w:t>
      </w:r>
    </w:p>
    <w:p w:rsidR="00000000" w:rsidDel="00000000" w:rsidP="00000000" w:rsidRDefault="00000000" w:rsidRPr="00000000" w14:paraId="000000D5">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donation management systems exhibit structural characteristics that have motivated research into blockchain-based alternatives. Nairi et al. (2024) documented several limitations in conventional charity platforms: centralized data storage creates single points of failure, with their research indicating that up to 25% of donated funds experience misallocation due to verification difficulties. Intermediary fees from banks and payment processors typically extract 15-20% of donation value, while paper-based tracking introduces delays of several weeks before donations are properly recorded.</w:t>
      </w:r>
    </w:p>
    <w:p w:rsidR="00000000" w:rsidDel="00000000" w:rsidP="00000000" w:rsidRDefault="00000000" w:rsidRPr="00000000" w14:paraId="000000D6">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Ghoorah et al. (2025) examined the relationship between financial transparency, trust, and perceived performance in nonprofit organizations. Their empirical analysis of donor perceptions reveals that information asymmetry between organizations and donors contributes to weakened public confidence in charitable giving. This finding establishes a theoretical motivation for transparency-enhancing technologies while also raising questions about whether technological transparency mechanisms actually influence donor behavior—a question that requires empirical investigation.</w:t>
      </w:r>
    </w:p>
    <w:p w:rsidR="00000000" w:rsidDel="00000000" w:rsidP="00000000" w:rsidRDefault="00000000" w:rsidRPr="00000000" w14:paraId="000000D7">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of donation platforms has addressed some limitations while introducing others. Centralized digital platforms improve convenience and reduce processing delays but create new vulnerabilities through concentrated data storage and dependence on platform operators. Research on platform security indicates that centralized architectures present attractive targets for malicious actors, with security incidents during high-activity periods causing disproportionate trust damage. These observations suggest that decentralization may offer security benefits, though the specific mechanisms and their effectiveness remain subjects for empirical study (Almaghrabi &amp; Alhogail, 2022).</w:t>
      </w:r>
    </w:p>
    <w:p w:rsidR="00000000" w:rsidDel="00000000" w:rsidP="00000000" w:rsidRDefault="00000000" w:rsidRPr="00000000" w14:paraId="000000D8">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fragmentation represents an additional structural challenge, where the proliferation of independent donation systems leads to coordination failures, duplicated efforts, and data inconsistencies. The absence of interoperability standards prevents information sharing across platforms, limiting the potential for comprehensive impact assessment. From a computer science perspective, this fragmentation problem relates to broader questions of distributed system coordination and data standardization that blockchain architectures may partially address (Mariyam et al., 2025).</w:t>
      </w:r>
    </w:p>
    <w:p w:rsidR="00000000" w:rsidDel="00000000" w:rsidP="00000000" w:rsidRDefault="00000000" w:rsidRPr="00000000" w14:paraId="000000D9">
      <w:pPr>
        <w:pStyle w:val="Heading3"/>
        <w:spacing w:after="200" w:before="280" w:line="480" w:lineRule="auto"/>
        <w:rPr>
          <w:b w:val="0"/>
          <w:bCs w:val="0"/>
        </w:rPr>
      </w:pPr>
      <w:bookmarkStart w:colFirst="0" w:colLast="0" w:name="_heading=h.ld9xe9i0cxy" w:id="11"/>
      <w:bookmarkEnd w:id="11"/>
      <w:r w:rsidDel="00000000" w:rsidR="00000000" w:rsidRPr="00000000">
        <w:rPr>
          <w:b w:val="0"/>
          <w:bCs w:val="0"/>
          <w:rtl w:val="0"/>
        </w:rPr>
        <w:t xml:space="preserve">2.2.2 Blockchain-Based Donation Platforms</w:t>
      </w:r>
    </w:p>
    <w:p w:rsidR="00000000" w:rsidDel="00000000" w:rsidP="00000000" w:rsidRDefault="00000000" w:rsidRPr="00000000" w14:paraId="000000DA">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blockchain-based donation platforms have been developed and deployed, providing empirical reference points for evaluating alternative approaches. The Giving Block operates as a cryptocurrency donation platform enabling nonprofits to accept digital assets, leveraging blockchain's native transparency through publicly visible transactions. However, this transparency is achieved through complete exposure of donor wallet addresses, creating a direct trade-off between auditability and donor privacy that the platform does not attempt to resolve (Sung et al., 2023).</w:t>
      </w:r>
    </w:p>
    <w:p w:rsidR="00000000" w:rsidDel="00000000" w:rsidP="00000000" w:rsidRDefault="00000000" w:rsidRPr="00000000" w14:paraId="000000DB">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BitGive developed GiveTrack, a donation tracking system built on Bitcoin's blockchain that enables donors to follow fund disbursement to intended recipients. The platform demonstrates blockchain's capacity for end-to-end transaction tracing but similarly requires full public visibility of all participants. Alice.si introduced milestone-based fund release mechanisms where donations remain in escrow until verified impact metrics are achieved, representing an interesting application of smart contract conditionality to charitable giving. The platform primarily targets European markets and offers fiat currency integration alongside cryptocurrency acceptance (Almaghrabi &amp; Alhogail, 2022).</w:t>
      </w:r>
    </w:p>
    <w:p w:rsidR="00000000" w:rsidDel="00000000" w:rsidP="00000000" w:rsidRDefault="00000000" w:rsidRPr="00000000" w14:paraId="000000DC">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Giveth operates as a decentralized donation application deployed on Gnosis Chain, achieving lower transaction costs through its choice of blockchain infrastructure. The platform emphasizes community governance and transparent fund allocation but requires users to possess cryptocurrency wallets and does not implement privacy-preserving mechanisms for donors. These commercial implementations demonstrate various approaches to blockchain-based donation management while consistently leaving the privacy-transparency trade-off unaddressed (Nairi et al., 2024).</w:t>
      </w:r>
    </w:p>
    <w:p w:rsidR="00000000" w:rsidDel="00000000" w:rsidP="00000000" w:rsidRDefault="00000000" w:rsidRPr="00000000" w14:paraId="000000DD">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research has produced additional blockchain donation system proposals. Nairi et al. (2024) proposed DonateBlocks, utilizing Ethereum smart contracts for donation event creation and tracking. Their architecture enables transparent fund flow monitoring but requires MetaMask wallet connectivity, exposing donor addresses and creating adoption barriers for users unfamiliar with cryptocurrency infrastructure. Jadhav et al. (2025) developed a crypto-charity platform for scholarship tracking, demonstrating blockchain's applicability to specific donation use cases while maintaining the same transparency-privacy trade-off observed in commercial platforms.</w:t>
      </w:r>
    </w:p>
    <w:p w:rsidR="00000000" w:rsidDel="00000000" w:rsidP="00000000" w:rsidRDefault="00000000" w:rsidRPr="00000000" w14:paraId="000000DE">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et al. (2024) and S et al. (2025) proposed the BECP (Blockchain Enabled Charity Process) framework specifically addressing disaster relief scenarios, where rapid fund deployment and transparent allocation are particularly critical. Sung et al. (2023) empirically investigated donor trust in blockchain-based systems, finding that transparent disclosure mechanisms increase public support, particularly among initially skeptical donors. Their research validates the theoretical connection between blockchain transparency and donor confidence while also highlighting that existing implementations assume this transparency must be absolute rather than selective.</w:t>
      </w:r>
    </w:p>
    <w:p w:rsidR="00000000" w:rsidDel="00000000" w:rsidP="00000000" w:rsidRDefault="00000000" w:rsidRPr="00000000" w14:paraId="000000DF">
      <w:pPr>
        <w:pStyle w:val="Heading3"/>
        <w:spacing w:after="200" w:before="280" w:line="480" w:lineRule="auto"/>
        <w:rPr>
          <w:b w:val="0"/>
          <w:bCs w:val="0"/>
        </w:rPr>
      </w:pPr>
      <w:bookmarkStart w:colFirst="0" w:colLast="0" w:name="_heading=h.g3c5g4jfutyf" w:id="12"/>
      <w:bookmarkEnd w:id="12"/>
      <w:r w:rsidDel="00000000" w:rsidR="00000000" w:rsidRPr="00000000">
        <w:rPr>
          <w:b w:val="0"/>
          <w:bCs w:val="0"/>
          <w:rtl w:val="0"/>
        </w:rPr>
        <w:t xml:space="preserve">2.2.3 Comparative Analysis Against Research Problems</w:t>
      </w:r>
    </w:p>
    <w:p w:rsidR="00000000" w:rsidDel="00000000" w:rsidP="00000000" w:rsidRDefault="00000000" w:rsidRPr="00000000" w14:paraId="000000E0">
      <w:pPr>
        <w:spacing w:after="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presents a systematic comparison of existing blockchain donation platforms against the three problem statements motivating this research. This analysis identifies specific gaps in current implementations that the experimental investigation aims to explore.</w:t>
      </w:r>
    </w:p>
    <w:p w:rsidR="00000000" w:rsidDel="00000000" w:rsidP="00000000" w:rsidRDefault="00000000" w:rsidRPr="00000000" w14:paraId="000000E1">
      <w:pPr>
        <w:spacing w:after="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w:t>
      </w:r>
    </w:p>
    <w:p w:rsidR="00000000" w:rsidDel="00000000" w:rsidP="00000000" w:rsidRDefault="00000000" w:rsidRPr="00000000" w14:paraId="000000E2">
      <w:pPr>
        <w:spacing w:after="0" w:before="12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Comparative Analysis of Blockchain Donation Systems Against Problem Statements</w:t>
      </w:r>
    </w:p>
    <w:tbl>
      <w:tblPr>
        <w:tblStyle w:val="Table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175879396985"/>
        <w:gridCol w:w="900.9045226130654"/>
        <w:gridCol w:w="879.1959798994975"/>
        <w:gridCol w:w="835.7788944723619"/>
        <w:gridCol w:w="781.5075376884422"/>
        <w:gridCol w:w="814.070351758794"/>
        <w:gridCol w:w="879.1959798994975"/>
        <w:gridCol w:w="672.964824120603"/>
        <w:gridCol w:w="955.175879396985"/>
        <w:gridCol w:w="966.0301507537689"/>
        <w:tblGridChange w:id="0">
          <w:tblGrid>
            <w:gridCol w:w="955.175879396985"/>
            <w:gridCol w:w="900.9045226130654"/>
            <w:gridCol w:w="879.1959798994975"/>
            <w:gridCol w:w="835.7788944723619"/>
            <w:gridCol w:w="781.5075376884422"/>
            <w:gridCol w:w="814.070351758794"/>
            <w:gridCol w:w="879.1959798994975"/>
            <w:gridCol w:w="672.964824120603"/>
            <w:gridCol w:w="955.175879396985"/>
            <w:gridCol w:w="966.0301507537689"/>
          </w:tblGrid>
        </w:tblGridChange>
      </w:tblGrid>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3">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Platform</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Transparency</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Donor-Controlled Verification</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Transaction Cost Efficiency</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7">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Empirical Validation</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8">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Payment Integration</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9">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Commitment Scheme</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A">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Merkle Batching</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B">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Hash Function Comparative Evaluation</w:t>
            </w:r>
          </w:p>
        </w:tc>
        <w:tc>
          <w:tcPr>
            <w:tcBorders>
              <w:top w:color="000000" w:space="0" w:sz="4" w:val="single"/>
              <w:left w:color="000000" w:space="0" w:sz="0" w:val="nil"/>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EC">
            <w:pPr>
              <w:spacing w:after="240" w:before="240" w:line="480" w:lineRule="auto"/>
              <w:jc w:val="both"/>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ZKP Framework Comparative Evaluation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D">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Giving Block</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E">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F">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0">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2">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Crypto only</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5">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6">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7">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BitGive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8">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9">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A">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B">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C">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Crypto only</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D">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E">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FF">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0">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1">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Alice.si</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2">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3">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4">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5">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6">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Fiat + Crypto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7">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8">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9">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A">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B">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Giveth</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C">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D">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E">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 (Gnosis)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0F">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0">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Crypto only</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1">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2">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3">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4">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5">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DonateBlocks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6">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7">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8">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9">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A">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ETH only</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B">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C">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D">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E">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1F">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BECP Framework</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0">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1">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addressed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2">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discussed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3">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4">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specified</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5">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6">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7">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8">
            <w:pP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9">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AidVocate (This Study)</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A">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Explore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Explore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C">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Explore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D">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Explore</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E">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GCash/ PayMaya</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2F">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Selected via Phase 0</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0">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1">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Yes</w:t>
            </w:r>
          </w:p>
        </w:tc>
        <w:tc>
          <w:tcPr>
            <w:tcBorders>
              <w:top w:color="000000" w:space="0" w:sz="0" w:val="nil"/>
              <w:left w:color="000000" w:space="0" w:sz="0" w:val="nil"/>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2">
            <w:pPr>
              <w:spacing w:after="240" w:before="24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Yes</w:t>
            </w:r>
          </w:p>
        </w:tc>
      </w:tr>
    </w:tbl>
    <w:p w:rsidR="00000000" w:rsidDel="00000000" w:rsidP="00000000" w:rsidRDefault="00000000" w:rsidRPr="00000000" w14:paraId="00000133">
      <w:pPr>
        <w:spacing w:after="200" w:line="48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34">
      <w:pPr>
        <w:spacing w:after="20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Integration with traditional payment infrastructure shows limited attention among existing platforms, with only Alice.si offering fiat currency acceptance alongside cryptocurrency. Integration with region-specific payment systems such as GCash and PayMaya in the Philippines remains unexplored in both commercial and academic implementations, creating adoption barriers in contexts where cryptocurrency ownership is limited (Nairi et al., 2024).</w:t>
      </w:r>
      <w:r w:rsidDel="00000000" w:rsidR="00000000" w:rsidRPr="00000000">
        <w:rPr>
          <w:rtl w:val="0"/>
        </w:rPr>
      </w:r>
    </w:p>
    <w:p w:rsidR="00000000" w:rsidDel="00000000" w:rsidP="00000000" w:rsidRDefault="00000000" w:rsidRPr="00000000" w14:paraId="00000135">
      <w:pPr>
        <w:pStyle w:val="Heading2"/>
        <w:spacing w:after="240" w:before="360" w:lineRule="auto"/>
        <w:jc w:val="both"/>
        <w:rPr/>
      </w:pPr>
      <w:bookmarkStart w:colFirst="0" w:colLast="0" w:name="_heading=h.edy9ja71uqwc" w:id="13"/>
      <w:bookmarkEnd w:id="13"/>
      <w:r w:rsidDel="00000000" w:rsidR="00000000" w:rsidRPr="00000000">
        <w:rPr>
          <w:rtl w:val="0"/>
        </w:rPr>
        <w:t xml:space="preserve">2.3 Cryptographic Primitives and Mechanisms</w:t>
      </w:r>
    </w:p>
    <w:p w:rsidR="00000000" w:rsidDel="00000000" w:rsidP="00000000" w:rsidRDefault="00000000" w:rsidRPr="00000000" w14:paraId="00000136">
      <w:pPr>
        <w:pStyle w:val="Heading3"/>
        <w:spacing w:after="200" w:before="280" w:line="480" w:lineRule="auto"/>
        <w:rPr>
          <w:b w:val="0"/>
          <w:bCs w:val="0"/>
        </w:rPr>
      </w:pPr>
      <w:bookmarkStart w:colFirst="0" w:colLast="0" w:name="_heading=h.gwk3ykiihuka" w:id="14"/>
      <w:bookmarkEnd w:id="14"/>
      <w:r w:rsidDel="00000000" w:rsidR="00000000" w:rsidRPr="00000000">
        <w:rPr>
          <w:b w:val="0"/>
          <w:bCs w:val="0"/>
          <w:rtl w:val="0"/>
        </w:rPr>
        <w:t xml:space="preserve">2.3.1 Merkle Trees for Data Integrity</w:t>
      </w:r>
    </w:p>
    <w:p w:rsidR="00000000" w:rsidDel="00000000" w:rsidP="00000000" w:rsidRDefault="00000000" w:rsidRPr="00000000" w14:paraId="00000137">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Merkle trees constitute fundamental data structures in blockchain systems, enabling efficient verification of data inclusion within large datasets. Originally proposed by Ralph Merkle in 1979, these binary hash trees compute parent nodes by hashing concatenated child nodes, continuing recursively until a single root hash represents the cryptographic summary of all leaf data. Kuznetsov et al. (2024b) examined the security properties of Merkle trees in blockchain contexts, analyzing collision probability as a function of hash length and tree depth.</w:t>
      </w:r>
    </w:p>
    <w:p w:rsidR="00000000" w:rsidDel="00000000" w:rsidP="00000000" w:rsidRDefault="00000000" w:rsidRPr="00000000" w14:paraId="00000138">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efficiency properties of Merkle trees are well-established: verification of any leaf's inclusion requires only O(log n) hash computations and proof transmission, where n represents the total number of leaves. This logarithmic scaling enables verification of membership in arbitrarily large datasets with bounded computational cost, making Merkle structures particularly suitable for blockchain applications where on-chain computation incurs direct economic costs through gas consumption.</w:t>
      </w:r>
    </w:p>
    <w:p w:rsidR="00000000" w:rsidDel="00000000" w:rsidP="00000000" w:rsidRDefault="00000000" w:rsidRPr="00000000" w14:paraId="00000139">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et al. (2024b) introduced adaptive Merkle tree restructuring that dynamically adjusts configurations based on access patterns, reducing average verification path lengths. Zhang et al. (2024) proposed the BI-TSFID framework combining Merkle structures with IPFS for hybrid on-chain/off-chain data management, demonstrating that Merkle roots can serve as compact on-chain representations of extensive off-chain datasets while maintaining verifiable integrity guarantees.</w:t>
      </w:r>
    </w:p>
    <w:p w:rsidR="00000000" w:rsidDel="00000000" w:rsidP="00000000" w:rsidRDefault="00000000" w:rsidRPr="00000000" w14:paraId="0000013A">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optimization through Merkle batching represents a significant consideration for blockchain systems processing high transaction volumes. Albert et al. (2022) documented that storage operations consume approximately 20,000 gas units compared to 3 units for arithmetic operations, establishing the economic motivation for minimizing on-chain storage through aggregation mechanisms. Marchesi et al. (2020) demonstrated that event-based logging combined with off-chain data storage can reduce per-transaction costs by up to 90% while maintaining auditability through Merkle proof verification.</w:t>
      </w:r>
    </w:p>
    <w:p w:rsidR="00000000" w:rsidDel="00000000" w:rsidP="00000000" w:rsidRDefault="00000000" w:rsidRPr="00000000" w14:paraId="0000013B">
      <w:pPr>
        <w:pStyle w:val="Heading3"/>
        <w:spacing w:after="200" w:before="280" w:line="480" w:lineRule="auto"/>
        <w:rPr>
          <w:b w:val="0"/>
          <w:bCs w:val="0"/>
        </w:rPr>
      </w:pPr>
      <w:bookmarkStart w:colFirst="0" w:colLast="0" w:name="_heading=h.l2mpz3fjm9tb" w:id="15"/>
      <w:bookmarkEnd w:id="15"/>
      <w:r w:rsidDel="00000000" w:rsidR="00000000" w:rsidRPr="00000000">
        <w:rPr>
          <w:b w:val="0"/>
          <w:bCs w:val="0"/>
          <w:rtl w:val="0"/>
        </w:rPr>
        <w:t xml:space="preserve">2.3.2 Commitment Schemes</w:t>
      </w:r>
    </w:p>
    <w:p w:rsidR="00000000" w:rsidDel="00000000" w:rsidP="00000000" w:rsidRDefault="00000000" w:rsidRPr="00000000" w14:paraId="0000013C">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 schemes are cryptographic primitives enabling a party to commit to a chosen value while keeping it hidden, with the ability to reveal the committed value later. Formalized in the cryptographic literature during the 1980s, these schemes provide two essential properties: hiding (observers cannot determine the committed value before revelation) and binding (the committer cannot change the value after commitment). These properties make commitment schemes foundational building blocks for zero-knowledge proofs, secure multi-party computation, and various blockchain privacy mechanisms (Damgård, 2011; Pedersen, 1991).</w:t>
      </w:r>
    </w:p>
    <w:p w:rsidR="00000000" w:rsidDel="00000000" w:rsidP="00000000" w:rsidRDefault="00000000" w:rsidRPr="00000000" w14:paraId="0000013D">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Hash-based commitment schemes using functions such as keccak256 offer practical implementation advantages for blockchain systems. QuickNode (2024) documents that keccak256 provides collision resistance (computational infeasibility of finding two inputs producing identical outputs) and preimage resistance (computational infeasibility of determining input from output). The 256-bit output space provides security margins appropriate for most practical applications while enabling efficient verification through standard Ethereum tooling.</w:t>
      </w:r>
    </w:p>
    <w:p w:rsidR="00000000" w:rsidDel="00000000" w:rsidP="00000000" w:rsidRDefault="00000000" w:rsidRPr="00000000" w14:paraId="0000013E">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et al. (2025) examined how commitment schemes integrate with blockchain systems for privacy-preserving transactions, demonstrating that committed values can represent transaction amounts or participant identities while enabling validity verification without information disclosure. Li et al. (2024) proposed regulatable privacy schemes combining commitment mechanisms with zero-knowledge proofs, illustrating that commitment schemes can balance privacy requirements with accountability needs—a consideration directly relevant to donation management contexts where donor privacy and fund traceability represent competing objectives. Notably, the choice of hash function underlying the commitment scheme directly affects both on-chain gas efficiency and ZKP circuit performance, a trade-off that is empirically investigated through the comparative analysis conducted in Phase 0 of this study.</w:t>
      </w:r>
    </w:p>
    <w:p w:rsidR="00000000" w:rsidDel="00000000" w:rsidP="00000000" w:rsidRDefault="00000000" w:rsidRPr="00000000" w14:paraId="0000013F">
      <w:pPr>
        <w:pStyle w:val="Heading3"/>
        <w:spacing w:after="240" w:before="240" w:line="480" w:lineRule="auto"/>
        <w:rPr>
          <w:b w:val="0"/>
          <w:bCs w:val="0"/>
        </w:rPr>
      </w:pPr>
      <w:bookmarkStart w:colFirst="0" w:colLast="0" w:name="_heading=h.u6ro2phdqtka" w:id="16"/>
      <w:bookmarkEnd w:id="16"/>
      <w:r w:rsidDel="00000000" w:rsidR="00000000" w:rsidRPr="00000000">
        <w:rPr>
          <w:b w:val="0"/>
          <w:bCs w:val="0"/>
          <w:rtl w:val="0"/>
        </w:rPr>
        <w:t xml:space="preserve">2.3.3 Zero-Knowledge Proofs and Privacy-Preserving Verification</w:t>
      </w:r>
    </w:p>
    <w:p w:rsidR="00000000" w:rsidDel="00000000" w:rsidP="00000000" w:rsidRDefault="00000000" w:rsidRPr="00000000" w14:paraId="0000014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Zero-knowledge proofs (ZKPs), formalized by Goldwasser, Micali, and Rackoff in 1985, enable one party to prove statement validity to another without revealing information beyond the statement's truth. Shashidhara (2025) describes how ZKPs have been applied to blockchain systems to enable validation without information disclosure, addressing the tension between transparency requirements and privacy preservation that characterizes many blockchain applications.</w:t>
      </w:r>
    </w:p>
    <w:p w:rsidR="00000000" w:rsidDel="00000000" w:rsidP="00000000" w:rsidRDefault="00000000" w:rsidRPr="00000000" w14:paraId="00000141">
      <w:pPr>
        <w:spacing w:after="240" w:before="24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In blockchain contexts, ZKPs allow users to demonstrate knowledge of private information—such as transaction details or credential attributes—without exposing the underlying data on-chain. Diro et al. (2024) surveyed ZKP applications for blockchain-based systems, documenting both the privacy benefits and implementation complexity barriers that characterize current approaches. The computational requirements of ZKP generation and the cryptographic expertise needed for correct implementation represent significant adoption barriers, particularly for systems requiring client-side proof generation.</w:t>
      </w:r>
      <w:r w:rsidDel="00000000" w:rsidR="00000000" w:rsidRPr="00000000">
        <w:rPr>
          <w:rtl w:val="0"/>
        </w:rPr>
      </w:r>
    </w:p>
    <w:p w:rsidR="00000000" w:rsidDel="00000000" w:rsidP="00000000" w:rsidRDefault="00000000" w:rsidRPr="00000000" w14:paraId="00000142">
      <w:pPr>
        <w:pStyle w:val="Heading2"/>
        <w:spacing w:after="200" w:lineRule="auto"/>
        <w:jc w:val="both"/>
        <w:rPr/>
      </w:pPr>
      <w:bookmarkStart w:colFirst="0" w:colLast="0" w:name="_heading=h.tbvgycj7ahv5" w:id="17"/>
      <w:bookmarkEnd w:id="17"/>
      <w:r w:rsidDel="00000000" w:rsidR="00000000" w:rsidRPr="00000000">
        <w:rPr>
          <w:rtl w:val="0"/>
        </w:rPr>
        <w:t xml:space="preserve">2.4 Zero-Knowledge Circuit Development and Proof Generation Architectures</w:t>
      </w:r>
    </w:p>
    <w:p w:rsidR="00000000" w:rsidDel="00000000" w:rsidP="00000000" w:rsidRDefault="00000000" w:rsidRPr="00000000" w14:paraId="00000143">
      <w:pPr>
        <w:pStyle w:val="Heading3"/>
        <w:spacing w:after="200" w:line="480" w:lineRule="auto"/>
        <w:rPr>
          <w:b w:val="0"/>
          <w:bCs w:val="0"/>
        </w:rPr>
      </w:pPr>
      <w:bookmarkStart w:colFirst="0" w:colLast="0" w:name="_heading=h.7nkwzbw6rsvb" w:id="18"/>
      <w:bookmarkEnd w:id="18"/>
      <w:r w:rsidDel="00000000" w:rsidR="00000000" w:rsidRPr="00000000">
        <w:rPr>
          <w:b w:val="0"/>
          <w:bCs w:val="0"/>
          <w:rtl w:val="0"/>
        </w:rPr>
        <w:t xml:space="preserve">2.4.1 Circom: A Domain-Specific Language for ZK Circuit Development</w:t>
      </w:r>
    </w:p>
    <w:p w:rsidR="00000000" w:rsidDel="00000000" w:rsidP="00000000" w:rsidRDefault="00000000" w:rsidRPr="00000000" w14:paraId="0000014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Circom allows programmers to design circuits at a constraint level using a modular, template-based approach (Bellés-Muñoz et al., 2022). The compiler outputs three artifacts: an R1CS description file containing the constraint system, and WebAssembly (WASM) and C++ programs for efficiently computing witness values. This separation of concerns enables circuits written in Circom to be used with different proving systems without modification. The circomlib library provides pre-built, audited circuit templates for common cryptographic operations including hash functions (Poseidon, MiMC, Pedersen), digital signatures (EdDSA), and Merkle tree verification (Bellés-Muñoz et al., 2023; iden3, 2022).</w:t>
      </w:r>
    </w:p>
    <w:p w:rsidR="00000000" w:rsidDel="00000000" w:rsidP="00000000" w:rsidRDefault="00000000" w:rsidRPr="00000000" w14:paraId="0000014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Circom ecosystem includes snarkjs, a JavaScript and WebAssembly library for generating and verifying zk-SNARK proofs from R1CS constraints (iden3, 2023). Snarkjs supports multiple proving systems including Groth16, PLONK, and FFLONK, with switching between systems requiring only command-line argument changes. Critically for blockchain applications, snarkjs can generate Solidity verifier contracts, enabling on-chain proof verification. The JavaScript implementation allows proof generation in browsers and Node.js environments, though with performance trade-offs compared to native implementations.</w:t>
      </w:r>
    </w:p>
    <w:p w:rsidR="00000000" w:rsidDel="00000000" w:rsidP="00000000" w:rsidRDefault="00000000" w:rsidRPr="00000000" w14:paraId="0000014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performance-critical applications, RapidSNARK provides C++ and Intel Assembly implementations that significantly outperform snarkjs through parallelization, while maintaining API compatibility and accepting snarkjs-generated files (iden3, 2023; Orbiter Finance, 2024). However, RapidSNARK only supports Groth16 proofs and cannot run in browser environments. This trade-off between accessibility and performance represents a recurring theme in ZKP framework selection.</w:t>
      </w:r>
    </w:p>
    <w:p w:rsidR="00000000" w:rsidDel="00000000" w:rsidP="00000000" w:rsidRDefault="00000000" w:rsidRPr="00000000" w14:paraId="00000147">
      <w:pPr>
        <w:pStyle w:val="Heading3"/>
        <w:spacing w:after="200" w:line="480" w:lineRule="auto"/>
        <w:rPr>
          <w:b w:val="0"/>
          <w:bCs w:val="0"/>
        </w:rPr>
      </w:pPr>
      <w:bookmarkStart w:colFirst="0" w:colLast="0" w:name="_heading=h.x05pr7z0rrbp" w:id="19"/>
      <w:bookmarkEnd w:id="19"/>
      <w:r w:rsidDel="00000000" w:rsidR="00000000" w:rsidRPr="00000000">
        <w:rPr>
          <w:b w:val="0"/>
          <w:bCs w:val="0"/>
          <w:rtl w:val="0"/>
        </w:rPr>
        <w:t xml:space="preserve">2.4.2 Alternative ZKP Development Frameworks</w:t>
      </w:r>
    </w:p>
    <w:p w:rsidR="00000000" w:rsidDel="00000000" w:rsidP="00000000" w:rsidRDefault="00000000" w:rsidRPr="00000000" w14:paraId="0000014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alternative frameworks exist for ZKP circuit development, each with distinct characteristics that influence their suitability for donor-controlled proof generation in consumer-facing applications. The selection of an appropriate framework involves evaluating trade-offs across language accessibility, proving system support, browser compatibility, and proof generation performance. This subsection examines three primary frameworks—Circom/snarkjs, ZoKrates, and Noir—that are benchmarked in the Phase 0 comparative analysis (SO 2).</w:t>
      </w:r>
    </w:p>
    <w:p w:rsidR="00000000" w:rsidDel="00000000" w:rsidP="00000000" w:rsidRDefault="00000000" w:rsidRPr="00000000" w14:paraId="0000014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ZoKrates provides a high-level domain-specific language with Python-like syntax that compiles arithmetic circuits to R1CS constraints, offering accessibility for developers without deep cryptographic knowledge (Eberhardt &amp; Tai, 2018). The ZoKrates toolchain integrates compilation, setup, proof generation, and Solidity verifier export into a single command-line interface, reducing the configuration overhead compared to modular frameworks like Circom/snarkjs. ZoKrates supports multiple proving systems including Groth16, GM17, and Marlin, enabling developers to switch between proof systems without rewriting circuit logic. However, ZoKrates' browser support is limited compared to Circom's WASM-based approach, which may impact client-side proof generation feasibility for web-based donation verification applications. The language's higher-level abstractions accelerate development but provide less granular control over constraint optimization, potentially resulting in larger R1CS circuits for equivalent operations (Chen et al., 2023).</w:t>
      </w:r>
    </w:p>
    <w:p w:rsidR="00000000" w:rsidDel="00000000" w:rsidP="00000000" w:rsidRDefault="00000000" w:rsidRPr="00000000" w14:paraId="0000014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Noir, developed by Aztec Labs, offers a Rust-like syntax for ZKP circuit development with support for the UltraPlonk and Honk proving systems (Aztec Labs, 2023). A distinguishing feature of Noir is its universal trusted setup through UltraPlonk, which eliminates the need for per-circuit trusted setup ceremonies required by Groth16-based systems. This universal setup means that a single setup ceremony can support any circuit, reducing the operational complexity of deploying multiple or updated circuits. Noir compiles to an intermediate representation (ACIR) that can target multiple backends, providing framework portability. Browser-based proof generation is supported through WASM compilation, making Noir a viable candidate for client-side donation verification. However, Noir's relatively recent introduction means its ecosystem has fewer community-audited libraries compared to Circom's circomlib, and its documentation is less mature than the established Circom/snarkjs ecosystem. Additionally, the UltraPlonk proving system produces larger proofs compared to Groth16, which increases on-chain verification gas costs—a consideration particularly relevant for gas-sensitive donation verification applications (Baghery et al., 2023).</w:t>
      </w:r>
    </w:p>
    <w:p w:rsidR="00000000" w:rsidDel="00000000" w:rsidP="00000000" w:rsidRDefault="00000000" w:rsidRPr="00000000" w14:paraId="0000014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arkworks Rust library provides low-level primitives for building custom ZKP systems, offering maximum flexibility at the cost of significantly higher implementation complexity. While arkworks is widely used in production ZKP systems and academic research, its library-level approach requires developers to construct proof generation pipelines from components rather than using an integrated toolchain. This makes arkworks less suitable for the comparative benchmarking in this study, which focuses on accessible frameworks appropriate for thesis-level implementation. However, arkworks' primitives underlie several higher-level tools, including components of the Noir backend, establishing its indirect relevance to the framework ecosystem (arkworks contributors, 2022).</w:t>
      </w:r>
    </w:p>
    <w:p w:rsidR="00000000" w:rsidDel="00000000" w:rsidP="00000000" w:rsidRDefault="00000000" w:rsidRPr="00000000" w14:paraId="0000014C">
      <w:pPr>
        <w:spacing w:after="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3</w:t>
      </w:r>
      <w:r w:rsidDel="00000000" w:rsidR="00000000" w:rsidRPr="00000000">
        <w:rPr>
          <w:rtl w:val="0"/>
        </w:rPr>
      </w:r>
    </w:p>
    <w:p w:rsidR="00000000" w:rsidDel="00000000" w:rsidP="00000000" w:rsidRDefault="00000000" w:rsidRPr="00000000" w14:paraId="0000014D">
      <w:pPr>
        <w:spacing w:after="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Comparison of Zero-Knowledge Proof Development Frameworks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4.6341463414635"/>
        <w:gridCol w:w="1132.6829268292684"/>
        <w:gridCol w:w="1606.829268292683"/>
        <w:gridCol w:w="1119.5121951219512"/>
        <w:gridCol w:w="1106.3414634146343"/>
        <w:gridCol w:w="1080"/>
        <w:gridCol w:w="1080"/>
        <w:tblGridChange w:id="0">
          <w:tblGrid>
            <w:gridCol w:w="1514.6341463414635"/>
            <w:gridCol w:w="1132.6829268292684"/>
            <w:gridCol w:w="1606.829268292683"/>
            <w:gridCol w:w="1119.5121951219512"/>
            <w:gridCol w:w="1106.3414634146343"/>
            <w:gridCol w:w="1080"/>
            <w:gridCol w:w="108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4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Proving Systems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Trusted Setup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Support</w:t>
            </w:r>
          </w:p>
        </w:tc>
        <w:tc>
          <w:tcPr>
            <w:gridSpan w:val="2"/>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snarkjs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DSL (Circom)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Groth16, PLONK, FFLONK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(MPC)</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(WASM)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RapidSNARK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DSL (Circom)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Groth16 only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5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(C++/ASM)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DSL (ZoKrates)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Groth16, GM17, Marlin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Rust-like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UltraPlonk, Honk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6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arkworks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Groth16, Marlin, others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Varies</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Via WASM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(library)</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libsnark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Groth16, BCTV14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center"/>
          </w:tcPr>
          <w:p w:rsidR="00000000" w:rsidDel="00000000" w:rsidP="00000000" w:rsidRDefault="00000000" w:rsidRPr="00000000" w14:paraId="0000017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bl>
    <w:p w:rsidR="00000000" w:rsidDel="00000000" w:rsidP="00000000" w:rsidRDefault="00000000" w:rsidRPr="00000000" w14:paraId="0000017F">
      <w:pPr>
        <w:pStyle w:val="Heading3"/>
        <w:spacing w:after="200" w:line="480" w:lineRule="auto"/>
        <w:rPr>
          <w:b w:val="0"/>
          <w:bCs w:val="0"/>
        </w:rPr>
      </w:pPr>
      <w:bookmarkStart w:colFirst="0" w:colLast="0" w:name="_heading=h.r0ixztyk0wa4" w:id="20"/>
      <w:bookmarkEnd w:id="20"/>
      <w:r w:rsidDel="00000000" w:rsidR="00000000" w:rsidRPr="00000000">
        <w:rPr>
          <w:b w:val="0"/>
          <w:bCs w:val="0"/>
          <w:rtl w:val="0"/>
        </w:rPr>
        <w:t xml:space="preserve">2.4.3 Client-Side vs. Server-Side Proof Generation Architectures</w:t>
      </w:r>
    </w:p>
    <w:p w:rsidR="00000000" w:rsidDel="00000000" w:rsidP="00000000" w:rsidRDefault="00000000" w:rsidRPr="00000000" w14:paraId="0000018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architectural decision in ZKP system design is where proof generation occurs. Two primary models exist: client-side proving, where the user's device generates proofs locally, and server-side (delegated) proving, where a server generates proofs on behalf of users. Each model presents distinct privacy, performance, and usability trade-offs that must be evaluated against application requirements (Ozdemir &amp; Boneh, 2022).</w:t>
      </w:r>
    </w:p>
    <w:p w:rsidR="00000000" w:rsidDel="00000000" w:rsidP="00000000" w:rsidRDefault="00000000" w:rsidRPr="00000000" w14:paraId="0000018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client-side proof generation, the user's private inputs—the witness data that satisfies the circuit constraints—never leave their device. The proof is generated locally using the circuit, proving key, and private inputs, then submitted for verification. This architecture provides maximum privacy guarantees: even the application operator cannot access the user's private data. Notable implementations include Tornado Cash for private Ethereum transactions (Ethereum Foundation, 2024b), Dark Forest for privacy-preserving gaming, and Penumbra for shielded DeFi operations. However, client-side proving imposes significant computational requirements on user devices, with proof generation potentially taking seconds to minutes depending on circuit complexity and device capabilities.</w:t>
      </w:r>
    </w:p>
    <w:p w:rsidR="00000000" w:rsidDel="00000000" w:rsidP="00000000" w:rsidRDefault="00000000" w:rsidRPr="00000000" w14:paraId="00000182">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Server-side or delegated proof generation shifts the computational burden to server infrastructure. Users submit their private inputs to a trusted server, which generates the proof and submits it for on-chain verification. The resulting proof maintains zero-knowledge properties with respect to the blockchain and external observers—on-chain verification reveals nothing about the private inputs. However, the server necessarily observes the private inputs during proof generation, introducing a trust assumption that the server will not misuse this information (Shashidhara, 2025).</w:t>
      </w:r>
    </w:p>
    <w:p w:rsidR="00000000" w:rsidDel="00000000" w:rsidP="00000000" w:rsidRDefault="00000000" w:rsidRPr="00000000" w14:paraId="00000183">
      <w:pPr>
        <w:spacing w:after="240" w:before="240" w:line="48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Recent research addresses privacy concerns in delegated proving through various approaches. Collaborative zkSNARKs divide witness data into secret shares processed under multi-party computation (MPC), preventing any single worker from observing complete private inputs (Ozdemir &amp; Boneh, 2022). EOS considers a trusted delegator model where a computationally weak but honest party coordinates workers who compute proofs under MPC (Chiesa et al., 2023). zkSaaS achieves scalable private delegation by combining secret sharing with parallelized proof generation (Garg et al., 2023). These approaches offer middle grounds between full client-side privacy and simple server delegation, though with increased implementation complexity (Liu et al., 2025).</w:t>
      </w:r>
      <w:r w:rsidDel="00000000" w:rsidR="00000000" w:rsidRPr="00000000">
        <w:rPr>
          <w:rtl w:val="0"/>
        </w:rPr>
      </w:r>
    </w:p>
    <w:p w:rsidR="00000000" w:rsidDel="00000000" w:rsidP="00000000" w:rsidRDefault="00000000" w:rsidRPr="00000000" w14:paraId="00000184">
      <w:pPr>
        <w:spacing w:after="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4.</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85">
      <w:pPr>
        <w:spacing w:after="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Comparison of Client-Side and Server-Side Proof Generation Architectures</w:t>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015"/>
        <w:gridCol w:w="3720"/>
        <w:tblGridChange w:id="0">
          <w:tblGrid>
            <w:gridCol w:w="1875"/>
            <w:gridCol w:w="3015"/>
            <w:gridCol w:w="372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6">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Characteristic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7">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Client-Side Proving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8">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Server-Side (Delegated) Proving</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9">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 Model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A">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Private inputs never leave user device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B">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Trusted Server: Server sees private inputs during proof generation</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C">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On-Chain Privacy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D">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zero-knowledge to blockchain/public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E">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zero-knowledge to blockchain/public</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8F">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 Assumption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0">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trusts only their own device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1">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trusts platform server with data</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2">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Computational Load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3">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device (browser/mobile)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4">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Server infrastructure</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5">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Proof Generation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6">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Seconds to minutes (device-dependent)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7">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Sub-second to seconds (server resources)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8">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Experience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9">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Potential delays, battery drain on mobile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A">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Seamless, background processing</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B">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Complexity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C">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Higher: WASM integration, device compatibility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D">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 Standard backend service</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E">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Example Systems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9F">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Tornado Cash, Dark Forest, Penumbra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A0">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ZK rollups, many enterprise ZK applications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A1">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Suitable For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A2">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privacy requirements, trustless scenarios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A3">
            <w:pPr>
              <w:spacing w:after="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experience priority, existing trust relationship</w:t>
            </w:r>
          </w:p>
        </w:tc>
      </w:tr>
    </w:tbl>
    <w:p w:rsidR="00000000" w:rsidDel="00000000" w:rsidP="00000000" w:rsidRDefault="00000000" w:rsidRPr="00000000" w14:paraId="000001A4">
      <w:pPr>
        <w:pStyle w:val="Heading3"/>
        <w:spacing w:after="200" w:line="480" w:lineRule="auto"/>
        <w:rPr>
          <w:b w:val="0"/>
          <w:bCs w:val="0"/>
        </w:rPr>
      </w:pPr>
      <w:bookmarkStart w:colFirst="0" w:colLast="0" w:name="_heading=h.bbw3amfcdszq" w:id="21"/>
      <w:bookmarkEnd w:id="21"/>
      <w:r w:rsidDel="00000000" w:rsidR="00000000" w:rsidRPr="00000000">
        <w:rPr>
          <w:b w:val="0"/>
          <w:bCs w:val="0"/>
          <w:rtl w:val="0"/>
        </w:rPr>
        <w:t xml:space="preserve">2.4.4 Trust Models and Privacy Implications</w:t>
      </w:r>
    </w:p>
    <w:p w:rsidR="00000000" w:rsidDel="00000000" w:rsidP="00000000" w:rsidRDefault="00000000" w:rsidRPr="00000000" w14:paraId="000001A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trust model implications of each architecture is essential for privacy-preserving system design. In client-side proving, the trust boundary extends only to the user's device and the circuit's correctness—the user trusts that the circuit correctly encodes the intended computation and that their device has not been compromised (Ozdemir &amp; Boneh, 2022). No external party, including the application operator, ever observes the private inputs. This model achieves the strongest privacy guarantees but assumes users have devices capable of proof generation and are willing to accept the associated computational delays (Ernstberger et al., 2023).</w:t>
      </w:r>
    </w:p>
    <w:p w:rsidR="00000000" w:rsidDel="00000000" w:rsidP="00000000" w:rsidRDefault="00000000" w:rsidRPr="00000000" w14:paraId="000001A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server-side proving, the trust model expands to include the server operator. Users must trust that the server will: (1) correctly generate proofs without modification or rejection, (2) not retain or misuse private input data, and (3) not correlate inputs across users to derive additional information (Chiesa et al., 2023; Garg et al., 2023). This trust assumption is analogous to existing relationships in many web applications—users of a donation platform already trust the platform to process their payments, store their data, and not misuse their information. The ZKP in server-side architectures provides protection against external observers, other users, and anyone analyzing on-chain data, while the platform relationship governs server-side data handling (Hu et al., 2025).</w:t>
      </w:r>
    </w:p>
    <w:p w:rsidR="00000000" w:rsidDel="00000000" w:rsidP="00000000" w:rsidRDefault="00000000" w:rsidRPr="00000000" w14:paraId="000001A7">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donation systems specifically, server-side proving may represent a pragmatic choice when users already trust the platform with sensitive information including payment details and personal data. The zero-knowledge proof ensures that donation verification can occur on-chain without public exposure of donor identity or contribution amounts, even though the platform server observes this data during proof generation. This architecture achieves privacy-preserving verification—donors can generate zero-knowledge proofs that validate their contributions without revealing private details to the verifier or any public observer—while maintaining acceptable user experience through server-side computation (Sung et al., 2023).</w:t>
      </w:r>
    </w:p>
    <w:p w:rsidR="00000000" w:rsidDel="00000000" w:rsidP="00000000" w:rsidRDefault="00000000" w:rsidRPr="00000000" w14:paraId="000001A8">
      <w:pPr>
        <w:pStyle w:val="Heading3"/>
        <w:spacing w:after="200" w:line="480" w:lineRule="auto"/>
        <w:rPr>
          <w:b w:val="0"/>
          <w:bCs w:val="0"/>
        </w:rPr>
      </w:pPr>
      <w:bookmarkStart w:colFirst="0" w:colLast="0" w:name="_heading=h.52yqrwaii88g" w:id="22"/>
      <w:bookmarkEnd w:id="22"/>
      <w:r w:rsidDel="00000000" w:rsidR="00000000" w:rsidRPr="00000000">
        <w:rPr>
          <w:b w:val="0"/>
          <w:bCs w:val="0"/>
          <w:rtl w:val="0"/>
        </w:rPr>
        <w:t xml:space="preserve">2.4.5 Performance Considerations and Optimization Strategies</w:t>
      </w:r>
    </w:p>
    <w:p w:rsidR="00000000" w:rsidDel="00000000" w:rsidP="00000000" w:rsidRDefault="00000000" w:rsidRPr="00000000" w14:paraId="000001A9">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ZKP proof generation is computationally intensive, involving cryptographic operations such as multi-scalar multiplications and fast Fourier transforms over elliptic curve groups (Lu et al., 2023). The computational complexity typically scales super-linearly with circuit size, often O(C log C) or O(C log² C) where C represents the number of constraints (Ernstberger et al., 2024). This complexity has historically limited ZKP applicability to scenarios where privacy benefits justify computational costs.</w:t>
      </w:r>
    </w:p>
    <w:p w:rsidR="00000000" w:rsidDel="00000000" w:rsidP="00000000" w:rsidRDefault="00000000" w:rsidRPr="00000000" w14:paraId="000001A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optimization strategies address proof generation performance. Circuit optimization minimizes constraint count through careful design, as fewer constraints directly reduce proving time (Guo et al., 2024). Proving system selection involves trade-offs: Groth16 produces the smallest proofs but requires circuit-specific trusted setup, while PLONK offers universal setup at the cost of larger proofs (Baghery et al., 2023). Hardware acceleration through GPUs or specialized ASICs can dramatically reduce proving times for server-side deployments (Lu et al., 2023; Ni &amp; Zhu, 2023). Parallelization techniques, as implemented in RapidSNARK and distributed proving systems like deVirgo, leverage multi-core processors for concurrent proof generation (Zhang, 2025; Liu et al., 2024).</w:t>
      </w:r>
    </w:p>
    <w:p w:rsidR="00000000" w:rsidDel="00000000" w:rsidP="00000000" w:rsidRDefault="00000000" w:rsidRPr="00000000" w14:paraId="000001AB">
      <w:pPr>
        <w:spacing w:after="240" w:before="24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For client-side deployments, recent benchmarks indicate that modern consumer devices can generate proofs for moderately complex circuits in seconds using elliptic curve SNARKs optimized for browser execution (Ernstberger et al., 2023). However, performance varies significantly across devices, and mobile platforms face additional constraints including battery consumption and thermal throttling during sustained cryptographic computation (Guo et al., 2024).</w:t>
      </w:r>
      <w:r w:rsidDel="00000000" w:rsidR="00000000" w:rsidRPr="00000000">
        <w:rPr>
          <w:rtl w:val="0"/>
        </w:rPr>
      </w:r>
    </w:p>
    <w:p w:rsidR="00000000" w:rsidDel="00000000" w:rsidP="00000000" w:rsidRDefault="00000000" w:rsidRPr="00000000" w14:paraId="000001AC">
      <w:pPr>
        <w:pStyle w:val="Heading2"/>
        <w:spacing w:after="200" w:before="240" w:lineRule="auto"/>
        <w:jc w:val="both"/>
        <w:rPr/>
      </w:pPr>
      <w:bookmarkStart w:colFirst="0" w:colLast="0" w:name="_heading=h.q4lxo8lr1xa4" w:id="23"/>
      <w:bookmarkEnd w:id="23"/>
      <w:r w:rsidDel="00000000" w:rsidR="00000000" w:rsidRPr="00000000">
        <w:rPr>
          <w:rtl w:val="0"/>
        </w:rPr>
        <w:t xml:space="preserve">2.5 Algebraic and ZKP-Friendly Hash Functions</w:t>
      </w:r>
    </w:p>
    <w:p w:rsidR="00000000" w:rsidDel="00000000" w:rsidP="00000000" w:rsidRDefault="00000000" w:rsidRPr="00000000" w14:paraId="000001AD">
      <w:pPr>
        <w:pStyle w:val="Heading3"/>
        <w:spacing w:after="200" w:before="240" w:line="480" w:lineRule="auto"/>
        <w:rPr>
          <w:b w:val="0"/>
          <w:bCs w:val="0"/>
        </w:rPr>
      </w:pPr>
      <w:bookmarkStart w:colFirst="0" w:colLast="0" w:name="_heading=h.qkyxdic2qw2x" w:id="24"/>
      <w:bookmarkEnd w:id="24"/>
      <w:r w:rsidDel="00000000" w:rsidR="00000000" w:rsidRPr="00000000">
        <w:rPr>
          <w:b w:val="0"/>
          <w:bCs w:val="0"/>
          <w:rtl w:val="0"/>
        </w:rPr>
        <w:t xml:space="preserve">2.5.1 Poseidon Hash Function</w:t>
      </w:r>
    </w:p>
    <w:p w:rsidR="00000000" w:rsidDel="00000000" w:rsidP="00000000" w:rsidRDefault="00000000" w:rsidRPr="00000000" w14:paraId="000001AE">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Poseidon is an algebraic hash function designed specifically for zero-knowledge proof systems, operating over prime fields using a Hades-based permutation strategy that alternates between full S-box rounds and partial S-box rounds (Grassi et al., 2021). The S-box operation is defined as x^α where α is typically 5 for BN254 curves used in Ethereum-compatible ZKP systems. This algebraic construction enables Poseidon to achieve significantly lower R1CS constraint counts compared to bitwise hash functions: hashing two field elements with Poseidon requires approximately 200–300 R1CS constraints, whereas the same operation with Keccak256 requires approximately 150,000 constraints (Grassi et al., 2021; Guo et al., 2024).</w:t>
      </w:r>
    </w:p>
    <w:p w:rsidR="00000000" w:rsidDel="00000000" w:rsidP="00000000" w:rsidRDefault="00000000" w:rsidRPr="00000000" w14:paraId="000001AF">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constraint efficiency of Poseidon translates directly to faster proof generation times, as the computational complexity of zk-SNARK proving scales super-linearly with constraint count (Ernstberger et al., 2024). For client-side proof generation on consumer devices—a key requirement for donor-controlled verification in AidVocate—this reduction in constraints can mean the difference between sub-second and multi-minute proof generation. The Poseidon hash function is implemented in circomlib as a pre-built, audited template, and equivalent implementations exist for ZoKrates and Noir (iden3, 2022; Grassi et al., 2021).</w:t>
      </w:r>
    </w:p>
    <w:p w:rsidR="00000000" w:rsidDel="00000000" w:rsidP="00000000" w:rsidRDefault="00000000" w:rsidRPr="00000000" w14:paraId="000001B0">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Poseidon's algebraic construction means it has a substantially shorter cryptanalytic history compared to Keccak256. While Keccak was selected through the multi-year NIST SHA-3 competition and has undergone decades of academic scrutiny, Poseidon was introduced in 2019 and has received growing but comparatively limited cryptanalytic attention. Recent research by Bariant et al. (2023) demonstrated algebraic attacks on reduced-round Poseidon variants, though full-round Poseidon remains unbroken. This security maturity gap represents a meaningful consideration for financial donation verification systems where the consequences of a hash collision or preimage attack would directly compromise donation record integrity.</w:t>
      </w:r>
    </w:p>
    <w:p w:rsidR="00000000" w:rsidDel="00000000" w:rsidP="00000000" w:rsidRDefault="00000000" w:rsidRPr="00000000" w14:paraId="000001B1">
      <w:pPr>
        <w:pStyle w:val="Heading3"/>
        <w:spacing w:after="200" w:before="240" w:line="480" w:lineRule="auto"/>
        <w:rPr>
          <w:b w:val="0"/>
          <w:bCs w:val="0"/>
        </w:rPr>
      </w:pPr>
      <w:bookmarkStart w:colFirst="0" w:colLast="0" w:name="_heading=h.57sfq79bd45q" w:id="25"/>
      <w:bookmarkEnd w:id="25"/>
      <w:r w:rsidDel="00000000" w:rsidR="00000000" w:rsidRPr="00000000">
        <w:rPr>
          <w:b w:val="0"/>
          <w:bCs w:val="0"/>
          <w:rtl w:val="0"/>
        </w:rPr>
        <w:t xml:space="preserve">2.5.2 MiMC Hash Function</w:t>
      </w:r>
    </w:p>
    <w:p w:rsidR="00000000" w:rsidDel="00000000" w:rsidP="00000000" w:rsidRDefault="00000000" w:rsidRPr="00000000" w14:paraId="000001B2">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MiMC (Minimal Multiplicative Complexity) is an algebraic hash function that uses a simple iterated structure with a single S-box per round: x^3 for the MiMC-2n/n variant and x^7 for variants targeting specific security levels (Albrecht et al., 2016). The design philosophy prioritizes minimizing multiplicative complexity—the number of non-linear operations in the circuit—which directly corresponds to R1CS constraint count. MiMC achieves moderate constraint efficiency, typically requiring more constraints than Poseidon but significantly fewer than Keccak256 for equivalent hash operations (Guo et al., 2024).</w:t>
      </w:r>
    </w:p>
    <w:p w:rsidR="00000000" w:rsidDel="00000000" w:rsidP="00000000" w:rsidRDefault="00000000" w:rsidRPr="00000000" w14:paraId="000001B3">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MiMC is supported across all three candidate ZKP frameworks evaluated in this study. Circomlib provides a MiMC implementation (MiMCSponge), ZoKrates includes a built-in MiMC hash function, and Noir supports MiMC through community libraries. This broad framework support makes MiMC a viable candidate for the comparative benchmarking, as the same hash function can be evaluated across different ZKP development environments (iden3, 2022; Eberhardt &amp; Tai, 2018).</w:t>
      </w:r>
    </w:p>
    <w:p w:rsidR="00000000" w:rsidDel="00000000" w:rsidP="00000000" w:rsidRDefault="00000000" w:rsidRPr="00000000" w14:paraId="000001B4">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limitation of MiMC is its vulnerability to algebraic cryptanalysis. Research by Eichlseder et al. (2020) demonstrated interpolation attacks and Gröbner basis attacks that are more effective against MiMC's simple algebraic structure compared to more complex designs like Poseidon's Hades strategy. While the recommended number of rounds provides adequate security margins against known attacks, the simpler algebraic structure means that future cryptanalytic advances may pose greater risks to MiMC than to designs with more complex round structures. Additionally, MiMC lacks native EVM support, requiring either precompile proposals or off-chain computation for on-chain commitment verification.</w:t>
      </w:r>
    </w:p>
    <w:p w:rsidR="00000000" w:rsidDel="00000000" w:rsidP="00000000" w:rsidRDefault="00000000" w:rsidRPr="00000000" w14:paraId="000001B5">
      <w:pPr>
        <w:pStyle w:val="Heading3"/>
        <w:spacing w:after="200" w:before="240" w:line="480" w:lineRule="auto"/>
        <w:rPr>
          <w:b w:val="0"/>
          <w:bCs w:val="0"/>
        </w:rPr>
      </w:pPr>
      <w:bookmarkStart w:colFirst="0" w:colLast="0" w:name="_heading=h.e5sdnhj52xkd" w:id="26"/>
      <w:bookmarkEnd w:id="26"/>
      <w:r w:rsidDel="00000000" w:rsidR="00000000" w:rsidRPr="00000000">
        <w:rPr>
          <w:b w:val="0"/>
          <w:bCs w:val="0"/>
          <w:rtl w:val="0"/>
        </w:rPr>
        <w:t xml:space="preserve">2.5.3 Pedersen Hash Function</w:t>
      </w:r>
    </w:p>
    <w:p w:rsidR="00000000" w:rsidDel="00000000" w:rsidP="00000000" w:rsidRDefault="00000000" w:rsidRPr="00000000" w14:paraId="000001B6">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Pedersen hash function is based on elliptic curve cryptography, computing hashes as linear combinations of generator points on an elliptic curve. For input bits b₁, b₂, ..., bₙ, the hash is computed as H(b) = Σ bᵢ · Gᵢ, where Gᵢ are predetermined generator points on the curve (Pedersen, 1991). This construction provides information-theoretic hiding and a unique property not shared by other hash function candidates: additive homomorphism. Specifically, for Pedersen commitments, Commit(a, rₐ) + Commit(b, r_b) = Commit(a + b, rₐ + r_b), meaning that committed values can be summed without revealing individual values (Bünz et al., 2018).</w:t>
      </w:r>
    </w:p>
    <w:p w:rsidR="00000000" w:rsidDel="00000000" w:rsidP="00000000" w:rsidRDefault="00000000" w:rsidRPr="00000000" w14:paraId="000001B7">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donation verification, Pedersen's homomorphic property offers a theoretically compelling capability: an NGO could compute the verifiable total of all committed donations without accessing any individual donation amount. This would enable aggregate transparency—the public could verify that the total donated amount matches the NGO's reported figure—while individual donations remain private.</w:t>
      </w:r>
    </w:p>
    <w:p w:rsidR="00000000" w:rsidDel="00000000" w:rsidP="00000000" w:rsidRDefault="00000000" w:rsidRPr="00000000" w14:paraId="000001B8">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Pedersen hashing requires more R1CS constraints than Poseidon and MiMC due to the elliptic curve point multiplication operations involved, though it requires significantly fewer constraints than Keccak256. The circomlib library provides an audited Pedersen hash implementation optimized for the Baby Jubjub elliptic curve used in Ethereum ZKP applications (iden3, 2022). The security of Pedersen hashing relies on the hardness of the discrete logarithm problem on the chosen elliptic curve, a well-studied assumption with decades of cryptanalytic history—positioning Pedersen between Keccak256 (longest history) and Poseidon/MiMC (shortest history) in terms of security maturity.</w:t>
      </w:r>
    </w:p>
    <w:p w:rsidR="00000000" w:rsidDel="00000000" w:rsidP="00000000" w:rsidRDefault="00000000" w:rsidRPr="00000000" w14:paraId="000001B9">
      <w:pPr>
        <w:pStyle w:val="Heading3"/>
        <w:spacing w:after="200" w:before="240" w:line="480" w:lineRule="auto"/>
        <w:rPr>
          <w:b w:val="0"/>
          <w:bCs w:val="0"/>
        </w:rPr>
      </w:pPr>
      <w:bookmarkStart w:colFirst="0" w:colLast="0" w:name="_heading=h.nilcsivsmrkm" w:id="27"/>
      <w:bookmarkEnd w:id="27"/>
      <w:r w:rsidDel="00000000" w:rsidR="00000000" w:rsidRPr="00000000">
        <w:rPr>
          <w:b w:val="0"/>
          <w:bCs w:val="0"/>
          <w:rtl w:val="0"/>
        </w:rPr>
        <w:t xml:space="preserve">2.5.4 Hash Function Selection as a Multi-Criteria Decision</w:t>
      </w:r>
    </w:p>
    <w:p w:rsidR="00000000" w:rsidDel="00000000" w:rsidP="00000000" w:rsidRDefault="00000000" w:rsidRPr="00000000" w14:paraId="000001BA">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of hash function for a privacy-preserving donation verification system involves navigating trade-offs across four dimensions: EVM compatibility (gas cost for on-chain operations), ZKP circuit efficiency (R1CS constraint count), client-side proof generation feasibility (proving time on consumer devices), and cryptographic security maturity (depth and breadth of cryptanalytic scrutiny). No single hash function optimizes all four dimensions simultaneously, necessitating a systematic comparative evaluation rather than an a priori technology selection (Guo et al., 2024).</w:t>
      </w:r>
    </w:p>
    <w:p w:rsidR="00000000" w:rsidDel="00000000" w:rsidP="00000000" w:rsidRDefault="00000000" w:rsidRPr="00000000" w14:paraId="000001BB">
      <w:pPr>
        <w:pStyle w:val="Heading2"/>
        <w:spacing w:after="80" w:before="360" w:lineRule="auto"/>
        <w:jc w:val="both"/>
        <w:rPr/>
      </w:pPr>
      <w:bookmarkStart w:colFirst="0" w:colLast="0" w:name="_heading=h.q05m1vnc9jlb" w:id="28"/>
      <w:bookmarkEnd w:id="28"/>
      <w:r w:rsidDel="00000000" w:rsidR="00000000" w:rsidRPr="00000000">
        <w:rPr>
          <w:rtl w:val="0"/>
        </w:rPr>
        <w:t xml:space="preserve">2.6 Comparative Benchmarking of Hash Functions in Blockchain Contexts</w:t>
      </w:r>
    </w:p>
    <w:p w:rsidR="00000000" w:rsidDel="00000000" w:rsidP="00000000" w:rsidRDefault="00000000" w:rsidRPr="00000000" w14:paraId="000001BC">
      <w:pPr>
        <w:pStyle w:val="Heading3"/>
        <w:spacing w:after="240" w:before="240" w:line="480" w:lineRule="auto"/>
        <w:rPr>
          <w:b w:val="0"/>
          <w:bCs w:val="0"/>
        </w:rPr>
      </w:pPr>
      <w:bookmarkStart w:colFirst="0" w:colLast="0" w:name="_heading=h.vn3zpy89djwm" w:id="29"/>
      <w:bookmarkEnd w:id="29"/>
      <w:r w:rsidDel="00000000" w:rsidR="00000000" w:rsidRPr="00000000">
        <w:rPr>
          <w:b w:val="0"/>
          <w:bCs w:val="0"/>
          <w:rtl w:val="0"/>
        </w:rPr>
        <w:t xml:space="preserve">2.6.1 Existing ZKP-Oriented Hash Function Benchmarks</w:t>
      </w:r>
    </w:p>
    <w:p w:rsidR="00000000" w:rsidDel="00000000" w:rsidP="00000000" w:rsidRDefault="00000000" w:rsidRPr="00000000" w14:paraId="000001B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recent studies have conducted comparative evaluations of hash functions in blockchain and ZKP contexts, though none specifically target donation verification applications. Guo et al. (2024) benchmarked ZKP-friendly hash functions across EVM-compatible blockchains, comparing Poseidon, MiMC, and rescue hash functions in terms of R1CS constraint count and proof generation time. Their results demonstrated that Poseidon consistently achieved the lowest constraint counts, with MiMC requiring approximately 2–3× more constraints for equivalent operations. However, their evaluation focused on rollup-scale applications rather than consumer-facing donation verification, and did not include Keccak256 in the ZKP circuit benchmarks due to its impractically high constraint count for rollup circuits (Guo et al., 2024).</w:t>
      </w:r>
    </w:p>
    <w:p w:rsidR="00000000" w:rsidDel="00000000" w:rsidP="00000000" w:rsidRDefault="00000000" w:rsidRPr="00000000" w14:paraId="000001B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Grassi et al. (2021) provided the foundational benchmarks for Poseidon's performance, reporting that Poseidon's hash computation within a Groth16 circuit requires approximately 8× fewer constraints than the next most efficient alternative at the time of publication. Subsequent independent evaluations, including work by Ernstberger et al. (2024) through the zk-Bench framework, confirmed Poseidon's constraint efficiency advantage while also documenting the variability in proof generation times across different hardware configurations and framework implementations. The zk-Bench results highlight that framework implementation quality can significantly affect real-world performance, supporting the need for framework-specific benchmarking rather than relying solely on theoretical constraint counts.</w:t>
      </w:r>
    </w:p>
    <w:p w:rsidR="00000000" w:rsidDel="00000000" w:rsidP="00000000" w:rsidRDefault="00000000" w:rsidRPr="00000000" w14:paraId="000001BF">
      <w:pPr>
        <w:pStyle w:val="Heading3"/>
        <w:spacing w:after="240" w:before="240" w:line="480" w:lineRule="auto"/>
        <w:rPr>
          <w:b w:val="0"/>
          <w:bCs w:val="0"/>
        </w:rPr>
      </w:pPr>
      <w:bookmarkStart w:colFirst="0" w:colLast="0" w:name="_heading=h.3lf6i2p56ic2" w:id="30"/>
      <w:bookmarkEnd w:id="30"/>
      <w:r w:rsidDel="00000000" w:rsidR="00000000" w:rsidRPr="00000000">
        <w:rPr>
          <w:b w:val="0"/>
          <w:bCs w:val="0"/>
          <w:rtl w:val="0"/>
        </w:rPr>
        <w:t xml:space="preserve">2.6.2 Security Margin Analysis of Algebraic Hash Functions</w:t>
      </w:r>
    </w:p>
    <w:p w:rsidR="00000000" w:rsidDel="00000000" w:rsidP="00000000" w:rsidRDefault="00000000" w:rsidRPr="00000000" w14:paraId="000001C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Bariant et al. (2023) examined the security margins of algebraic hash functions through differential and algebraic cryptanalysis, providing security analysis for Poseidon, MiMC, and related designs. Their work established that while full-round implementations of these hash functions remain secure against known attacks, reduced-round variants can be vulnerable. This finding is particularly relevant for the donation verification context, where the financial implications of a hash function compromise demand conservative security margins. The security maturity assessment conducted in Phase 0 of this study incorporates these cryptanalytic findings alongside the quantitative performance metrics.</w:t>
      </w:r>
    </w:p>
    <w:p w:rsidR="00000000" w:rsidDel="00000000" w:rsidP="00000000" w:rsidRDefault="00000000" w:rsidRPr="00000000" w14:paraId="000001C1">
      <w:pPr>
        <w:pStyle w:val="Heading2"/>
        <w:spacing w:after="240" w:before="240" w:lineRule="auto"/>
        <w:jc w:val="both"/>
        <w:rPr/>
      </w:pPr>
      <w:bookmarkStart w:colFirst="0" w:colLast="0" w:name="_heading=h.4l49s0chsv25" w:id="31"/>
      <w:bookmarkEnd w:id="31"/>
      <w:r w:rsidDel="00000000" w:rsidR="00000000" w:rsidRPr="00000000">
        <w:rPr>
          <w:rtl w:val="0"/>
        </w:rPr>
        <w:t xml:space="preserve">2.7 Comparative Benchmarking of ZKP Frameworks for Client-Side Proving</w:t>
      </w:r>
    </w:p>
    <w:p w:rsidR="00000000" w:rsidDel="00000000" w:rsidP="00000000" w:rsidRDefault="00000000" w:rsidRPr="00000000" w14:paraId="000001C2">
      <w:pPr>
        <w:pStyle w:val="Heading3"/>
        <w:spacing w:after="240" w:before="240" w:line="480" w:lineRule="auto"/>
        <w:rPr/>
      </w:pPr>
      <w:bookmarkStart w:colFirst="0" w:colLast="0" w:name="_heading=h.n1pcr5rxld5n" w:id="32"/>
      <w:bookmarkEnd w:id="32"/>
      <w:r w:rsidDel="00000000" w:rsidR="00000000" w:rsidRPr="00000000">
        <w:rPr>
          <w:b w:val="0"/>
          <w:bCs w:val="0"/>
          <w:rtl w:val="0"/>
        </w:rPr>
        <w:t xml:space="preserve">2.7.1 Existing SNARK Benchmarking Frameworks</w:t>
      </w:r>
      <w:r w:rsidDel="00000000" w:rsidR="00000000" w:rsidRPr="00000000">
        <w:rPr>
          <w:rtl w:val="0"/>
        </w:rPr>
      </w:r>
    </w:p>
    <w:p w:rsidR="00000000" w:rsidDel="00000000" w:rsidP="00000000" w:rsidRDefault="00000000" w:rsidRPr="00000000" w14:paraId="000001C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Ernstberger et al. (2024) developed the zk-Bench benchmarking framework for comparative evaluation of SNARK proving systems, providing the most comprehensive cross-system performance data available. Their benchmarks cover proof generation time, verification time, proof size, and memory consumption across multiple proving systems (Groth16, PLONK, FFLONK, and others) and constraint set sizes. The zk-Bench results demonstrate that Groth16 consistently produces the smallest proofs (approximately 128–256 bytes) with the fastest verification times, while PLONK produces larger proofs (approximately 2–10 KB) but eliminates the need for per-circuit trusted setup. These results inform the proving system comparison conducted in SO 2 of this study.</w:t>
      </w:r>
    </w:p>
    <w:p w:rsidR="00000000" w:rsidDel="00000000" w:rsidP="00000000" w:rsidRDefault="00000000" w:rsidRPr="00000000" w14:paraId="000001C4">
      <w:pPr>
        <w:pStyle w:val="Heading3"/>
        <w:spacing w:after="240" w:before="240" w:line="480" w:lineRule="auto"/>
        <w:rPr>
          <w:b w:val="0"/>
          <w:bCs w:val="0"/>
        </w:rPr>
      </w:pPr>
      <w:bookmarkStart w:colFirst="0" w:colLast="0" w:name="_heading=h.tg0s5ehhtw9l" w:id="33"/>
      <w:bookmarkEnd w:id="33"/>
      <w:r w:rsidDel="00000000" w:rsidR="00000000" w:rsidRPr="00000000">
        <w:rPr>
          <w:b w:val="0"/>
          <w:bCs w:val="0"/>
          <w:rtl w:val="0"/>
        </w:rPr>
        <w:t xml:space="preserve">2.7.2 Proving System Trade-offs: Groth16 vs. PLONK</w:t>
      </w:r>
    </w:p>
    <w:p w:rsidR="00000000" w:rsidDel="00000000" w:rsidP="00000000" w:rsidRDefault="00000000" w:rsidRPr="00000000" w14:paraId="000001C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Oude, Roelink, and Bianchi (2024) evaluated the practical efficiency of zk-SNARKs, zk-STARKs, and Bulletproofs in real-world scenarios, finding that application-specific requirements—rather than abstract benchmarks—should drive proving system selection. Their work highlights that the "best" system depends on the specific deployment context: Groth16 is optimal when minimal on-chain verification cost is paramount, while PLONK is preferable when the operational complexity of trusted setup ceremonies must be minimized. For donation verification systems where both factors are relevant, the trade-off requires empirical evaluation in the specific application context.</w:t>
      </w:r>
    </w:p>
    <w:p w:rsidR="00000000" w:rsidDel="00000000" w:rsidP="00000000" w:rsidRDefault="00000000" w:rsidRPr="00000000" w14:paraId="000001C6">
      <w:pPr>
        <w:spacing w:after="240" w:before="240" w:line="480" w:lineRule="auto"/>
        <w:ind w:firstLine="720"/>
        <w:jc w:val="both"/>
        <w:rPr/>
      </w:pPr>
      <w:r w:rsidDel="00000000" w:rsidR="00000000" w:rsidRPr="00000000">
        <w:rPr>
          <w:rFonts w:ascii="Times New Roman" w:cs="Times New Roman" w:eastAsia="Times New Roman" w:hAnsi="Times New Roman"/>
          <w:rtl w:val="0"/>
        </w:rPr>
        <w:t xml:space="preserve">Chen et al. (2023) provided a comprehensive review of zk-SNARK constructions, documenting the theoretical properties and practical trade-offs of major proving systems. Their analysis establishes that Groth16's O(1) proof size and constant-time verification are unmatched among pairing-based SNARKs, but the requirement for a per-circuit trusted setup ceremony represents a significant operational burden for systems that may need to update circuit logic over time. PLONK's universal setup eliminates this burden at the cost of approximately 10× larger proofs and correspondingly higher on-chain verification gas costs.</w:t>
      </w:r>
      <w:r w:rsidDel="00000000" w:rsidR="00000000" w:rsidRPr="00000000">
        <w:rPr>
          <w:rtl w:val="0"/>
        </w:rPr>
      </w:r>
    </w:p>
    <w:p w:rsidR="00000000" w:rsidDel="00000000" w:rsidP="00000000" w:rsidRDefault="00000000" w:rsidRPr="00000000" w14:paraId="000001C7">
      <w:pPr>
        <w:pStyle w:val="Heading2"/>
        <w:spacing w:after="240" w:before="360" w:lineRule="auto"/>
        <w:jc w:val="both"/>
        <w:rPr/>
      </w:pPr>
      <w:bookmarkStart w:colFirst="0" w:colLast="0" w:name="_heading=h.who5xjyjlkm2" w:id="34"/>
      <w:bookmarkEnd w:id="34"/>
      <w:r w:rsidDel="00000000" w:rsidR="00000000" w:rsidRPr="00000000">
        <w:rPr>
          <w:rtl w:val="0"/>
        </w:rPr>
        <w:t xml:space="preserve">2.8 Research Gaps</w:t>
      </w:r>
    </w:p>
    <w:p w:rsidR="00000000" w:rsidDel="00000000" w:rsidP="00000000" w:rsidRDefault="00000000" w:rsidRPr="00000000" w14:paraId="000001C8">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review identifies four research gaps that motivate the experimental investigation conducted in this study. The gaps are structured to align with the four specific objectives, creating a direct correspondence between identified literature deficiencies and the research activities designed to address them.</w:t>
      </w:r>
    </w:p>
    <w:p w:rsidR="00000000" w:rsidDel="00000000" w:rsidP="00000000" w:rsidRDefault="00000000" w:rsidRPr="00000000" w14:paraId="000001C9">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Existing blockchain-based donation platforms uniformly adopt Keccak256 as the commitment hash function without empirically comparing alternatives. While individual hash functions—including algebraic hashes (Poseidon, MiMC), bitwise hashes (Keccak256), and elliptic curve-based hashes (Pedersen)—are well-documented in cryptographic literature, no study has comparatively measured how they perform across both roles simultaneously in a donation verification context: specifically measuring on-chain commitment gas costs, ZKP circuit constraint counts, and client-side proof generation times as interconnected trade-offs rather than isolated metrics (Guo et al., 2024; Grassi et al., 2021).</w:t>
      </w:r>
    </w:p>
    <w:p w:rsidR="00000000" w:rsidDel="00000000" w:rsidP="00000000" w:rsidRDefault="00000000" w:rsidRPr="00000000" w14:paraId="000001CA">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Poseidon, MiMC, and Pedersen are designed for efficiency within arithmetic circuits, but they have substantially shorter cryptanalytic histories compared to Keccak256, which has undergone decades of scrutiny and was selected through the NIST SHA-3 competition (Bertoni et al., 2013). No existing research has systematically evaluated the trade-off between circuit efficiency and cryptographic maturity for these hash functions specifically in the context of financial donation verification, where the consequences of a hash collision or preimage attack would directly compromise the integrity of donation records (Bariant et al., 2023; Eichlseder et al., 2020).</w:t>
      </w:r>
    </w:p>
    <w:p w:rsidR="00000000" w:rsidDel="00000000" w:rsidP="00000000" w:rsidRDefault="00000000" w:rsidRPr="00000000" w14:paraId="000001CB">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several ZKP development frameworks exist (Circom/snarkjs, ZoKrates, Noir), no study has comparatively benchmarked their performance for donor-controlled, client-side proof generation in a donation verification context. Existing ZKP benchmarks focus on general-purpose circuits or rollup-scale applications, not on the specific requirements of consumer-facing donation verification where browser compatibility, proof generation speed on mid-range devices, and on-chain verification cost are the primary constraints (Ernstberger et al., 2024; Oude Roelink &amp; Bianchi, 2024; Chen et al., 2023).</w:t>
      </w:r>
    </w:p>
    <w:p w:rsidR="00000000" w:rsidDel="00000000" w:rsidP="00000000" w:rsidRDefault="00000000" w:rsidRPr="00000000" w14:paraId="000001CC">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cryptographic commitment schemes, Merkle tree batching, smart contract automation, and zero-knowledge proof verification are individually established techniques, their combined application for privacy-preserving, donor-controlled donation verification has never been implemented or empirically validated. As documented in the comparative analysis in Section 2.2.3, all existing implementations—both commercial platforms (The Giving Block, BitGive, Alice.si, Giveth) and academic proposals (DonateBlocks, BECP)—require donor wallet address exposure for contribution verification. No existing system implements cryptographic mechanisms enabling donors to prove contributions without identity disclosure. The theoretical properties of this combination—whether it achieves intended privacy and efficiency goals without introducing unexpected vulnerabilities—require empirical investigation through functional testing, security analysis, and usability assessment (Diro et al., 2024; Jadhav et al., 2025; Nairi et al., 2024).</w:t>
      </w:r>
    </w:p>
    <w:p w:rsidR="00000000" w:rsidDel="00000000" w:rsidP="00000000" w:rsidRDefault="00000000" w:rsidRPr="00000000" w14:paraId="000001CD">
      <w:pPr>
        <w:spacing w:after="200" w:before="24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study explores these gaps through experimental implementation and evaluation of a prototype system combining commitment schemes, Merkle tree batching, and zero-knowledge proof verification for donor-controlled privacy in blockchain-based donation management.</w:t>
      </w:r>
      <w:r w:rsidDel="00000000" w:rsidR="00000000" w:rsidRPr="00000000">
        <w:rPr>
          <w:rtl w:val="0"/>
        </w:rPr>
      </w:r>
    </w:p>
    <w:p w:rsidR="00000000" w:rsidDel="00000000" w:rsidP="00000000" w:rsidRDefault="00000000" w:rsidRPr="00000000" w14:paraId="000001CE">
      <w:pPr>
        <w:pStyle w:val="Heading1"/>
        <w:spacing w:after="0" w:line="240" w:lineRule="auto"/>
        <w:jc w:val="both"/>
        <w:rPr/>
      </w:pPr>
      <w:bookmarkStart w:colFirst="0" w:colLast="0" w:name="_heading=h.utlsief9dskt" w:id="35"/>
      <w:bookmarkEnd w:id="35"/>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spacing w:after="0" w:line="240" w:lineRule="auto"/>
        <w:jc w:val="both"/>
        <w:rPr/>
      </w:pPr>
      <w:bookmarkStart w:colFirst="0" w:colLast="0" w:name="_heading=h.lcdjpn4vhtsv" w:id="36"/>
      <w:bookmarkEnd w:id="36"/>
      <w:r w:rsidDel="00000000" w:rsidR="00000000" w:rsidRPr="00000000">
        <w:rPr>
          <w:rtl w:val="0"/>
        </w:rPr>
        <w:t xml:space="preserve">3. Methods</w:t>
      </w:r>
    </w:p>
    <w:p w:rsidR="00000000" w:rsidDel="00000000" w:rsidP="00000000" w:rsidRDefault="00000000" w:rsidRPr="00000000" w14:paraId="000001D0">
      <w:pPr>
        <w:pStyle w:val="Heading2"/>
        <w:keepNext w:val="0"/>
        <w:keepLines w:val="0"/>
        <w:spacing w:after="80" w:before="360" w:lineRule="auto"/>
        <w:jc w:val="both"/>
        <w:rPr/>
      </w:pPr>
      <w:bookmarkStart w:colFirst="0" w:colLast="0" w:name="_heading=h.vp340a1mebxr" w:id="37"/>
      <w:bookmarkEnd w:id="37"/>
      <w:r w:rsidDel="00000000" w:rsidR="00000000" w:rsidRPr="00000000">
        <w:rPr>
          <w:rtl w:val="0"/>
        </w:rPr>
        <w:t xml:space="preserve">3.1 Research Design</w:t>
      </w:r>
    </w:p>
    <w:p w:rsidR="00000000" w:rsidDel="00000000" w:rsidP="00000000" w:rsidRDefault="00000000" w:rsidRPr="00000000" w14:paraId="000001D1">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employed a Developmental Research Design (DRD) as described by Richey and Klein (2007). DRD is an approach that focuses on establishing an empirical basis for creating products and tools, as well as generating knowledge about the development process itself. Unlike traditional software development methodologies that prioritize delivering a production-ready system, DRD emphasizes knowledge generation through the systematic investigation of innovative solutions.</w:t>
      </w:r>
    </w:p>
    <w:p w:rsidR="00000000" w:rsidDel="00000000" w:rsidP="00000000" w:rsidRDefault="00000000" w:rsidRPr="00000000" w14:paraId="000001D2">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DRD approach was selected because this study aimed to explore and document the feasibility of integrating cryptographic techniques—commitment schemes, Merkle tree batching, and zero-knowledge proof verification—for privacy-preserving donation verification. The research design incorporates a comparative experimental dimension that empirically evaluates multiple candidate technologies before proceeding to implementation. Rather than adopting specific tools, the study first benchmarks alternative hash functions and zero-knowledge proof frameworks under identical conditions to produce evidence-based technology recommendations. These findings then inform the implementation of a unified smart contract architecture, which is subsequently evaluated through functional and scalability testing, security analysis, and usability assessment. This sequential approach creates a chain of empirically informed decisions, generating knowledge about technology selection trade-offs in addition to architecture feasibility.</w:t>
      </w:r>
    </w:p>
    <w:p w:rsidR="00000000" w:rsidDel="00000000" w:rsidP="00000000" w:rsidRDefault="00000000" w:rsidRPr="00000000" w14:paraId="000001D3">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proof-of-concept study, the implementation was conducted in a simulated environment using the Hardhat local blockchain network and Polygon Amoy testnet, with test tokens (mock POL) representing donation transactions. This approach allowed for controlled experimentation without the risks, costs, and regulatory complexities associated with mainnet deployment and real financial transactions. Since the Ethereum Virtual Machine executes identical bytecode with identical gas costs regardless of whether the network uses real or test tokens, gas measurements obtained on the Hardhat local network are directly equivalent to mainnet costs (Ethereum Foundation, 2024a). This proof-of-concept approach is consistent with exploratory research methodology, where the primary objective is to investigate feasibility and generate knowledge rather than to deliver a production-ready system (Richey &amp; Klein, 2007).</w:t>
      </w:r>
    </w:p>
    <w:p w:rsidR="00000000" w:rsidDel="00000000" w:rsidP="00000000" w:rsidRDefault="00000000" w:rsidRPr="00000000" w14:paraId="000001D4">
      <w:pPr>
        <w:pStyle w:val="Heading2"/>
        <w:keepNext w:val="0"/>
        <w:keepLines w:val="0"/>
        <w:spacing w:after="80" w:before="360" w:lineRule="auto"/>
        <w:rPr/>
      </w:pPr>
      <w:bookmarkStart w:colFirst="0" w:colLast="0" w:name="_heading=h.n3rnlha09bms" w:id="38"/>
      <w:bookmarkEnd w:id="38"/>
      <w:r w:rsidDel="00000000" w:rsidR="00000000" w:rsidRPr="00000000">
        <w:rPr>
          <w:rtl w:val="0"/>
        </w:rPr>
        <w:t xml:space="preserve">3.2 Conceptual Framework</w:t>
      </w:r>
    </w:p>
    <w:p w:rsidR="00000000" w:rsidDel="00000000" w:rsidP="00000000" w:rsidRDefault="00000000" w:rsidRPr="00000000" w14:paraId="000001D5">
      <w:pPr>
        <w:spacing w:after="100" w:before="20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486400" cy="42037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42037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1:</w:t>
      </w:r>
      <w:r w:rsidDel="00000000" w:rsidR="00000000" w:rsidRPr="00000000">
        <w:rPr>
          <w:rFonts w:ascii="Times New Roman" w:cs="Times New Roman" w:eastAsia="Times New Roman" w:hAnsi="Times New Roman"/>
          <w:i w:val="1"/>
          <w:iCs w:val="1"/>
          <w:rtl w:val="0"/>
        </w:rPr>
        <w:t xml:space="preserve"> Conceptual Framework Comparative Analysis Informing Privacy-Preserving Donation Verification Architecture</w:t>
      </w:r>
    </w:p>
    <w:p w:rsidR="00000000" w:rsidDel="00000000" w:rsidP="00000000" w:rsidRDefault="00000000" w:rsidRPr="00000000" w14:paraId="000001D6">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conceptual framework, as illustrated in Figure 1, consists of two overarching phases: Phase 0 (Comparative Technology Analysis) feeding into Phases 1–2 (Informed Implementation and Evaluation). Within the implementation phase, the architecture comprises three stages: the Commitment Generation Stage, the Merkle Tree Batching Stage, and the Zero-Knowledge Proof Verification Stage. The critical distinction from the prior formulation is that technology choices within each stage—specifically, the hash function used for commitments and the ZKP framework used for proof generation—are determined by the empirical findings of Phase 0 rather than being predetermined.</w:t>
      </w:r>
    </w:p>
    <w:p w:rsidR="00000000" w:rsidDel="00000000" w:rsidP="00000000" w:rsidRDefault="00000000" w:rsidRPr="00000000" w14:paraId="000001D7">
      <w:pPr>
        <w:spacing w:after="100" w:before="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5. </w:t>
      </w:r>
      <w:r w:rsidDel="00000000" w:rsidR="00000000" w:rsidRPr="00000000">
        <w:rPr>
          <w:rFonts w:ascii="Times New Roman" w:cs="Times New Roman" w:eastAsia="Times New Roman" w:hAnsi="Times New Roman"/>
          <w:i w:val="1"/>
          <w:iCs w:val="1"/>
          <w:rtl w:val="0"/>
        </w:rPr>
        <w:t xml:space="preserve">Research Flow Summary</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4.6153846153848"/>
        <w:gridCol w:w="1938.4615384615386"/>
        <w:gridCol w:w="2658.4615384615386"/>
        <w:gridCol w:w="2838.4615384615386"/>
        <w:tblGridChange w:id="0">
          <w:tblGrid>
            <w:gridCol w:w="1204.6153846153848"/>
            <w:gridCol w:w="1938.4615384615386"/>
            <w:gridCol w:w="2658.4615384615386"/>
            <w:gridCol w:w="2838.4615384615386"/>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40" w:before="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before="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Input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40" w:before="4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Output</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0a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1: Hash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hash functions, identical test 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Ranked hash recommendation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0b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2: ZKP Framework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frameworks, 2 proving systems, standard circuit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Ranked framework + proving system recommendation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3: Informed Implementation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40" w:before="40" w:line="360" w:lineRule="auto"/>
              <w:rPr>
                <w:rFonts w:ascii="Times New Roman" w:cs="Times New Roman" w:eastAsia="Times New Roman" w:hAnsi="Times New Roman"/>
                <w:sz w:val="20"/>
                <w:szCs w:val="20"/>
              </w:rPr>
            </w:pPr>
            <w:sdt>
              <w:sdtPr>
                <w:id w:val="-1656830206"/>
                <w:tag w:val="goog_rdk_0"/>
              </w:sdtPr>
              <w:sdtContent>
                <w:r w:rsidDel="00000000" w:rsidR="00000000" w:rsidRPr="00000000">
                  <w:rPr>
                    <w:rFonts w:ascii="Cardo" w:cs="Cardo" w:eastAsia="Cardo" w:hAnsi="Cardo"/>
                    <w:sz w:val="20"/>
                    <w:szCs w:val="20"/>
                    <w:rtl w:val="0"/>
                  </w:rPr>
                  <w:t xml:space="preserve">Phase 0 findings → selected hash + ZKP stack</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smart contract architecture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4: Architecture Evaluation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architecture + test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security, usability results</w:t>
            </w:r>
          </w:p>
        </w:tc>
      </w:tr>
    </w:tbl>
    <w:p w:rsidR="00000000" w:rsidDel="00000000" w:rsidP="00000000" w:rsidRDefault="00000000" w:rsidRPr="00000000" w14:paraId="000001EC">
      <w:pPr>
        <w:pStyle w:val="Heading3"/>
        <w:keepNext w:val="0"/>
        <w:keepLines w:val="0"/>
        <w:spacing w:after="80" w:before="280" w:lineRule="auto"/>
        <w:rPr>
          <w:b w:val="0"/>
          <w:bCs w:val="0"/>
        </w:rPr>
      </w:pPr>
      <w:bookmarkStart w:colFirst="0" w:colLast="0" w:name="_heading=h.393pal2dnyl2" w:id="39"/>
      <w:bookmarkEnd w:id="39"/>
      <w:r w:rsidDel="00000000" w:rsidR="00000000" w:rsidRPr="00000000">
        <w:rPr>
          <w:b w:val="0"/>
          <w:bCs w:val="0"/>
          <w:rtl w:val="0"/>
        </w:rPr>
        <w:t xml:space="preserve">3.2.1 Comparative Technology Analysis</w:t>
      </w:r>
    </w:p>
    <w:p w:rsidR="00000000" w:rsidDel="00000000" w:rsidP="00000000" w:rsidRDefault="00000000" w:rsidRPr="00000000" w14:paraId="000001ED">
      <w:pPr>
        <w:pStyle w:val="Heading4"/>
        <w:keepNext w:val="0"/>
        <w:keepLines w:val="0"/>
        <w:spacing w:before="240" w:line="360" w:lineRule="auto"/>
        <w:jc w:val="both"/>
        <w:rPr>
          <w:rFonts w:ascii="Times New Roman" w:cs="Times New Roman" w:eastAsia="Times New Roman" w:hAnsi="Times New Roman"/>
          <w:color w:val="000000"/>
        </w:rPr>
      </w:pPr>
      <w:bookmarkStart w:colFirst="0" w:colLast="0" w:name="_heading=h.2gs8rjct7vn" w:id="40"/>
      <w:bookmarkEnd w:id="40"/>
      <w:r w:rsidDel="00000000" w:rsidR="00000000" w:rsidRPr="00000000">
        <w:rPr>
          <w:rFonts w:ascii="Times New Roman" w:cs="Times New Roman" w:eastAsia="Times New Roman" w:hAnsi="Times New Roman"/>
          <w:color w:val="000000"/>
          <w:rtl w:val="0"/>
        </w:rPr>
        <w:t xml:space="preserve">Hash Function Comparison</w:t>
      </w:r>
    </w:p>
    <w:p w:rsidR="00000000" w:rsidDel="00000000" w:rsidP="00000000" w:rsidRDefault="00000000" w:rsidRPr="00000000" w14:paraId="000001EE">
      <w:pPr>
        <w:pStyle w:val="Heading4"/>
        <w:keepNext w:val="0"/>
        <w:keepLines w:val="0"/>
        <w:spacing w:before="240" w:line="360" w:lineRule="auto"/>
        <w:jc w:val="center"/>
        <w:rPr>
          <w:rFonts w:ascii="Times New Roman" w:cs="Times New Roman" w:eastAsia="Times New Roman" w:hAnsi="Times New Roman"/>
          <w:b w:val="1"/>
          <w:bCs w:val="1"/>
          <w:color w:val="000000"/>
          <w:sz w:val="22"/>
          <w:szCs w:val="22"/>
        </w:rPr>
      </w:pPr>
      <w:bookmarkStart w:colFirst="0" w:colLast="0" w:name="_heading=h.oztf61lxluz1" w:id="41"/>
      <w:bookmarkEnd w:id="41"/>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2915599" cy="2154610"/>
            <wp:effectExtent b="0" l="0" r="0" t="0"/>
            <wp:docPr id="12" name="image10.gif"/>
            <a:graphic>
              <a:graphicData uri="http://schemas.openxmlformats.org/drawingml/2006/picture">
                <pic:pic>
                  <pic:nvPicPr>
                    <pic:cNvPr id="0" name="image10.gif"/>
                    <pic:cNvPicPr preferRelativeResize="0"/>
                  </pic:nvPicPr>
                  <pic:blipFill>
                    <a:blip r:embed="rId13"/>
                    <a:srcRect b="0" l="0" r="0" t="0"/>
                    <a:stretch>
                      <a:fillRect/>
                    </a:stretch>
                  </pic:blipFill>
                  <pic:spPr>
                    <a:xfrm>
                      <a:off x="0" y="0"/>
                      <a:ext cx="2915599" cy="215461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120" w:before="120" w:line="360" w:lineRule="auto"/>
        <w:ind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Hash Function Comparative Benchmarking for Commitment Scheme and ZKP Circuit Selection</w:t>
      </w:r>
    </w:p>
    <w:p w:rsidR="00000000" w:rsidDel="00000000" w:rsidP="00000000" w:rsidRDefault="00000000" w:rsidRPr="00000000" w14:paraId="000001F0">
      <w:pPr>
        <w:spacing w:after="100" w:before="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cryptographic hash functions — Keccak256, Poseidon, MiMC, and Pedersen — are implemented and benchmarked under identical conditions using a standardized test harness. The test harness enforces the same input data, circuit logic structure, and hardware configuration across all candidates to ensure fair comparison. Each hash function is evaluated in two roles simultaneously: as the commitment hash function and inside a zero-knowledge proof test circuit. Four metrics are collected from each candidate: on-chain gas cost for commitment verification, R1CS constraint count representing circuit size, client-side proof generation time, and a qualitative security maturity assessment based on the depth of cryptanalytic scrutiny each function has received. All collected metrics are then processed through a multi-criteria weighted ranking, where each metric is normalized and assigned a weight reflecting its importance for a consumer-facing donation verification system. The candidate with the highest composite score is recommended as the hash function for the implementation.</w:t>
      </w:r>
    </w:p>
    <w:p w:rsidR="00000000" w:rsidDel="00000000" w:rsidP="00000000" w:rsidRDefault="00000000" w:rsidRPr="00000000" w14:paraId="000001F1">
      <w:pPr>
        <w:pStyle w:val="Heading4"/>
        <w:keepNext w:val="0"/>
        <w:keepLines w:val="0"/>
        <w:spacing w:before="240" w:line="360" w:lineRule="auto"/>
        <w:jc w:val="both"/>
        <w:rPr>
          <w:rFonts w:ascii="Times New Roman" w:cs="Times New Roman" w:eastAsia="Times New Roman" w:hAnsi="Times New Roman"/>
          <w:color w:val="000000"/>
        </w:rPr>
      </w:pPr>
      <w:bookmarkStart w:colFirst="0" w:colLast="0" w:name="_heading=h.xv1boedd2mh3" w:id="42"/>
      <w:bookmarkEnd w:id="42"/>
      <w:r w:rsidDel="00000000" w:rsidR="00000000" w:rsidRPr="00000000">
        <w:rPr>
          <w:rFonts w:ascii="Times New Roman" w:cs="Times New Roman" w:eastAsia="Times New Roman" w:hAnsi="Times New Roman"/>
          <w:color w:val="000000"/>
          <w:rtl w:val="0"/>
        </w:rPr>
        <w:t xml:space="preserve">ZKP Framework and Proving System Comparison</w:t>
      </w:r>
    </w:p>
    <w:p w:rsidR="00000000" w:rsidDel="00000000" w:rsidP="00000000" w:rsidRDefault="00000000" w:rsidRPr="00000000" w14:paraId="000001F2">
      <w:pPr>
        <w:spacing w:after="120" w:before="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699315" cy="3519488"/>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99315" cy="3519488"/>
                    </a:xfrm>
                    <a:prstGeom prst="rect"/>
                    <a:ln/>
                  </pic:spPr>
                </pic:pic>
              </a:graphicData>
            </a:graphic>
          </wp:inline>
        </w:drawing>
      </w:r>
      <w:r w:rsidDel="00000000" w:rsidR="00000000" w:rsidRPr="00000000">
        <w:rPr>
          <w:rFonts w:ascii="Times New Roman" w:cs="Times New Roman" w:eastAsia="Times New Roman" w:hAnsi="Times New Roman"/>
          <w:b w:val="1"/>
          <w:bCs w:val="1"/>
          <w:sz w:val="22"/>
          <w:szCs w:val="22"/>
          <w:rtl w:val="0"/>
        </w:rPr>
        <w:br w:type="textWrapping"/>
      </w:r>
      <w:r w:rsidDel="00000000" w:rsidR="00000000" w:rsidRPr="00000000">
        <w:rPr>
          <w:rFonts w:ascii="Times New Roman" w:cs="Times New Roman" w:eastAsia="Times New Roman" w:hAnsi="Times New Roman"/>
          <w:rtl w:val="0"/>
        </w:rPr>
        <w:t xml:space="preserve"> Figure 3: </w:t>
      </w:r>
      <w:r w:rsidDel="00000000" w:rsidR="00000000" w:rsidRPr="00000000">
        <w:rPr>
          <w:rFonts w:ascii="Times New Roman" w:cs="Times New Roman" w:eastAsia="Times New Roman" w:hAnsi="Times New Roman"/>
          <w:i w:val="1"/>
          <w:iCs w:val="1"/>
          <w:rtl w:val="0"/>
        </w:rPr>
        <w:t xml:space="preserve">ZKP Framework and Proving System Comparative Benchmarking for Donor-Controlled Proof Generation</w:t>
      </w:r>
    </w:p>
    <w:p w:rsidR="00000000" w:rsidDel="00000000" w:rsidP="00000000" w:rsidRDefault="00000000" w:rsidRPr="00000000" w14:paraId="000001F3">
      <w:pPr>
        <w:spacing w:after="100"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zero-knowledge proof development frameworks — Circom/snarkjs, ZoKrates, and Noir — are benchmarked across two proving systems — Groth16 and PLONK — using a standardized donation verification circuit. The circuit encodes the same core verification logic across all implementations: commitment hash recomputation from private inputs, Merkle tree path traversal using sibling hashes, and root hash matching against a public signal. Each compatible framework-proving system combination is benchmarked under identical conditions, collecting four metrics: client-side proving time measured on consumer-grade hardware, proof size in bytes, on-chain verification gas cost, and trusted setup requirements. Combinations that are not supported by a given framework are documented as not applicable rather than excluded, to provide a complete comparison matrix. The collected metrics are processed through an analogous multi-criteria weighted ranking, and the combination with the highest composite score is recommended as the framework and proving system for the implementation. The outputs of both comparative studies feed directly into the informed implementation phase.</w:t>
      </w:r>
    </w:p>
    <w:p w:rsidR="00000000" w:rsidDel="00000000" w:rsidP="00000000" w:rsidRDefault="00000000" w:rsidRPr="00000000" w14:paraId="000001F4">
      <w:pPr>
        <w:pStyle w:val="Heading3"/>
        <w:keepNext w:val="0"/>
        <w:keepLines w:val="0"/>
        <w:spacing w:after="80" w:before="280" w:line="480" w:lineRule="auto"/>
        <w:jc w:val="left"/>
        <w:rPr>
          <w:b w:val="0"/>
          <w:bCs w:val="0"/>
        </w:rPr>
      </w:pPr>
      <w:bookmarkStart w:colFirst="0" w:colLast="0" w:name="_heading=h.zgx7uwvox6gd" w:id="43"/>
      <w:bookmarkEnd w:id="43"/>
      <w:r w:rsidDel="00000000" w:rsidR="00000000" w:rsidRPr="00000000">
        <w:rPr>
          <w:b w:val="0"/>
          <w:bCs w:val="0"/>
          <w:rtl w:val="0"/>
        </w:rPr>
        <w:t xml:space="preserve">3.2.2 Commitment Generation</w:t>
      </w:r>
    </w:p>
    <w:p w:rsidR="00000000" w:rsidDel="00000000" w:rsidP="00000000" w:rsidRDefault="00000000" w:rsidRPr="00000000" w14:paraId="000001F5">
      <w:pPr>
        <w:spacing w:after="100" w:before="20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4962525" cy="2741672"/>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62525" cy="2741672"/>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rtl w:val="0"/>
        </w:rPr>
        <w:t xml:space="preserve">Figure 4: </w:t>
      </w:r>
      <w:r w:rsidDel="00000000" w:rsidR="00000000" w:rsidRPr="00000000">
        <w:rPr>
          <w:rFonts w:ascii="Times New Roman" w:cs="Times New Roman" w:eastAsia="Times New Roman" w:hAnsi="Times New Roman"/>
          <w:rtl w:val="0"/>
        </w:rPr>
        <w:t xml:space="preserve">Commitment Generation Process for Hiding Donation Details Using Selected Hash Function</w:t>
        <w:br w:type="textWrapping"/>
      </w:r>
      <w:r w:rsidDel="00000000" w:rsidR="00000000" w:rsidRPr="00000000">
        <w:rPr>
          <w:rFonts w:ascii="Times New Roman" w:cs="Times New Roman" w:eastAsia="Times New Roman" w:hAnsi="Times New Roman"/>
        </w:rPr>
        <w:drawing>
          <wp:inline distB="114300" distT="114300" distL="114300" distR="114300">
            <wp:extent cx="5486400" cy="9906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86400" cy="9906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 Figure 5: </w:t>
      </w:r>
      <w:r w:rsidDel="00000000" w:rsidR="00000000" w:rsidRPr="00000000">
        <w:rPr>
          <w:rFonts w:ascii="Times New Roman" w:cs="Times New Roman" w:eastAsia="Times New Roman" w:hAnsi="Times New Roman"/>
          <w:rtl w:val="0"/>
        </w:rPr>
        <w:t xml:space="preserve">Client-Side Zero-Knowledge Proof Generation and On-Chain Verification</w:t>
      </w:r>
    </w:p>
    <w:p w:rsidR="00000000" w:rsidDel="00000000" w:rsidP="00000000" w:rsidRDefault="00000000" w:rsidRPr="00000000" w14:paraId="000001F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candidate is tested using the same commitment formula: C = H(donationData || salt), where H represents the candidate hash function and '||' denotes concatenation. The comparative evaluation measures on-chain gas cost, R1CS constraint count, client-side proof generation time, and a qualitative security maturity assessment. The candidate that achieves the highest composite score across these weighted criteria is selected for the final integrated architecture.</w:t>
      </w:r>
    </w:p>
    <w:p w:rsidR="00000000" w:rsidDel="00000000" w:rsidP="00000000" w:rsidRDefault="00000000" w:rsidRPr="00000000" w14:paraId="000001F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of this stage is a donation receipt containing the commitment hash, which serves as proof of the donor's contribution without exposing the underlying transaction details. The donor retains the original donation data and salt privately on their device, which are later used as private inputs to the zero-knowledge proof circuit during the verification stage.</w:t>
      </w:r>
    </w:p>
    <w:p w:rsidR="00000000" w:rsidDel="00000000" w:rsidP="00000000" w:rsidRDefault="00000000" w:rsidRPr="00000000" w14:paraId="000001F8">
      <w:pPr>
        <w:pStyle w:val="Heading3"/>
        <w:keepNext w:val="0"/>
        <w:keepLines w:val="0"/>
        <w:spacing w:after="80" w:before="280" w:line="480" w:lineRule="auto"/>
        <w:jc w:val="left"/>
        <w:rPr>
          <w:b w:val="0"/>
          <w:bCs w:val="0"/>
        </w:rPr>
      </w:pPr>
      <w:bookmarkStart w:colFirst="0" w:colLast="0" w:name="_heading=h.4b4fpf6lagde" w:id="44"/>
      <w:bookmarkEnd w:id="44"/>
      <w:r w:rsidDel="00000000" w:rsidR="00000000" w:rsidRPr="00000000">
        <w:rPr>
          <w:b w:val="0"/>
          <w:bCs w:val="0"/>
          <w:rtl w:val="0"/>
        </w:rPr>
        <w:t xml:space="preserve">3.2.3 Merkle Tree Batching</w:t>
      </w:r>
    </w:p>
    <w:p w:rsidR="00000000" w:rsidDel="00000000" w:rsidP="00000000" w:rsidRDefault="00000000" w:rsidRPr="00000000" w14:paraId="000001F9">
      <w:pPr>
        <w:spacing w:after="100" w:before="200"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89500" cy="3302000"/>
            <wp:effectExtent b="0" l="0" r="0" t="0"/>
            <wp:docPr id="5" name="image5.gif"/>
            <a:graphic>
              <a:graphicData uri="http://schemas.openxmlformats.org/drawingml/2006/picture">
                <pic:pic>
                  <pic:nvPicPr>
                    <pic:cNvPr id="0" name="image5.gif"/>
                    <pic:cNvPicPr preferRelativeResize="0"/>
                  </pic:nvPicPr>
                  <pic:blipFill>
                    <a:blip r:embed="rId17"/>
                    <a:srcRect b="0" l="0" r="0" t="0"/>
                    <a:stretch>
                      <a:fillRect/>
                    </a:stretch>
                  </pic:blipFill>
                  <pic:spPr>
                    <a:xfrm>
                      <a:off x="0" y="0"/>
                      <a:ext cx="48895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6: </w:t>
      </w:r>
      <w:r w:rsidDel="00000000" w:rsidR="00000000" w:rsidRPr="00000000">
        <w:rPr>
          <w:rFonts w:ascii="Times New Roman" w:cs="Times New Roman" w:eastAsia="Times New Roman" w:hAnsi="Times New Roman"/>
          <w:rtl w:val="0"/>
        </w:rPr>
        <w:t xml:space="preserve">Batch Processing of Commitments Using Merkle Tree Structure</w:t>
      </w:r>
    </w:p>
    <w:p w:rsidR="00000000" w:rsidDel="00000000" w:rsidP="00000000" w:rsidRDefault="00000000" w:rsidRPr="00000000" w14:paraId="000001FB">
      <w:pPr>
        <w:spacing w:after="240" w:before="240" w:line="480" w:lineRule="auto"/>
        <w:ind w:firstLine="720"/>
        <w:jc w:val="both"/>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rtl w:val="0"/>
        </w:rPr>
        <w:t xml:space="preserve">Instead of storing each individual commitment on-chain (which would require N separate transactions for N donations), the system stores only a single Merkle root that represents all batched commitments. This approach reduces on-chain storage from O(N) to O(1) per batch, resulting in significant gas savings.</w:t>
      </w:r>
      <w:sdt>
        <w:sdtPr>
          <w:id w:val="-484313855"/>
          <w:tag w:val="goog_rdk_1"/>
        </w:sdtPr>
        <w:sdtContent>
          <w:r w:rsidDel="00000000" w:rsidR="00000000" w:rsidRPr="00000000">
            <w:rPr>
              <w:rFonts w:ascii="Gungsuh" w:cs="Gungsuh" w:eastAsia="Gungsuh" w:hAnsi="Gungsuh"/>
              <w:shd w:fill="ea9999" w:val="clear"/>
              <w:rtl w:val="0"/>
            </w:rPr>
            <w:t xml:space="preserve"> Under EIP-2929 gas accounting (Buterin &amp; Swende, 2020), a fresh storage write (SSTORE) costs approximately 22,100 gas when the slot is cold, meaning N individual commitment writes incur ≈22,100 × N gas. By contrast, storing a single Merkle root requires one SSTORE operation, with all N commitments verifiable off-chain against that root via O(log N) hash computations. The trade-off is that individual commitments are stored off-chain, but their integrity can be cryptographically verified against the on-chain Merkle root at any time. Prior work on event-based logging combined with Merkle verification has demonstrated per-transaction cost reductions of up to 90% compared to individual on-chain storage (Marchesi et al., 2020; Nguyen et al., 2023; Sharmin et al., 2025), and adaptive Merkle tree implementations show further efficiency gains of 30% and higher (Kuznetsov et al., 2024b). </w:t>
          </w:r>
        </w:sdtContent>
      </w:sdt>
    </w:p>
    <w:p w:rsidR="00000000" w:rsidDel="00000000" w:rsidP="00000000" w:rsidRDefault="00000000" w:rsidRPr="00000000" w14:paraId="000001F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utilizes the OpenZeppelin MerkleProof library to implement these Merkle tree operations (OpenZeppelin, 2024). The output of this stage is an on-chain Merkle root that enables efficient verification of any donation within the batch. In the context of zero-knowledge proof verification, the Merkle proof (the sibling hashes along the path from the leaf to the root) serves as an additional private input to the ZKP circuit, allowing the donor to prove their commitment exists in the batch without revealing which specific commitment is theirs.</w:t>
      </w:r>
    </w:p>
    <w:p w:rsidR="00000000" w:rsidDel="00000000" w:rsidP="00000000" w:rsidRDefault="00000000" w:rsidRPr="00000000" w14:paraId="000001FD">
      <w:pPr>
        <w:spacing w:after="240" w:before="240" w:line="523.63636363636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constraint of the Merkle tree batching approach is the privacy set size limitation imposed by tree depth and batch capacity. The privacy set refers to the total number of commitments within a single Merkle tree batch; a larger privacy set provides stronger anonymity guarantees because a donor’s commitment is concealed among a greater number of indistinguishable entries. However, privacy set size is bounded by the configured Merkle tree depth: a tree of depth d accommodates at most 2^d leaf nodes, meaning that a depth-4 tree supports a maximum of 16 commitments, a depth-7 tree supports 128, a depth-9 tree supports 512, and a depth-10 tree supports 1,024. Consequently, small batches—such as the 10-donation baseline configuration—yield a privacy set of only 10 active leaves within a 16-leaf tree, which reduces the anonymity set and increases the theoretical probability of linking a proof to a specific donor through auxiliary information. Conversely, larger batches improve privacy but increase Merkle tree construction time and ZKP proof generation time due to the greater number of sibling hashes that must be processed along the proof path. The scalability experiments conducted in this study, spanning batch sizes of 10, 100, 500, and 1,000 donations with corresponding tree depths of 4, 7, 9, and 10 respectively (Table 11), were designed to empirically characterize this trade-off between privacy set size and computational overhead, establishing the practical upper bound for the AidVocate system under realistic NGO monthly donation volumes.</w:t>
      </w:r>
    </w:p>
    <w:p w:rsidR="00000000" w:rsidDel="00000000" w:rsidP="00000000" w:rsidRDefault="00000000" w:rsidRPr="00000000" w14:paraId="000001FE">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Style w:val="Heading3"/>
        <w:keepNext w:val="0"/>
        <w:keepLines w:val="0"/>
        <w:spacing w:after="80" w:before="280" w:line="480" w:lineRule="auto"/>
        <w:jc w:val="left"/>
        <w:rPr>
          <w:b w:val="0"/>
          <w:bCs w:val="0"/>
        </w:rPr>
      </w:pPr>
      <w:bookmarkStart w:colFirst="0" w:colLast="0" w:name="_heading=h.1nwp4tf2y8na" w:id="45"/>
      <w:bookmarkEnd w:id="45"/>
      <w:r w:rsidDel="00000000" w:rsidR="00000000" w:rsidRPr="00000000">
        <w:rPr>
          <w:b w:val="0"/>
          <w:bCs w:val="0"/>
          <w:rtl w:val="0"/>
        </w:rPr>
        <w:t xml:space="preserve">3.2.4 Zero-Knowledge Proof Verification</w:t>
      </w:r>
    </w:p>
    <w:p w:rsidR="00000000" w:rsidDel="00000000" w:rsidP="00000000" w:rsidRDefault="00000000" w:rsidRPr="00000000" w14:paraId="00000200">
      <w:pPr>
        <w:spacing w:after="100" w:before="200" w:line="48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5486400" cy="99060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86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0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7: </w:t>
      </w:r>
      <w:r w:rsidDel="00000000" w:rsidR="00000000" w:rsidRPr="00000000">
        <w:rPr>
          <w:rFonts w:ascii="Times New Roman" w:cs="Times New Roman" w:eastAsia="Times New Roman" w:hAnsi="Times New Roman"/>
          <w:rtl w:val="0"/>
        </w:rPr>
        <w:t xml:space="preserve">Privacy-Preserving Donation Verification Through Zero-Knowledge Proof</w:t>
      </w:r>
    </w:p>
    <w:p w:rsidR="00000000" w:rsidDel="00000000" w:rsidP="00000000" w:rsidRDefault="00000000" w:rsidRPr="00000000" w14:paraId="0000020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a ZKP development framework and proving system for this architecture is determined through comparative benchmarking rather than a priori adoption. Three candidate frameworks were identified from recent ZKP literature and practitioner surveys based on three inclusion criteria: (1) support for client-side proof generation through browser-compatible WASM compilation, which is essential for donor-controlled verification; (2) ability to generate Solidity verifier contracts for on-chain proof verification on EVM-compatible blockchains; and (3) sufficient ecosystem maturity, including documented APIs, community-audited circuit libraries, and active maintenance.</w:t>
      </w:r>
    </w:p>
    <w:p w:rsidR="00000000" w:rsidDel="00000000" w:rsidP="00000000" w:rsidRDefault="00000000" w:rsidRPr="00000000" w14:paraId="0000020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compatible framework–proving system combination is benchmarked across two proving systems—Groth16 and PLONK—using a standardized donation verification circuit. Each combination is evaluated under identical conditions, measuring client-side proving time, proof size, on-chain verification gas cost, and trusted setup requirements. The combination achieving the highest composite score across weighted criteria is selected for the final integrated architecture.</w:t>
      </w:r>
    </w:p>
    <w:p w:rsidR="00000000" w:rsidDel="00000000" w:rsidP="00000000" w:rsidRDefault="00000000" w:rsidRPr="00000000" w14:paraId="0000020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donor wishes to prove their donation to a third party, the verification process operates entirely on the donor's local device. The donor's device loads the private inputs—the original donation data, the cryptographic salt, and the Merkle proof (sibling hashes)—into the ZKP circuit implemented using the selected framework. The circuit performs three operations internally: it recomputes the commitment hash from the donation data and salt using the selected hash function, it reconstructs the Merkle root by traversing the tree path using the sibling hashes, and it verifies that the computed root matches the publicly known on-chain Merkle root. The selected framework's proof generation library then produces a zero-knowledge proof (π) that attests to the correctness of all three operations without exposing any of the private inputs. Only this proof, along with the public signal (the Merkle root), is submitted to the on-chain verifier smart contract.</w:t>
      </w:r>
    </w:p>
    <w:p w:rsidR="00000000" w:rsidDel="00000000" w:rsidP="00000000" w:rsidRDefault="00000000" w:rsidRPr="00000000" w14:paraId="0000020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on-chain verifier contract, auto-generated from the selected framework's circuit compilation output, checks the mathematical validity of the proof against the stored Merkle root. If the proof is valid, the donation is verified; if invalid, the verification is rejected. At no point during this process does the verifier—or any observer of the blockchain—learn the donation amount, the recipient organization, the donor's identity, or any other private detail. The verification has O(1) computational complexity on-chain, as zk-SNARK proof verification requires a fixed number of pairing operations regardless of the complexity of the original computation (Shashidhara, 2025; Ernstberger et al., 2024).</w:t>
      </w:r>
    </w:p>
    <w:p w:rsidR="00000000" w:rsidDel="00000000" w:rsidP="00000000" w:rsidRDefault="00000000" w:rsidRPr="00000000" w14:paraId="00000206">
      <w:pPr>
        <w:spacing w:after="240" w:before="240" w:line="480" w:lineRule="auto"/>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The output of this overall process is a unified smart contract architecture that combines cryptographic commitment schemes, Merkle tree batching, and client-side zero-knowledge proof verification. This architecture enables donors to independently prove their charitable contributions to third parties such as employers, tax authorities, or family members without revealing any private donation details to the verifier, the platform, or any observer of the public blockchain.</w:t>
      </w:r>
      <w:r w:rsidDel="00000000" w:rsidR="00000000" w:rsidRPr="00000000">
        <w:rPr>
          <w:rtl w:val="0"/>
        </w:rPr>
      </w:r>
    </w:p>
    <w:p w:rsidR="00000000" w:rsidDel="00000000" w:rsidP="00000000" w:rsidRDefault="00000000" w:rsidRPr="00000000" w14:paraId="00000207">
      <w:pPr>
        <w:pStyle w:val="Heading2"/>
        <w:keepNext w:val="0"/>
        <w:keepLines w:val="0"/>
        <w:spacing w:after="80" w:before="360" w:lineRule="auto"/>
        <w:rPr/>
      </w:pPr>
      <w:bookmarkStart w:colFirst="0" w:colLast="0" w:name="_heading=h.u01dt9mxs4il" w:id="46"/>
      <w:bookmarkEnd w:id="46"/>
      <w:r w:rsidDel="00000000" w:rsidR="00000000" w:rsidRPr="00000000">
        <w:rPr>
          <w:rtl w:val="0"/>
        </w:rPr>
        <w:t xml:space="preserve">3.3 Research Respondents</w:t>
      </w:r>
    </w:p>
    <w:p w:rsidR="00000000" w:rsidDel="00000000" w:rsidP="00000000" w:rsidRDefault="00000000" w:rsidRPr="00000000" w14:paraId="0000020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employed purposive sampling to select participants who could provide meaningful feedback on the usability of the donation verification system (Creswell &amp; Creswell, 2018). Two groups of respondents were identified based on their roles in the donation ecosystem: NGO representatives responsible for managing donations and donors who make charitable contributions.</w:t>
      </w:r>
    </w:p>
    <w:p w:rsidR="00000000" w:rsidDel="00000000" w:rsidP="00000000" w:rsidRDefault="00000000" w:rsidRPr="00000000" w14:paraId="0000020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minimum of 10 participants were recruited for the usability assessment, distributed across both user groups. This sample size was determined based on Nielsen’s (2000) finding that 5 to 8 participants can identify approximately 80% of usability issues in a system, while additional participants provide diminishing returns. The minimum of 10 participants also met the threshold recommended by Brooke (1996) for obtaining reliable SUS scores</w:t>
      </w:r>
    </w:p>
    <w:p w:rsidR="00000000" w:rsidDel="00000000" w:rsidP="00000000" w:rsidRDefault="00000000" w:rsidRPr="00000000" w14:paraId="0000020A">
      <w:pPr>
        <w:pStyle w:val="Heading2"/>
        <w:keepNext w:val="0"/>
        <w:keepLines w:val="0"/>
        <w:spacing w:after="80" w:before="360" w:lineRule="auto"/>
        <w:rPr/>
      </w:pPr>
      <w:bookmarkStart w:colFirst="0" w:colLast="0" w:name="_heading=h.dfr50p1c012o" w:id="47"/>
      <w:bookmarkEnd w:id="47"/>
      <w:r w:rsidDel="00000000" w:rsidR="00000000" w:rsidRPr="00000000">
        <w:rPr>
          <w:rtl w:val="0"/>
        </w:rPr>
        <w:t xml:space="preserve">3.4 Research Instruments</w:t>
      </w:r>
    </w:p>
    <w:p w:rsidR="00000000" w:rsidDel="00000000" w:rsidP="00000000" w:rsidRDefault="00000000" w:rsidRPr="00000000" w14:paraId="0000020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research instruments were utilized to collect data across the evaluation phases. Each instrument was selected based on its established validity in the respective evaluation domain and its appropriateness for the study’s comparative and evaluative objectives. This section focuses on how each instrument was configured and applied within the study.</w:t>
      </w:r>
    </w:p>
    <w:p w:rsidR="00000000" w:rsidDel="00000000" w:rsidP="00000000" w:rsidRDefault="00000000" w:rsidRPr="00000000" w14:paraId="0000020C">
      <w:pPr>
        <w:spacing w:after="120" w:before="24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6.</w:t>
      </w:r>
      <w:r w:rsidDel="00000000" w:rsidR="00000000" w:rsidRPr="00000000">
        <w:rPr>
          <w:rFonts w:ascii="Times New Roman" w:cs="Times New Roman" w:eastAsia="Times New Roman" w:hAnsi="Times New Roman"/>
          <w:i w:val="1"/>
          <w:iCs w:val="1"/>
          <w:rtl w:val="0"/>
        </w:rPr>
        <w:t xml:space="preserve"> Instrument-to-Objective Mapping</w:t>
      </w:r>
    </w:p>
    <w:tbl>
      <w:tblPr>
        <w:tblStyle w:val="Table6"/>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229534510433"/>
        <w:gridCol w:w="1899.9678972712682"/>
        <w:gridCol w:w="2371.4927768860352"/>
        <w:gridCol w:w="1969.309791332263"/>
        <w:tblGridChange w:id="0">
          <w:tblGrid>
            <w:gridCol w:w="2399.229534510433"/>
            <w:gridCol w:w="1899.9678972712682"/>
            <w:gridCol w:w="2371.4927768860352"/>
            <w:gridCol w:w="1969.309791332263"/>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0D">
            <w:pPr>
              <w:spacing w:after="24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Instrument</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0E">
            <w:pPr>
              <w:spacing w:after="24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0F">
            <w:pPr>
              <w:spacing w:after="24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Objective Addressed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0">
            <w:pPr>
              <w:spacing w:after="24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Produced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Benchmarking Test Harness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0a, 0b</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 (Hash), SO 2 (ZKP Framework)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constraints, proof time, setup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Hardhat Framework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1–SO 4a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Pass/fail, gas, execution time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Slither Static Analyzer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4b (Smart Contract Security)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Severity-classified findings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Circomspect / Manual Circuit Review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4b (Circuit Security)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and soundness findings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Usability Scale (SUS)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4c (Usability)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usability score</w:t>
            </w:r>
          </w:p>
        </w:tc>
      </w:tr>
    </w:tbl>
    <w:p w:rsidR="00000000" w:rsidDel="00000000" w:rsidP="00000000" w:rsidRDefault="00000000" w:rsidRPr="00000000" w14:paraId="00000225">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3"/>
        <w:spacing w:after="240" w:before="240" w:line="480" w:lineRule="auto"/>
        <w:rPr>
          <w:b w:val="0"/>
          <w:bCs w:val="0"/>
        </w:rPr>
      </w:pPr>
      <w:bookmarkStart w:colFirst="0" w:colLast="0" w:name="_heading=h.eoerkjal0am3" w:id="48"/>
      <w:bookmarkEnd w:id="48"/>
      <w:r w:rsidDel="00000000" w:rsidR="00000000" w:rsidRPr="00000000">
        <w:rPr>
          <w:b w:val="0"/>
          <w:bCs w:val="0"/>
          <w:rtl w:val="0"/>
        </w:rPr>
        <w:t xml:space="preserve">3.4.1 Comparative Benchmarking Test Harness</w:t>
      </w:r>
    </w:p>
    <w:p w:rsidR="00000000" w:rsidDel="00000000" w:rsidP="00000000" w:rsidRDefault="00000000" w:rsidRPr="00000000" w14:paraId="0000022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Phase 0, a standardized test harness was developed to ensure fair comparison across hash function and ZKP framework candidates. Because this instrument is custom-built for the study rather than an established tool, its design is described in full.</w:t>
      </w:r>
    </w:p>
    <w:p w:rsidR="00000000" w:rsidDel="00000000" w:rsidP="00000000" w:rsidRDefault="00000000" w:rsidRPr="00000000" w14:paraId="0000022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harness enforces identical conditions for all candidates: the same input data (donation amount, donor identifier, timestamp, campaign identifier, and 32-byte cryptographic salt), the same circuit logic structure (commitment computation followed by Merkle tree traversal), and the same hardware configuration. Each candidate is tested using this harness to collect gas cost, constraint count, and proof generation time metrics. The test harness is executed on the Hardhat local network to eliminate network variability from measurements.</w:t>
      </w:r>
    </w:p>
    <w:p w:rsidR="00000000" w:rsidDel="00000000" w:rsidP="00000000" w:rsidRDefault="00000000" w:rsidRPr="00000000" w14:paraId="0000022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ZKP framework comparison (SO 2), a standardized donation verification circuit is implemented in each framework’s native language (Circom for Circom/snarkjs, ZoKrates’ DSL for ZoKrates, and Noir for Noir). The circuit encodes the same verification logic: commitment hash recomputation, Merkle tree path traversal, and root matching. Each framework–proving system combination (3 frameworks × 2 proving systems = up to 6 combinations, subject to framework compatibility) is benchmarked using this standardized circuit.</w:t>
      </w:r>
    </w:p>
    <w:p w:rsidR="00000000" w:rsidDel="00000000" w:rsidP="00000000" w:rsidRDefault="00000000" w:rsidRPr="00000000" w14:paraId="0000022A">
      <w:pPr>
        <w:pStyle w:val="Heading3"/>
        <w:keepNext w:val="0"/>
        <w:keepLines w:val="0"/>
        <w:spacing w:after="80" w:before="280" w:line="480" w:lineRule="auto"/>
        <w:jc w:val="left"/>
        <w:rPr>
          <w:b w:val="0"/>
          <w:bCs w:val="0"/>
        </w:rPr>
      </w:pPr>
      <w:bookmarkStart w:colFirst="0" w:colLast="0" w:name="_heading=h.qehllnpobolg" w:id="49"/>
      <w:bookmarkEnd w:id="49"/>
      <w:r w:rsidDel="00000000" w:rsidR="00000000" w:rsidRPr="00000000">
        <w:rPr>
          <w:b w:val="0"/>
          <w:bCs w:val="0"/>
          <w:rtl w:val="0"/>
        </w:rPr>
        <w:t xml:space="preserve">3.4.2 Hardhat Framework</w:t>
      </w:r>
    </w:p>
    <w:p w:rsidR="00000000" w:rsidDel="00000000" w:rsidP="00000000" w:rsidRDefault="00000000" w:rsidRPr="00000000" w14:paraId="0000022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Hardhat is an Ethereum development environment designed for compiling, deploying, testing, and debugging smart contracts (Nomic Foundation, 2024). Its internal architecture—including the compilation pipeline, Hardhat Network simulator, and ethers.js-based test execution workflow—is discussed in Section 2. Hardhat was selected because it is the industry-standard tool for Ethereum and EVM-compatible smart contract development, widely used in both academic research and commercial applications (Vacca et al., 2021).</w:t>
      </w:r>
    </w:p>
    <w:p w:rsidR="00000000" w:rsidDel="00000000" w:rsidP="00000000" w:rsidRDefault="00000000" w:rsidRPr="00000000" w14:paraId="0000022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Hardhat served two distinct roles across the evaluation phases. During Phase 0, Hardhat’s gas reporter was used to measure on-chain gas costs for each candidate hash function’s commitment verification and each candidate framework’s verifier contract under identical local network deployment conditions. During Phases 1–2, Hardhat was used to compile and deploy the integrated smart contract architecture, execute the functional correctness test suite (Table 10 in section 3.5.3), and collect gas consumption and execution time data for the scalability experiments (Table 11 in section 3.5.3). All tests were executed on the built-in Hardhat Network to ensure deterministic results without real network costs.</w:t>
      </w:r>
    </w:p>
    <w:p w:rsidR="00000000" w:rsidDel="00000000" w:rsidP="00000000" w:rsidRDefault="00000000" w:rsidRPr="00000000" w14:paraId="0000022D">
      <w:pPr>
        <w:pStyle w:val="Heading3"/>
        <w:keepNext w:val="0"/>
        <w:keepLines w:val="0"/>
        <w:spacing w:after="80" w:before="280" w:line="480" w:lineRule="auto"/>
        <w:jc w:val="left"/>
        <w:rPr>
          <w:b w:val="0"/>
          <w:bCs w:val="0"/>
        </w:rPr>
      </w:pPr>
      <w:bookmarkStart w:colFirst="0" w:colLast="0" w:name="_heading=h.hjholmopogum" w:id="50"/>
      <w:bookmarkEnd w:id="50"/>
      <w:r w:rsidDel="00000000" w:rsidR="00000000" w:rsidRPr="00000000">
        <w:rPr>
          <w:b w:val="0"/>
          <w:bCs w:val="0"/>
          <w:rtl w:val="0"/>
        </w:rPr>
        <w:t xml:space="preserve">3.4.3 Slither Static Analyzer</w:t>
      </w:r>
    </w:p>
    <w:p w:rsidR="00000000" w:rsidDel="00000000" w:rsidP="00000000" w:rsidRDefault="00000000" w:rsidRPr="00000000" w14:paraId="0000022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Slither is a static analysis framework specifically designed for Solidity smart contracts, developed by Trail of Bits (Feist et al., 2019). Its multi-stage analysis pipeline—AST parsing, SlithIR intermediate representation, and detector-based vulnerability scanning—is described in Section 2.</w:t>
      </w:r>
    </w:p>
    <w:p w:rsidR="00000000" w:rsidDel="00000000" w:rsidP="00000000" w:rsidRDefault="00000000" w:rsidRPr="00000000" w14:paraId="0000022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Slither was configured with all detector categories enabled and executed against two targets: the core AidVocate donation contract and the auto-generated verifier contract produced by the ZKP circuit compilation process. Findings were categorized by the tool’s built-in severity classification: high (exploitable vulnerabilities that could lead to fund loss), medium (potential issues under certain conditions), low (code quality issues), and informational (suggestions for improvement). The success criterion of zero high-severity vulnerabilities was established because high-severity issues represent exploitable weaknesses that could compromise the integrity of the donation verification system.</w:t>
      </w:r>
    </w:p>
    <w:p w:rsidR="00000000" w:rsidDel="00000000" w:rsidP="00000000" w:rsidRDefault="00000000" w:rsidRPr="00000000" w14:paraId="00000230">
      <w:pPr>
        <w:pStyle w:val="Heading3"/>
        <w:spacing w:after="240" w:before="240" w:line="480" w:lineRule="auto"/>
        <w:rPr>
          <w:b w:val="0"/>
          <w:bCs w:val="0"/>
        </w:rPr>
      </w:pPr>
      <w:bookmarkStart w:colFirst="0" w:colLast="0" w:name="_heading=h.d6rjy03tkbc0" w:id="51"/>
      <w:bookmarkEnd w:id="51"/>
      <w:r w:rsidDel="00000000" w:rsidR="00000000" w:rsidRPr="00000000">
        <w:rPr>
          <w:b w:val="0"/>
          <w:bCs w:val="0"/>
          <w:rtl w:val="0"/>
        </w:rPr>
        <w:t xml:space="preserve">3.4.4 Circomspect / Manual Circuit Review</w:t>
      </w:r>
    </w:p>
    <w:p w:rsidR="00000000" w:rsidDel="00000000" w:rsidP="00000000" w:rsidRDefault="00000000" w:rsidRPr="00000000" w14:paraId="0000023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Circomspect is a static analysis tool for Circom circuits that detects common ZKP circuit vulnerabilities such as under-constrained signals, unused variables, and potential soundness issues. This instrument is a new addition to the evaluation scope, expanding from the previous Slither-only analysis to cover both smart contract and ZKP circuit security.</w:t>
      </w:r>
    </w:p>
    <w:p w:rsidR="00000000" w:rsidDel="00000000" w:rsidP="00000000" w:rsidRDefault="00000000" w:rsidRPr="00000000" w14:paraId="0000023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circuit-level security review follows a conditional approach based on the Phase 0 outcome. If the selected ZKP framework is Circom/snarkjs, Circomspect is applied directly to the circuit code. For frameworks where Circomspect is not applicable (ZoKrates, Noir), a manual security review is conducted following established ZKP circuit review guidelines. In either case, the review examines four areas: (a) whether all signals are properly constrained to prevent false proofs, (b) correctness of custom hash function implementations for non-native hash functions if selected from Phase 0 (Poseidon, MiMC, or Pedersen), (c) elliptic curve edge case handling, and (d) input validation completeness.</w:t>
      </w:r>
    </w:p>
    <w:p w:rsidR="00000000" w:rsidDel="00000000" w:rsidP="00000000" w:rsidRDefault="00000000" w:rsidRPr="00000000" w14:paraId="00000233">
      <w:pPr>
        <w:pStyle w:val="Heading3"/>
        <w:keepNext w:val="0"/>
        <w:keepLines w:val="0"/>
        <w:spacing w:after="80" w:before="280" w:line="480" w:lineRule="auto"/>
        <w:jc w:val="left"/>
        <w:rPr>
          <w:b w:val="0"/>
          <w:bCs w:val="0"/>
        </w:rPr>
      </w:pPr>
      <w:bookmarkStart w:colFirst="0" w:colLast="0" w:name="_heading=h.xxi1e1w0k9ef" w:id="52"/>
      <w:bookmarkEnd w:id="52"/>
      <w:r w:rsidDel="00000000" w:rsidR="00000000" w:rsidRPr="00000000">
        <w:rPr>
          <w:b w:val="0"/>
          <w:bCs w:val="0"/>
          <w:rtl w:val="0"/>
        </w:rPr>
        <w:t xml:space="preserve">3.4.5 System Usability Scale (SUS)</w:t>
      </w:r>
    </w:p>
    <w:p w:rsidR="00000000" w:rsidDel="00000000" w:rsidP="00000000" w:rsidRDefault="00000000" w:rsidRPr="00000000" w14:paraId="0000023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Usability Scale (SUS) is a standardized ten-item questionnaire developed by Brooke (1996) for rapid assessment of perceived usability. Its scoring methodology, validation history, and empirical benchmarks are discussed in Section 2.</w:t>
      </w:r>
    </w:p>
    <w:p w:rsidR="00000000" w:rsidDel="00000000" w:rsidP="00000000" w:rsidRDefault="00000000" w:rsidRPr="00000000" w14:paraId="0000023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SUS was administered to participants after they completed all four usability evaluation tasks (Table 10) via Google Forms. Responses were collected anonymously, with no personally identifiable information recorded beyond the participant’s user group category (donor or NGO representative). A success threshold of 68 was established based on Sauro’s (2011) empirical finding that this value represents the 50th percentile of SUS scores across over 500 studies, meaning scores above 68 indicate above-average usability. The SUS demonstrates strong reliability with Cronbach’s alpha typically exceeding 0.85 (Bangor et al., 2008).</w:t>
      </w:r>
    </w:p>
    <w:p w:rsidR="00000000" w:rsidDel="00000000" w:rsidP="00000000" w:rsidRDefault="00000000" w:rsidRPr="00000000" w14:paraId="00000236">
      <w:pPr>
        <w:pStyle w:val="Heading2"/>
        <w:keepNext w:val="0"/>
        <w:keepLines w:val="0"/>
        <w:spacing w:after="80" w:before="360" w:lineRule="auto"/>
        <w:rPr/>
      </w:pPr>
      <w:bookmarkStart w:colFirst="0" w:colLast="0" w:name="_heading=h.4riwktndbx8s" w:id="53"/>
      <w:bookmarkEnd w:id="53"/>
      <w:r w:rsidDel="00000000" w:rsidR="00000000" w:rsidRPr="00000000">
        <w:rPr>
          <w:rtl w:val="0"/>
        </w:rPr>
        <w:t xml:space="preserve">3.5 Data Collection Procedures</w:t>
      </w:r>
    </w:p>
    <w:p w:rsidR="00000000" w:rsidDel="00000000" w:rsidP="00000000" w:rsidRDefault="00000000" w:rsidRPr="00000000" w14:paraId="00000237">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was conducted systematically across four phases, with each phase aligned to specific research objectives. The procedures were designed to ensure consistency, reliability, and reproducibility of the collected data. All experiments were performed in a controlled, simulated environment using the Hardhat local blockchain network and Polygon Amoy testnet with test tokens, thereby eliminating financial risk while enabling realistic evaluation of system behavior. No real cryptocurrency or financial transactions were involved at any stage of the data collection process.</w:t>
      </w:r>
    </w:p>
    <w:p w:rsidR="00000000" w:rsidDel="00000000" w:rsidP="00000000" w:rsidRDefault="00000000" w:rsidRPr="00000000" w14:paraId="00000238">
      <w:pPr>
        <w:pStyle w:val="Heading3"/>
        <w:spacing w:after="200" w:before="240" w:line="480" w:lineRule="auto"/>
        <w:rPr/>
      </w:pPr>
      <w:bookmarkStart w:colFirst="0" w:colLast="0" w:name="_heading=h.gsnobr3qdck4" w:id="54"/>
      <w:bookmarkEnd w:id="54"/>
      <w:r w:rsidDel="00000000" w:rsidR="00000000" w:rsidRPr="00000000">
        <w:rPr>
          <w:b w:val="0"/>
          <w:bCs w:val="0"/>
          <w:rtl w:val="0"/>
        </w:rPr>
        <w:t xml:space="preserve">3.5.1 Phase 0a: Hash Function Comparative Benchmarking</w:t>
      </w:r>
      <w:r w:rsidDel="00000000" w:rsidR="00000000" w:rsidRPr="00000000">
        <w:rPr>
          <w:rtl w:val="0"/>
        </w:rPr>
      </w:r>
    </w:p>
    <w:p w:rsidR="00000000" w:rsidDel="00000000" w:rsidP="00000000" w:rsidRDefault="00000000" w:rsidRPr="00000000" w14:paraId="00000239">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cryptographic hash functions were benchmarked under identical conditions to determine the optimal hash function for the AidVocate commitment scheme and ZKP circuit. Each hash function was evaluated in two roles: as the on-chain commitment hash and as the hash function inside a ZKP test circuit.</w:t>
      </w:r>
    </w:p>
    <w:p w:rsidR="00000000" w:rsidDel="00000000" w:rsidP="00000000" w:rsidRDefault="00000000" w:rsidRPr="00000000" w14:paraId="0000023A">
      <w:pPr>
        <w:spacing w:after="120" w:before="12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each hash function, the following metrics were collected:</w:t>
      </w:r>
    </w:p>
    <w:p w:rsidR="00000000" w:rsidDel="00000000" w:rsidP="00000000" w:rsidRDefault="00000000" w:rsidRPr="00000000" w14:paraId="0000023B">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7.</w:t>
      </w:r>
      <w:r w:rsidDel="00000000" w:rsidR="00000000" w:rsidRPr="00000000">
        <w:rPr>
          <w:rFonts w:ascii="Times New Roman" w:cs="Times New Roman" w:eastAsia="Times New Roman" w:hAnsi="Times New Roman"/>
          <w:i w:val="1"/>
          <w:iCs w:val="1"/>
          <w:rtl w:val="0"/>
        </w:rPr>
        <w:t xml:space="preserve"> Hash Function Comparison Metrics</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573033707865"/>
        <w:gridCol w:w="3203.5955056179773"/>
        <w:gridCol w:w="3494.831460674158"/>
        <w:tblGridChange w:id="0">
          <w:tblGrid>
            <w:gridCol w:w="1941.573033707865"/>
            <w:gridCol w:w="3203.5955056179773"/>
            <w:gridCol w:w="3494.831460674158"/>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3C">
            <w:pPr>
              <w:spacing w:after="40" w:before="4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3D">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3E">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Collection Method</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On-Chain Gas Cost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0">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consumed when verifying a commitment on-chain using the hash function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Hardhat gas reporter during smart contract test execution</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R1CS Constraint Count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3">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rank-1 constraint system constraints when the hash is used inside a ZKP circuit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Circuit compiler output (circom --json, ZoKrates compile, nargo compile)</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Generation Time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6">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to generate a zk-SNARK proof using the hash-based circuit on client-side hardware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7">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Timed execution of proof generation (one discarded warm-up run, then 30 timed runs; median reported)</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8">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Maturity</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9">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Qualitative assessment of cryptanalytic history, peer review, and deployment track record</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4A">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Literature-based assessment, expressed as a score from 0 to 1 for the weighted ranking (e.g., Keccak256 = 1.00, Pedersen = 0.80, Poseidon = 0.70, MiMC = 0.50)</w:t>
            </w:r>
          </w:p>
        </w:tc>
      </w:tr>
    </w:tbl>
    <w:p w:rsidR="00000000" w:rsidDel="00000000" w:rsidP="00000000" w:rsidRDefault="00000000" w:rsidRPr="00000000" w14:paraId="0000024B">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benchmark was executed with one discarded warm-up run followed by 30 timed runs to characterize variation. The median was used for ranking because it is not distorted by occasional slow runs caused by runtime pauses. The test environment was reset between executions to ensure independence of outcomes.</w:t>
      </w:r>
      <w:r w:rsidDel="00000000" w:rsidR="00000000" w:rsidRPr="00000000">
        <w:rPr>
          <w:rtl w:val="0"/>
        </w:rPr>
      </w:r>
    </w:p>
    <w:p w:rsidR="00000000" w:rsidDel="00000000" w:rsidP="00000000" w:rsidRDefault="00000000" w:rsidRPr="00000000" w14:paraId="0000024C">
      <w:pPr>
        <w:pStyle w:val="Heading3"/>
        <w:spacing w:before="120" w:line="480" w:lineRule="auto"/>
        <w:rPr>
          <w:b w:val="0"/>
          <w:bCs w:val="0"/>
        </w:rPr>
      </w:pPr>
      <w:bookmarkStart w:colFirst="0" w:colLast="0" w:name="_heading=h.ck6idpxss6l9" w:id="55"/>
      <w:bookmarkEnd w:id="55"/>
      <w:r w:rsidDel="00000000" w:rsidR="00000000" w:rsidRPr="00000000">
        <w:rPr>
          <w:b w:val="0"/>
          <w:bCs w:val="0"/>
          <w:rtl w:val="0"/>
        </w:rPr>
        <w:t xml:space="preserve">3.5.2 Phase 0b: ZKP Framework Comparative Benchmarking</w:t>
      </w:r>
    </w:p>
    <w:p w:rsidR="00000000" w:rsidDel="00000000" w:rsidP="00000000" w:rsidRDefault="00000000" w:rsidRPr="00000000" w14:paraId="0000024D">
      <w:pPr>
        <w:spacing w:after="120" w:before="120" w:line="480" w:lineRule="auto"/>
        <w:jc w:val="both"/>
        <w:rPr>
          <w:b w:val="1"/>
          <w:bCs w:val="1"/>
        </w:rPr>
      </w:pPr>
      <w:r w:rsidDel="00000000" w:rsidR="00000000" w:rsidRPr="00000000">
        <w:rPr>
          <w:rFonts w:ascii="Times New Roman" w:cs="Times New Roman" w:eastAsia="Times New Roman" w:hAnsi="Times New Roman"/>
          <w:rtl w:val="0"/>
        </w:rPr>
        <w:t xml:space="preserve">Three ZKP development frameworks were benchmarked across two proving systems using a standardized donation verification circuit. The circuit encodes the same core verification logic across all implementations: commitment hash recomputation from private inputs, Merkle tree path traversal using sibling hashes, and root hash matching against a public signal.</w:t>
      </w:r>
      <w:r w:rsidDel="00000000" w:rsidR="00000000" w:rsidRPr="00000000">
        <w:rPr>
          <w:rtl w:val="0"/>
        </w:rPr>
      </w:r>
    </w:p>
    <w:p w:rsidR="00000000" w:rsidDel="00000000" w:rsidP="00000000" w:rsidRDefault="00000000" w:rsidRPr="00000000" w14:paraId="0000024E">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8. </w:t>
      </w:r>
      <w:r w:rsidDel="00000000" w:rsidR="00000000" w:rsidRPr="00000000">
        <w:rPr>
          <w:rFonts w:ascii="Times New Roman" w:cs="Times New Roman" w:eastAsia="Times New Roman" w:hAnsi="Times New Roman"/>
          <w:i w:val="1"/>
          <w:iCs w:val="1"/>
          <w:rtl w:val="0"/>
        </w:rPr>
        <w:t xml:space="preserve">ZKP Framework × Proving System Test Matrix</w:t>
      </w:r>
    </w:p>
    <w:tbl>
      <w:tblPr>
        <w:tblStyle w:val="Table8"/>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9149277688605"/>
        <w:gridCol w:w="1664.2054574638846"/>
        <w:gridCol w:w="1650.3370786516853"/>
        <w:gridCol w:w="1636.4686998394864"/>
        <w:gridCol w:w="1678.0738362760835"/>
        <w:tblGridChange w:id="0">
          <w:tblGrid>
            <w:gridCol w:w="2010.9149277688605"/>
            <w:gridCol w:w="1664.2054574638846"/>
            <w:gridCol w:w="1650.3370786516853"/>
            <w:gridCol w:w="1636.4686998394864"/>
            <w:gridCol w:w="1678.0738362760835"/>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4F">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Combination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50">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Language</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51">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Trusted Setup</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52">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Browser Support</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53">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Notes</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Groth16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DSL</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Per-circuit (MPC)</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(WASM)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reference</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5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PLONK</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5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DSL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5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5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(WASM)</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5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Larger proofs</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 + Groth16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 DSL</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Per-circuit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Python-like syntax</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 + PLONK</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 DSL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Marlin alternative</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 + Groth16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 (Rust-like)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supported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to compatibility</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 + PLONK</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 (Rust-like)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 (Honk)</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Native proving system</w:t>
            </w:r>
          </w:p>
        </w:tc>
      </w:tr>
    </w:tbl>
    <w:p w:rsidR="00000000" w:rsidDel="00000000" w:rsidP="00000000" w:rsidRDefault="00000000" w:rsidRPr="00000000" w14:paraId="00000272">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9. </w:t>
      </w:r>
      <w:r w:rsidDel="00000000" w:rsidR="00000000" w:rsidRPr="00000000">
        <w:rPr>
          <w:rFonts w:ascii="Times New Roman" w:cs="Times New Roman" w:eastAsia="Times New Roman" w:hAnsi="Times New Roman"/>
          <w:i w:val="1"/>
          <w:iCs w:val="1"/>
          <w:rtl w:val="0"/>
        </w:rPr>
        <w:t xml:space="preserve">ZKP Framework Comparison Metrics</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9935794542534"/>
        <w:gridCol w:w="3439.3579454253613"/>
        <w:gridCol w:w="3092.6484751203852"/>
        <w:tblGridChange w:id="0">
          <w:tblGrid>
            <w:gridCol w:w="2107.9935794542534"/>
            <w:gridCol w:w="3439.3579454253613"/>
            <w:gridCol w:w="3092.6484751203852"/>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73">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74">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75">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Collection Method</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Client-Side Proving Time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to generate a proof on the benchmark hardware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Timed execution (one discarded warm-up run, then 30 timed runs; median reported)</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Proof Size (bytes)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Size of the generated proof artifact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size of proof output</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Gas Cost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consumed by the on-chain verifier contract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Hardhat gas reporter</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7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Trusted Setup Required</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8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per-circuit or universal trusted setup is needed</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8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documentation review</w:t>
            </w:r>
          </w:p>
        </w:tc>
      </w:tr>
    </w:tbl>
    <w:p w:rsidR="00000000" w:rsidDel="00000000" w:rsidP="00000000" w:rsidRDefault="00000000" w:rsidRPr="00000000" w14:paraId="00000282">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framework and proving-system combination was benchmarked with one discarded warm-up run followed by 30 timed runs under identical conditions.</w:t>
      </w:r>
      <w:r w:rsidDel="00000000" w:rsidR="00000000" w:rsidRPr="00000000">
        <w:rPr>
          <w:rFonts w:ascii="Times New Roman" w:cs="Times New Roman" w:eastAsia="Times New Roman" w:hAnsi="Times New Roman"/>
          <w:rtl w:val="0"/>
        </w:rPr>
        <w:t xml:space="preserve"> Combinations that are not supported by a given framework (e.g., if a framework does not support a specific proving system) were documented as “not applicable” rather than excluded, to provide a complete comparison matrix.</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spacing w:after="200" w:before="300" w:line="480" w:lineRule="auto"/>
        <w:rPr>
          <w:b w:val="0"/>
          <w:bCs w:val="0"/>
        </w:rPr>
      </w:pPr>
      <w:bookmarkStart w:colFirst="0" w:colLast="0" w:name="_heading=h.9z1qilmriksg" w:id="56"/>
      <w:bookmarkEnd w:id="56"/>
      <w:r w:rsidDel="00000000" w:rsidR="00000000" w:rsidRPr="00000000">
        <w:rPr>
          <w:b w:val="0"/>
          <w:bCs w:val="0"/>
          <w:rtl w:val="0"/>
        </w:rPr>
        <w:t xml:space="preserve">3.5.3 Phase 2a: Performance and Scalability Testing</w:t>
      </w:r>
    </w:p>
    <w:p w:rsidR="00000000" w:rsidDel="00000000" w:rsidP="00000000" w:rsidRDefault="00000000" w:rsidRPr="00000000" w14:paraId="0000028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and scalability data was collected through automated test execution and controlled experiments using the Hardhat development framework. Data collection in this phase proceeded in two stages: functional correctness testing followed by scalability experimentation.</w:t>
      </w:r>
    </w:p>
    <w:p w:rsidR="00000000" w:rsidDel="00000000" w:rsidP="00000000" w:rsidRDefault="00000000" w:rsidRPr="00000000" w14:paraId="0000028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comprehensive test suite written in JavaScript was executed against the deployed contract, with each test case invoking specific smart contract functions using predefined inputs. The Hardhat framework automatically recorded the outcome of each test (pass or fail), the execution time in milliseconds, and the gas consumption in units. Test results were exported to a structured report for subsequent analysis.</w:t>
      </w:r>
    </w:p>
    <w:p w:rsidR="00000000" w:rsidDel="00000000" w:rsidP="00000000" w:rsidRDefault="00000000" w:rsidRPr="00000000" w14:paraId="0000028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cases were designed following the principles of black-box testing, where each test verifies a specific functional requirement without knowledge of the internal implementation details (Myers et al., 2012). Each test case was mapped directly to a core system requirement derived from the research objectives.</w:t>
      </w:r>
    </w:p>
    <w:p w:rsidR="00000000" w:rsidDel="00000000" w:rsidP="00000000" w:rsidRDefault="00000000" w:rsidRPr="00000000" w14:paraId="00000288">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10. </w:t>
      </w:r>
      <w:r w:rsidDel="00000000" w:rsidR="00000000" w:rsidRPr="00000000">
        <w:rPr>
          <w:rFonts w:ascii="Times New Roman" w:cs="Times New Roman" w:eastAsia="Times New Roman" w:hAnsi="Times New Roman"/>
          <w:i w:val="1"/>
          <w:iCs w:val="1"/>
          <w:rtl w:val="0"/>
        </w:rPr>
        <w:t xml:space="preserve">Functional Test Cases and Design Rationale</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9711075441413"/>
        <w:gridCol w:w="1567.1268057784912"/>
        <w:gridCol w:w="1858.3627608346708"/>
        <w:gridCol w:w="1678.0738362760835"/>
        <w:gridCol w:w="2690.465489566613"/>
        <w:tblGridChange w:id="0">
          <w:tblGrid>
            <w:gridCol w:w="845.9711075441413"/>
            <w:gridCol w:w="1567.1268057784912"/>
            <w:gridCol w:w="1858.3627608346708"/>
            <w:gridCol w:w="1678.0738362760835"/>
            <w:gridCol w:w="2690.465489566613"/>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89">
            <w:pPr>
              <w:spacing w:after="40" w:before="4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ID</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8A">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Function Tested</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8B">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Input</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8C">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Output</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8D">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r>
      <w:tr>
        <w:trPr>
          <w:cantSplit w:val="0"/>
          <w:trHeight w:val="109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E">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commitment hash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0">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data + salt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32-byte hash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commitment scheme correctly produces unique, deterministic hash using selected hash function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3">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Merkle root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32-byte root hash</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6">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stored on-chain</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7">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blockchain storage mechanism functions correctly</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8">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9">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valid commitment via Merkle proof</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A">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Commitment + proof + root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B">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true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C">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legitimate donations pass Merkle-based verification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D">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Reject invalid commitment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9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commitment + valid proof</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0">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false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system correctly rejects non-existent donations</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2">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3">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 tampered data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Modified donation amount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fails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6">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 integrity protection against data manipulation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7">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TC-06</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8">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Batch commitments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9">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Array of 10 commitments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A">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root represents all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AB">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Merkle tree batching reduces storage operations</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Compile circuit and generate ZKP</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inputs into circuit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A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proof (π) generated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0">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that ZKP circuit compiles correctly and produces a valid proof</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1">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TC-08</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On-chain ZKP verification (valid)</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3">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proof + public signals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Verifier returns true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verifier correctly accepts a valid zero-knowledge proof</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6">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7">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On-chain ZKP verification (invalid)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8">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Tampered proof + signals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9">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Verifier returns false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BA">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verifier rejects proofs not generated from correct private inputs</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B">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TC-10</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C">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control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D">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Non-owner calls admin function</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reverts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B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only authorized parties can modify contract state</w:t>
            </w:r>
          </w:p>
        </w:tc>
      </w:tr>
    </w:tbl>
    <w:p w:rsidR="00000000" w:rsidDel="00000000" w:rsidP="00000000" w:rsidRDefault="00000000" w:rsidRPr="00000000" w14:paraId="000002C0">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test case was executed a minimum of three times to verify consistency. The test environment was reset between executions to ensure independence of outcomes. Gas consumption measurements were recorded during each execution.</w:t>
      </w:r>
    </w:p>
    <w:p w:rsidR="00000000" w:rsidDel="00000000" w:rsidP="00000000" w:rsidRDefault="00000000" w:rsidRPr="00000000" w14:paraId="000002C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Beyond functional correctness, a series of controlled scalability experiments was conducted to evaluate system behavior under increasing data volumes.</w:t>
      </w:r>
    </w:p>
    <w:p w:rsidR="00000000" w:rsidDel="00000000" w:rsidP="00000000" w:rsidRDefault="00000000" w:rsidRPr="00000000" w14:paraId="000002C2">
      <w:pPr>
        <w:spacing w:after="240" w:before="240" w:line="480" w:lineRule="auto"/>
        <w:ind w:firstLine="720"/>
        <w:jc w:val="both"/>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The selected batch sizes (10, 100, 500, and 1,000 donations) span three orders of magnitude to characterize system scaling behavior across realistic deployment scenarios. This order-of-magnitude scaling approach is consistent with established blockchain benchmarking methodology: comparable studies have evaluated smart contract performance under transaction loads ranging from 10 to 10,000 (Alharbi et al., 2025), while ZKP-oriented benchmarks have similarly measured circuit performance across progressively increasing Merkle tree depths (Guo et al., 2024; Koh, 2020). The specific batch sizes map to deployment contexts as follows: 10 donations represents a small batch for low-volume NGOs or pilot deployments (Merkle tree depth 4); 100 donations represents typical daily throughput for a mid-sized NGO (depth 7), corresponding to the tree depth at which existing ZKP hash function benchmarks report their largest test circuits (Guo et al., 2024); 500 donations serves as an intermediate scale to detect non-linear scaling behavior (depth 9); and 1,000 donations represents an upper bound corresponding to realistic monthly processing volume for large NGOs or post-disaster relief campaigns (Kumar et al., 2024; S et al., 2025). The O(1) on-chain storage property of Merkle batching means that gas cost behavior observed at these four batch sizes is sufficient to characterize the system's scaling curve and enable extrapolation to larger volumes </w:t>
      </w:r>
    </w:p>
    <w:p w:rsidR="00000000" w:rsidDel="00000000" w:rsidP="00000000" w:rsidRDefault="00000000" w:rsidRPr="00000000" w14:paraId="000002C3">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11. </w:t>
      </w:r>
      <w:r w:rsidDel="00000000" w:rsidR="00000000" w:rsidRPr="00000000">
        <w:rPr>
          <w:rFonts w:ascii="Times New Roman" w:cs="Times New Roman" w:eastAsia="Times New Roman" w:hAnsi="Times New Roman"/>
          <w:i w:val="1"/>
          <w:iCs w:val="1"/>
          <w:rtl w:val="0"/>
        </w:rPr>
        <w:t xml:space="preserve">Scalability Test Parameters</w:t>
      </w:r>
    </w:p>
    <w:tbl>
      <w:tblPr>
        <w:tblStyle w:val="Table11"/>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8105939004815"/>
        <w:gridCol w:w="2080.2568218298557"/>
        <w:gridCol w:w="2510.1765650080256"/>
        <w:gridCol w:w="2343.7560192616374"/>
        <w:tblGridChange w:id="0">
          <w:tblGrid>
            <w:gridCol w:w="1705.8105939004815"/>
            <w:gridCol w:w="2080.2568218298557"/>
            <w:gridCol w:w="2510.1765650080256"/>
            <w:gridCol w:w="2343.7560192616374"/>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C4">
            <w:pPr>
              <w:spacing w:after="40" w:before="4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Batch Size</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C5">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C6">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Metrics Measured</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C7">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C8">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donations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C9">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Merkle tree depth: 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CA">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for root storage, tree construction time, proof generation time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CB">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measurement for small-scale operation</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CC">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donations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CD">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Merkle tree depth: 7</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C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for root storage, tree construction time, proof generation time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C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 moderate-scale batch processing</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0">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donations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Merkle tree depth: 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for root storage, tree construction time, proof generation time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3">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scale to observe scaling trend</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D4">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donations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D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Merkle tree depth: 10</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D6">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for root storage, tree construction time, proof generation time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D7">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Upper-bound representing realistic NGO monthly volume</w:t>
            </w:r>
          </w:p>
        </w:tc>
      </w:tr>
    </w:tbl>
    <w:p w:rsidR="00000000" w:rsidDel="00000000" w:rsidP="00000000" w:rsidRDefault="00000000" w:rsidRPr="00000000" w14:paraId="000002D8">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12. </w:t>
      </w:r>
      <w:r w:rsidDel="00000000" w:rsidR="00000000" w:rsidRPr="00000000">
        <w:rPr>
          <w:rFonts w:ascii="Times New Roman" w:cs="Times New Roman" w:eastAsia="Times New Roman" w:hAnsi="Times New Roman"/>
          <w:i w:val="1"/>
          <w:iCs w:val="1"/>
          <w:rtl w:val="0"/>
        </w:rPr>
        <w:t xml:space="preserve">Gas Comparison Framework</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6243980738363"/>
        <w:gridCol w:w="3203.5955056179773"/>
        <w:gridCol w:w="3078.7800963081863"/>
        <w:tblGridChange w:id="0">
          <w:tblGrid>
            <w:gridCol w:w="2357.6243980738363"/>
            <w:gridCol w:w="3203.5955056179773"/>
            <w:gridCol w:w="3078.7800963081863"/>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D9">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DA">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DB">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Gas Behavior</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C">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Storage (Baseline)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D">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each commitment separately on-chain via SSTORE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D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gas = N × ~22,000 (linear scaling)</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D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Merkle Batched Storage</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E0">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one Merkle root representing N commitments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E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gas = ~22,000 (constant regardless of 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ZKP On-Chain Verification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3">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one proof against stored Merkle root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per verification = ~200,000–300,000 (constant)</w:t>
            </w:r>
          </w:p>
        </w:tc>
      </w:tr>
    </w:tbl>
    <w:p w:rsidR="00000000" w:rsidDel="00000000" w:rsidP="00000000" w:rsidRDefault="00000000" w:rsidRPr="00000000" w14:paraId="000002E5">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scalability experiment was executed a minimum of three times at each batch size to verify consistency, and the mean values were used for analysis.</w:t>
      </w:r>
    </w:p>
    <w:p w:rsidR="00000000" w:rsidDel="00000000" w:rsidP="00000000" w:rsidRDefault="00000000" w:rsidRPr="00000000" w14:paraId="000002E6">
      <w:pPr>
        <w:pStyle w:val="Heading3"/>
        <w:spacing w:after="200" w:before="300" w:line="480" w:lineRule="auto"/>
        <w:rPr>
          <w:b w:val="0"/>
          <w:bCs w:val="0"/>
        </w:rPr>
      </w:pPr>
      <w:bookmarkStart w:colFirst="0" w:colLast="0" w:name="_heading=h.mauc5hpxd0d6" w:id="57"/>
      <w:bookmarkEnd w:id="57"/>
      <w:r w:rsidDel="00000000" w:rsidR="00000000" w:rsidRPr="00000000">
        <w:rPr>
          <w:b w:val="0"/>
          <w:bCs w:val="0"/>
          <w:rtl w:val="0"/>
        </w:rPr>
        <w:t xml:space="preserve">3.5.4 Phase 2b: Static Security Analysis</w:t>
      </w:r>
    </w:p>
    <w:p w:rsidR="00000000" w:rsidDel="00000000" w:rsidP="00000000" w:rsidRDefault="00000000" w:rsidRPr="00000000" w14:paraId="000002E7">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Contract Analysis. Slither was executed against the compiled smart contract source code. The analyzer scanned the code against its library of over 90 vulnerability detectors. The analysis was performed after the performance testing phase to ensure that only functionally correct code was subjected to security evaluation. Slither was configured to enable all detector categories. The analysis covered both the core donation contract and the auto-generated verifier contract produced by the circuit compilation process.</w:t>
      </w:r>
    </w:p>
    <w:p w:rsidR="00000000" w:rsidDel="00000000" w:rsidP="00000000" w:rsidRDefault="00000000" w:rsidRPr="00000000" w14:paraId="000002E8">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ZKP Circuit Security Review. The ZKP circuit was analyzed for soundness and constraint completeness. If the selected framework is Circom, Circomspect was applied to detect under-constrained signals and potential vulnerabilities. For all frameworks, a manual review was conducted examining: (a) whether all signals are properly constrained, (b) correctness of custom hash function implementations for non-native hash functions if selected from Phase 0, (c) elliptic curve edge case handling, and (d) input validation completeness.</w:t>
      </w:r>
    </w:p>
    <w:p w:rsidR="00000000" w:rsidDel="00000000" w:rsidP="00000000" w:rsidRDefault="00000000" w:rsidRPr="00000000" w14:paraId="000002E9">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13. </w:t>
      </w:r>
      <w:r w:rsidDel="00000000" w:rsidR="00000000" w:rsidRPr="00000000">
        <w:rPr>
          <w:rFonts w:ascii="Times New Roman" w:cs="Times New Roman" w:eastAsia="Times New Roman" w:hAnsi="Times New Roman"/>
          <w:i w:val="1"/>
          <w:iCs w:val="1"/>
          <w:rtl w:val="0"/>
        </w:rPr>
        <w:t xml:space="preserve">Security Finding Severity Classification</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3900481540932"/>
        <w:gridCol w:w="3605.7784911717495"/>
        <w:gridCol w:w="3494.831460674158"/>
        <w:tblGridChange w:id="0">
          <w:tblGrid>
            <w:gridCol w:w="1539.3900481540932"/>
            <w:gridCol w:w="3605.7784911717495"/>
            <w:gridCol w:w="3494.831460674158"/>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EA">
            <w:pPr>
              <w:spacing w:after="40" w:before="4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Severity</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EB">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EC">
            <w:pPr>
              <w:spacing w:after="40" w:before="4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D">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E">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Exploitable vulnerabilities that could lead to fund loss, unauthorized access, or contract/circuit compromise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EF">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issue requiring immediate remediation; presence constitutes evaluation failure</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0">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1">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issues that may become exploitable under specific conditions or edge cases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2">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Documented for transparency; recommended for future improvement</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3">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4">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quality issues or minor deviations from best practices with minimal security impact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F5">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Noted for code quality; does not affect security evaluation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6">
            <w:pPr>
              <w:spacing w:after="40" w:before="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Informational</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7">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Suggestions for optimization or style improvements with no security implications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2F8">
            <w:pPr>
              <w:spacing w:after="40" w:before="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Recorded for completeness; no action required</w:t>
            </w:r>
          </w:p>
        </w:tc>
      </w:tr>
    </w:tbl>
    <w:p w:rsidR="00000000" w:rsidDel="00000000" w:rsidP="00000000" w:rsidRDefault="00000000" w:rsidRPr="00000000" w14:paraId="000002F9">
      <w:pPr>
        <w:spacing w:after="120" w:before="12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pStyle w:val="Heading3"/>
        <w:spacing w:after="200" w:before="300" w:line="480" w:lineRule="auto"/>
        <w:rPr>
          <w:b w:val="0"/>
          <w:bCs w:val="0"/>
        </w:rPr>
      </w:pPr>
      <w:bookmarkStart w:colFirst="0" w:colLast="0" w:name="_heading=h.1ktbxgrw2ndf" w:id="58"/>
      <w:bookmarkEnd w:id="58"/>
      <w:r w:rsidDel="00000000" w:rsidR="00000000" w:rsidRPr="00000000">
        <w:rPr>
          <w:b w:val="0"/>
          <w:bCs w:val="0"/>
          <w:rtl w:val="0"/>
        </w:rPr>
        <w:t xml:space="preserve">3.5.5 Phase 2c: Usability Assessment</w:t>
      </w:r>
    </w:p>
    <w:p w:rsidR="00000000" w:rsidDel="00000000" w:rsidP="00000000" w:rsidRDefault="00000000" w:rsidRPr="00000000" w14:paraId="000002FB">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data was collected through a structured evaluation protocol involving recruited participants. Each participant received a brief orientation session explaining the purpose of the AidVocate system and the evaluation process. Participants were informed that they would interact with a proof-of-concept prototype using simulated data, with no real financial transactions involved. Following the orientation, participants completed a series of predefined tasks designed to exercise the primary user workflows of the system.</w:t>
      </w:r>
    </w:p>
    <w:p w:rsidR="00000000" w:rsidDel="00000000" w:rsidP="00000000" w:rsidRDefault="00000000" w:rsidRPr="00000000" w14:paraId="000002FC">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14. </w:t>
      </w:r>
      <w:r w:rsidDel="00000000" w:rsidR="00000000" w:rsidRPr="00000000">
        <w:rPr>
          <w:rFonts w:ascii="Times New Roman" w:cs="Times New Roman" w:eastAsia="Times New Roman" w:hAnsi="Times New Roman"/>
          <w:i w:val="1"/>
          <w:iCs w:val="1"/>
          <w:rtl w:val="0"/>
        </w:rPr>
        <w:t xml:space="preserve">Usability Evaluation Tasks</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1284109149278"/>
        <w:gridCol w:w="1913.836276083467"/>
        <w:gridCol w:w="2274.414125200642"/>
        <w:gridCol w:w="3411.621187800963"/>
        <w:tblGridChange w:id="0">
          <w:tblGrid>
            <w:gridCol w:w="1040.1284109149278"/>
            <w:gridCol w:w="1913.836276083467"/>
            <w:gridCol w:w="2274.414125200642"/>
            <w:gridCol w:w="3411.621187800963"/>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FD">
            <w:pPr>
              <w:spacing w:after="40" w:before="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Task</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FE">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2FF">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Action</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00">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 Function Tested</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as a donor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account using email and password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registration and authentication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2</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 simulated donation</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NGO, enter amount, confirm</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Commitment generation and receipt delivery</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donation history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to history page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0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Off-chain data retrieval and display</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4</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donation using ZKP</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0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donation, initiate proof, view result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1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Client-side ZKP generation and on-chain verification</w:t>
            </w:r>
          </w:p>
        </w:tc>
      </w:tr>
    </w:tbl>
    <w:p w:rsidR="00000000" w:rsidDel="00000000" w:rsidP="00000000" w:rsidRDefault="00000000" w:rsidRPr="00000000" w14:paraId="00000311">
      <w:pPr>
        <w:spacing w:after="120" w:before="120" w:line="480" w:lineRule="auto"/>
        <w:ind w:firstLine="720"/>
        <w:jc w:val="both"/>
        <w:rPr>
          <w:color w:val="ff0000"/>
        </w:rPr>
      </w:pPr>
      <w:r w:rsidDel="00000000" w:rsidR="00000000" w:rsidRPr="00000000">
        <w:rPr>
          <w:rFonts w:ascii="Times New Roman" w:cs="Times New Roman" w:eastAsia="Times New Roman" w:hAnsi="Times New Roman"/>
          <w:rtl w:val="0"/>
        </w:rPr>
        <w:t xml:space="preserve">After completing all four tasks, participants responded to the System Usability Scale (SUS) questionnaire administered through an online form (Google Forms). The SUS consists of 10 statements rated on a 5-point Likert scale ranging from 1 (Strongly Disagree) to 5 (Strongly Agree). Responses were collected anonymously, with no personally identifiable information recorded beyond the participant’s user group category (donor or NGO representative).</w:t>
      </w:r>
      <w:r w:rsidDel="00000000" w:rsidR="00000000" w:rsidRPr="00000000">
        <w:rPr>
          <w:rtl w:val="0"/>
        </w:rPr>
      </w:r>
    </w:p>
    <w:p w:rsidR="00000000" w:rsidDel="00000000" w:rsidP="00000000" w:rsidRDefault="00000000" w:rsidRPr="00000000" w14:paraId="00000312">
      <w:pPr>
        <w:pStyle w:val="Heading2"/>
        <w:keepNext w:val="0"/>
        <w:keepLines w:val="0"/>
        <w:spacing w:after="80" w:before="360" w:lineRule="auto"/>
        <w:rPr/>
      </w:pPr>
      <w:bookmarkStart w:colFirst="0" w:colLast="0" w:name="_heading=h.yeddeirepbhr" w:id="59"/>
      <w:bookmarkEnd w:id="59"/>
      <w:r w:rsidDel="00000000" w:rsidR="00000000" w:rsidRPr="00000000">
        <w:rPr>
          <w:rtl w:val="0"/>
        </w:rPr>
        <w:t xml:space="preserve">3.6 Data Analysis</w:t>
      </w:r>
    </w:p>
    <w:p w:rsidR="00000000" w:rsidDel="00000000" w:rsidP="00000000" w:rsidRDefault="00000000" w:rsidRPr="00000000" w14:paraId="00000313">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collected from the four evaluation phases were analyzed using techniques appropriate to the nature of each data type. Prior to analysis, predefined success criteria were established for each specific objective to provide an objective basis for determining whether the proposed architecture met its intended goals.</w:t>
      </w:r>
    </w:p>
    <w:p w:rsidR="00000000" w:rsidDel="00000000" w:rsidP="00000000" w:rsidRDefault="00000000" w:rsidRPr="00000000" w14:paraId="00000314">
      <w:pPr>
        <w:spacing w:after="100" w:before="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15. </w:t>
      </w:r>
      <w:r w:rsidDel="00000000" w:rsidR="00000000" w:rsidRPr="00000000">
        <w:rPr>
          <w:rFonts w:ascii="Times New Roman" w:cs="Times New Roman" w:eastAsia="Times New Roman" w:hAnsi="Times New Roman"/>
          <w:i w:val="1"/>
          <w:iCs w:val="1"/>
          <w:rtl w:val="0"/>
        </w:rPr>
        <w:t xml:space="preserve">Evaluation and Analysis Mapping</w:t>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7062600321026"/>
        <w:gridCol w:w="1386.8378812199037"/>
        <w:gridCol w:w="1636.4686998394864"/>
        <w:gridCol w:w="1969.309791332263"/>
        <w:gridCol w:w="2246.677367576244"/>
        <w:tblGridChange w:id="0">
          <w:tblGrid>
            <w:gridCol w:w="1400.7062600321026"/>
            <w:gridCol w:w="1386.8378812199037"/>
            <w:gridCol w:w="1636.4686998394864"/>
            <w:gridCol w:w="1969.309791332263"/>
            <w:gridCol w:w="2246.677367576244"/>
          </w:tblGrid>
        </w:tblGridChange>
      </w:tblGrid>
      <w:tr>
        <w:trPr>
          <w:cantSplit w:val="0"/>
          <w:trHeight w:val="420" w:hRule="atLeast"/>
          <w:tblHeader w:val="0"/>
        </w:trPr>
        <w:tc>
          <w:tcPr>
            <w:tcBorders>
              <w:top w:color="999999" w:space="0" w:sz="5" w:val="single"/>
              <w:left w:color="999999" w:space="0" w:sz="5" w:val="single"/>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15">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16">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17">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Collected</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18">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Technique</w:t>
            </w:r>
          </w:p>
        </w:tc>
        <w:tc>
          <w:tcPr>
            <w:tcBorders>
              <w:top w:color="999999" w:space="0" w:sz="5" w:val="single"/>
              <w:left w:color="000000" w:space="0" w:sz="0" w:val="nil"/>
              <w:bottom w:color="999999" w:space="0" w:sz="5" w:val="single"/>
              <w:right w:color="999999" w:space="0" w:sz="5" w:val="single"/>
            </w:tcBorders>
            <w:shd w:fill="d5e8f0" w:val="clear"/>
            <w:tcMar>
              <w:top w:w="60.0" w:type="dxa"/>
              <w:left w:w="100.0" w:type="dxa"/>
              <w:bottom w:w="60.0" w:type="dxa"/>
              <w:right w:w="100.0" w:type="dxa"/>
            </w:tcMar>
            <w:vAlign w:val="top"/>
          </w:tcPr>
          <w:p w:rsidR="00000000" w:rsidDel="00000000" w:rsidP="00000000" w:rsidRDefault="00000000" w:rsidRPr="00000000" w14:paraId="00000319">
            <w:pPr>
              <w:spacing w:after="40" w:before="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Criterion</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1: Hash Comparison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Harness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Gas, constraints, proof time, security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Multi-criteria weighted ranking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1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ranked recommendation produced</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1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2: ZKP Comparison</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Harness</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Proving time, proof size, gas, setup</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2">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Multi-criteria weighted ranking</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3">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ranked recommendation produced</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4">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4a: Performance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5">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Hardhat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6">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Pass/Fail; gas; proof time; scalability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7">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 Rate; Gas Efficiency; Descriptive Analysis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8">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pass rate; gas savings demonstrated</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9">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4b: Security</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A">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Slither + Circomspect</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B">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Findings by severity</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C">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Count and Severity Categorization</w:t>
            </w:r>
          </w:p>
        </w:tc>
        <w:tc>
          <w:tcPr>
            <w:tcBorders>
              <w:top w:color="000000" w:space="0" w:sz="0" w:val="nil"/>
              <w:left w:color="000000" w:space="0" w:sz="0" w:val="nil"/>
              <w:bottom w:color="999999" w:space="0" w:sz="5" w:val="single"/>
              <w:right w:color="999999" w:space="0" w:sz="5" w:val="single"/>
            </w:tcBorders>
            <w:shd w:fill="f5f5f5" w:val="clear"/>
            <w:tcMar>
              <w:top w:w="60.0" w:type="dxa"/>
              <w:left w:w="100.0" w:type="dxa"/>
              <w:bottom w:w="60.0" w:type="dxa"/>
              <w:right w:w="100.0" w:type="dxa"/>
            </w:tcMar>
            <w:vAlign w:val="top"/>
          </w:tcPr>
          <w:p w:rsidR="00000000" w:rsidDel="00000000" w:rsidP="00000000" w:rsidRDefault="00000000" w:rsidRPr="00000000" w14:paraId="0000032D">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high-severity vulnerabilities</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E">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4c: Usability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2F">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30">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responses (1–5)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31">
            <w:pPr>
              <w:spacing w:after="40" w:before="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 Scoring Method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332">
            <w:pPr>
              <w:spacing w:after="40" w:before="40" w:lineRule="auto"/>
              <w:rPr>
                <w:rFonts w:ascii="Times New Roman" w:cs="Times New Roman" w:eastAsia="Times New Roman" w:hAnsi="Times New Roman"/>
                <w:sz w:val="20"/>
                <w:szCs w:val="20"/>
              </w:rPr>
            </w:pPr>
            <w:sdt>
              <w:sdtPr>
                <w:id w:val="-128635040"/>
                <w:tag w:val="goog_rdk_2"/>
              </w:sdtPr>
              <w:sdtContent>
                <w:r w:rsidDel="00000000" w:rsidR="00000000" w:rsidRPr="00000000">
                  <w:rPr>
                    <w:rFonts w:ascii="Gungsuh" w:cs="Gungsuh" w:eastAsia="Gungsuh" w:hAnsi="Gungsuh"/>
                    <w:sz w:val="20"/>
                    <w:szCs w:val="20"/>
                    <w:rtl w:val="0"/>
                  </w:rPr>
                  <w:t xml:space="preserve">Score ≥ 68 (above-average)</w:t>
                </w:r>
              </w:sdtContent>
            </w:sdt>
          </w:p>
        </w:tc>
      </w:tr>
    </w:tbl>
    <w:p w:rsidR="00000000" w:rsidDel="00000000" w:rsidP="00000000" w:rsidRDefault="00000000" w:rsidRPr="00000000" w14:paraId="00000333">
      <w:pPr>
        <w:pStyle w:val="Heading3"/>
        <w:keepNext w:val="0"/>
        <w:keepLines w:val="0"/>
        <w:spacing w:after="80" w:before="280" w:line="480" w:lineRule="auto"/>
        <w:jc w:val="left"/>
        <w:rPr>
          <w:b w:val="0"/>
          <w:bCs w:val="0"/>
        </w:rPr>
      </w:pPr>
      <w:bookmarkStart w:colFirst="0" w:colLast="0" w:name="_heading=h.i2tt542nyvji" w:id="60"/>
      <w:bookmarkEnd w:id="60"/>
      <w:r w:rsidDel="00000000" w:rsidR="00000000" w:rsidRPr="00000000">
        <w:rPr>
          <w:b w:val="0"/>
          <w:bCs w:val="0"/>
          <w:rtl w:val="0"/>
        </w:rPr>
        <w:t xml:space="preserve">3.6.1 Comparative Technology Analysis</w:t>
      </w:r>
    </w:p>
    <w:p w:rsidR="00000000" w:rsidDel="00000000" w:rsidP="00000000" w:rsidRDefault="00000000" w:rsidRPr="00000000" w14:paraId="00000334">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Phase 0 comparative data was analyzed using a multi-criteria weighted ranking methodology. For both hash functions and ZKP frameworks, the collected metrics were first normalized to a common scale (0–1) to enable cross-metric comparison. Normalization was performed using min-max scaling, where for each metric, the best-performing candidate received a score of 1 and the worst-performing received 0.</w:t>
      </w:r>
    </w:p>
    <w:p w:rsidR="00000000" w:rsidDel="00000000" w:rsidP="00000000" w:rsidRDefault="00000000" w:rsidRPr="00000000" w14:paraId="00000335">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Weights were assigned to each metric based on the study’s priorities for a consumer-facing donation verification system. For hash function selection, the proposed weight distribution is:</w:t>
      </w:r>
    </w:p>
    <w:p w:rsidR="00000000" w:rsidDel="00000000" w:rsidP="00000000" w:rsidRDefault="00000000" w:rsidRPr="00000000" w14:paraId="00000336">
      <w:pPr>
        <w:spacing w:after="60" w:before="60" w:line="4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On-chain gas cost (w₁): weight reflecting EVM deployment cost significance</w:t>
      </w:r>
    </w:p>
    <w:p w:rsidR="00000000" w:rsidDel="00000000" w:rsidP="00000000" w:rsidRDefault="00000000" w:rsidRPr="00000000" w14:paraId="00000337">
      <w:pPr>
        <w:spacing w:after="60" w:before="60" w:line="4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R1CS constraint count (w₂): weight reflecting ZKP circuit efficiency importance</w:t>
      </w:r>
    </w:p>
    <w:p w:rsidR="00000000" w:rsidDel="00000000" w:rsidP="00000000" w:rsidRDefault="00000000" w:rsidRPr="00000000" w14:paraId="00000338">
      <w:pPr>
        <w:spacing w:after="60" w:before="60" w:line="4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Proof generation time (w₃): weight reflecting client-side user experience impact</w:t>
      </w:r>
    </w:p>
    <w:p w:rsidR="00000000" w:rsidDel="00000000" w:rsidP="00000000" w:rsidRDefault="00000000" w:rsidRPr="00000000" w14:paraId="00000339">
      <w:pPr>
        <w:spacing w:after="60" w:before="60" w:line="4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Security maturity (w₄): weight reflecting the criticality of cryptographic soundness for financial donation records</w:t>
      </w:r>
    </w:p>
    <w:p w:rsidR="00000000" w:rsidDel="00000000" w:rsidP="00000000" w:rsidRDefault="00000000" w:rsidRPr="00000000" w14:paraId="0000033A">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composite score for each candidate was calculated as:</w:t>
      </w:r>
    </w:p>
    <w:p w:rsidR="00000000" w:rsidDel="00000000" w:rsidP="00000000" w:rsidRDefault="00000000" w:rsidRPr="00000000" w14:paraId="0000033B">
      <w:pPr>
        <w:spacing w:after="120" w:before="120"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6200" cy="317500"/>
            <wp:effectExtent b="0" l="0" r="0" t="0"/>
            <wp:docPr id="1" name="image7.gif"/>
            <a:graphic>
              <a:graphicData uri="http://schemas.openxmlformats.org/drawingml/2006/picture">
                <pic:pic>
                  <pic:nvPicPr>
                    <pic:cNvPr id="0" name="image7.gif"/>
                    <pic:cNvPicPr preferRelativeResize="0"/>
                  </pic:nvPicPr>
                  <pic:blipFill>
                    <a:blip r:embed="rId19"/>
                    <a:srcRect b="0" l="0" r="0" t="0"/>
                    <a:stretch>
                      <a:fillRect/>
                    </a:stretch>
                  </pic:blipFill>
                  <pic:spPr>
                    <a:xfrm>
                      <a:off x="0" y="0"/>
                      <a:ext cx="2616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with the highest composite score was recommended for the Phase 1 implementation. The weights were documented transparently so that readers can evaluate the sensitivity of the recommendation to weight adjustments.</w:t>
      </w:r>
    </w:p>
    <w:p w:rsidR="00000000" w:rsidDel="00000000" w:rsidP="00000000" w:rsidRDefault="00000000" w:rsidRPr="00000000" w14:paraId="0000033D">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ZKP framework selection, an analogous weighted ranking was applied across proving time, proof size, verification gas cost, and setup requirements. Framework-proving system combinations that were incompatible were excluded from ranking but documented for completeness.</w:t>
      </w:r>
    </w:p>
    <w:p w:rsidR="00000000" w:rsidDel="00000000" w:rsidP="00000000" w:rsidRDefault="00000000" w:rsidRPr="00000000" w14:paraId="0000033E">
      <w:pPr>
        <w:pStyle w:val="Heading3"/>
        <w:keepNext w:val="0"/>
        <w:keepLines w:val="0"/>
        <w:spacing w:after="80" w:before="280" w:line="480" w:lineRule="auto"/>
        <w:jc w:val="left"/>
        <w:rPr>
          <w:b w:val="0"/>
          <w:bCs w:val="0"/>
        </w:rPr>
      </w:pPr>
      <w:bookmarkStart w:colFirst="0" w:colLast="0" w:name="_heading=h.fgh6iv3x44e7" w:id="61"/>
      <w:bookmarkEnd w:id="61"/>
      <w:r w:rsidDel="00000000" w:rsidR="00000000" w:rsidRPr="00000000">
        <w:rPr>
          <w:b w:val="0"/>
          <w:bCs w:val="0"/>
          <w:rtl w:val="0"/>
        </w:rPr>
        <w:t xml:space="preserve">3.6.2 Performance and Scalability Analysis</w:t>
      </w:r>
    </w:p>
    <w:p w:rsidR="00000000" w:rsidDel="00000000" w:rsidP="00000000" w:rsidRDefault="00000000" w:rsidRPr="00000000" w14:paraId="0000033F">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and scalability data are analyzed through a combination of descriptive statistics: pass rate computation for functional correctness, descriptive analysis of gas consumption and proof generation time measurements, and descriptive comparison of verification gas costs across tree depths. Inferential statistics are not applied, as gas measurements on the Hardhat Network are deterministic for identical operations and functional test outcomes are binary pass/fail events, neither of which exhibits the sampling variability that statistical inference requires. </w:t>
      </w:r>
    </w:p>
    <w:p w:rsidR="00000000" w:rsidDel="00000000" w:rsidP="00000000" w:rsidRDefault="00000000" w:rsidRPr="00000000" w14:paraId="00000340">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testing results were analyzed by computing the pass rate:</w:t>
      </w:r>
    </w:p>
    <w:p w:rsidR="00000000" w:rsidDel="00000000" w:rsidP="00000000" w:rsidRDefault="00000000" w:rsidRPr="00000000" w14:paraId="00000341">
      <w:pPr>
        <w:spacing w:after="120" w:before="120"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0900" cy="381000"/>
            <wp:effectExtent b="0" l="0" r="0" t="0"/>
            <wp:docPr id="10" name="image12.gif"/>
            <a:graphic>
              <a:graphicData uri="http://schemas.openxmlformats.org/drawingml/2006/picture">
                <pic:pic>
                  <pic:nvPicPr>
                    <pic:cNvPr id="0" name="image12.gif"/>
                    <pic:cNvPicPr preferRelativeResize="0"/>
                  </pic:nvPicPr>
                  <pic:blipFill>
                    <a:blip r:embed="rId20"/>
                    <a:srcRect b="0" l="0" r="0" t="0"/>
                    <a:stretch>
                      <a:fillRect/>
                    </a:stretch>
                  </pic:blipFill>
                  <pic:spPr>
                    <a:xfrm>
                      <a:off x="0" y="0"/>
                      <a:ext cx="33909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strict success criterion of 100% pass rate was established, requiring that every test case must pass. Gas consumption data was analyzed through comparison of individual commitment storage costs against Merkle root storage:</w:t>
      </w:r>
    </w:p>
    <w:p w:rsidR="00000000" w:rsidDel="00000000" w:rsidP="00000000" w:rsidRDefault="00000000" w:rsidRPr="00000000" w14:paraId="00000343">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1600" cy="355600"/>
            <wp:effectExtent b="0" l="0" r="0" t="0"/>
            <wp:docPr id="6" name="image4.gif"/>
            <a:graphic>
              <a:graphicData uri="http://schemas.openxmlformats.org/drawingml/2006/picture">
                <pic:pic>
                  <pic:nvPicPr>
                    <pic:cNvPr id="0" name="image4.gif"/>
                    <pic:cNvPicPr preferRelativeResize="0"/>
                  </pic:nvPicPr>
                  <pic:blipFill>
                    <a:blip r:embed="rId21"/>
                    <a:srcRect b="0" l="0" r="0" t="0"/>
                    <a:stretch>
                      <a:fillRect/>
                    </a:stretch>
                  </pic:blipFill>
                  <pic:spPr>
                    <a:xfrm>
                      <a:off x="0" y="0"/>
                      <a:ext cx="3911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was performed at each batch size (10, 100, 500, and 1,000 donations) to produce a gas savings curve.</w:t>
      </w:r>
    </w:p>
    <w:p w:rsidR="00000000" w:rsidDel="00000000" w:rsidP="00000000" w:rsidRDefault="00000000" w:rsidRPr="00000000" w14:paraId="00000345">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generation time was plotted against Merkle tree depth to characterize how client-side ZKP computation scales as the system grows. Rather than applying a fixed acceptability threshold, the proof generation times were analyzed descriptively: the actual measurements at each tree depth were recorded, the growth pattern was characterized, and the implications for practical deployment were discussed. On-chain verification gas cost was compared across different tree depths to empirically confirm that verification cost is constant regardless of tree size.</w:t>
      </w:r>
    </w:p>
    <w:p w:rsidR="00000000" w:rsidDel="00000000" w:rsidP="00000000" w:rsidRDefault="00000000" w:rsidRPr="00000000" w14:paraId="00000346">
      <w:pPr>
        <w:pStyle w:val="Heading3"/>
        <w:keepNext w:val="0"/>
        <w:keepLines w:val="0"/>
        <w:spacing w:after="80" w:before="280" w:line="480" w:lineRule="auto"/>
        <w:jc w:val="left"/>
        <w:rPr>
          <w:b w:val="0"/>
          <w:bCs w:val="0"/>
        </w:rPr>
      </w:pPr>
      <w:bookmarkStart w:colFirst="0" w:colLast="0" w:name="_heading=h.ncktanu82qfz" w:id="62"/>
      <w:bookmarkEnd w:id="62"/>
      <w:r w:rsidDel="00000000" w:rsidR="00000000" w:rsidRPr="00000000">
        <w:rPr>
          <w:b w:val="0"/>
          <w:bCs w:val="0"/>
          <w:rtl w:val="0"/>
        </w:rPr>
        <w:t xml:space="preserve">3.6.3 Static Security Analysis</w:t>
      </w:r>
    </w:p>
    <w:p w:rsidR="00000000" w:rsidDel="00000000" w:rsidP="00000000" w:rsidRDefault="00000000" w:rsidRPr="00000000" w14:paraId="00000347">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analysis findings from both Slither and the circuit review were analyzed using frequency count and severity categorization. Each finding was first validated through manual review to determine whether it represented a true positive, a false positive, or an informational recommendation. Only validated true positives were included in the final severity count. The analysis covered both the core AidVocate donation contract and the auto-generated verifier contract, as well as the ZKP circuit code.</w:t>
      </w:r>
    </w:p>
    <w:p w:rsidR="00000000" w:rsidDel="00000000" w:rsidP="00000000" w:rsidRDefault="00000000" w:rsidRPr="00000000" w14:paraId="00000348">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criterion for this evaluation was the absence of high-severity vulnerabilities in the validated findings, across both the smart contracts and the ZKP circuits. Medium and low-severity findings were documented for transparency and to inform future development efforts but did not constitute grounds for evaluation failure.</w:t>
      </w:r>
    </w:p>
    <w:p w:rsidR="00000000" w:rsidDel="00000000" w:rsidP="00000000" w:rsidRDefault="00000000" w:rsidRPr="00000000" w14:paraId="00000349">
      <w:pPr>
        <w:pStyle w:val="Heading3"/>
        <w:keepNext w:val="0"/>
        <w:keepLines w:val="0"/>
        <w:spacing w:after="80" w:before="280" w:line="480" w:lineRule="auto"/>
        <w:jc w:val="left"/>
        <w:rPr>
          <w:b w:val="0"/>
          <w:bCs w:val="0"/>
        </w:rPr>
      </w:pPr>
      <w:bookmarkStart w:colFirst="0" w:colLast="0" w:name="_heading=h.ar2dwflak559" w:id="63"/>
      <w:bookmarkEnd w:id="63"/>
      <w:r w:rsidDel="00000000" w:rsidR="00000000" w:rsidRPr="00000000">
        <w:rPr>
          <w:b w:val="0"/>
          <w:bCs w:val="0"/>
          <w:rtl w:val="0"/>
        </w:rPr>
        <w:t xml:space="preserve">3.6.4 Usability Assessment Analysis</w:t>
      </w:r>
    </w:p>
    <w:p w:rsidR="00000000" w:rsidDel="00000000" w:rsidP="00000000" w:rsidRDefault="00000000" w:rsidRPr="00000000" w14:paraId="0000034A">
      <w:pPr>
        <w:spacing w:after="120" w:before="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usability assessment data was analyzed using the standardized SUS scoring methodology established by Brooke (1996). For odd-numbered items, the contribution was determined by subtracting 1 from the participant’s response value. For even-numbered items, the contribution was determined by subtracting the participant’s response value from 5. The ten item contributions were summed and multiplied by 2.5 to convert to a 0–100 scale:</w:t>
      </w:r>
    </w:p>
    <w:p w:rsidR="00000000" w:rsidDel="00000000" w:rsidP="00000000" w:rsidRDefault="00000000" w:rsidRPr="00000000" w14:paraId="0000034B">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65100"/>
            <wp:effectExtent b="0" l="0" r="0" t="0"/>
            <wp:docPr id="3" name="image9.gif"/>
            <a:graphic>
              <a:graphicData uri="http://schemas.openxmlformats.org/drawingml/2006/picture">
                <pic:pic>
                  <pic:nvPicPr>
                    <pic:cNvPr id="0" name="image9.gif"/>
                    <pic:cNvPicPr preferRelativeResize="0"/>
                  </pic:nvPicPr>
                  <pic:blipFill>
                    <a:blip r:embed="rId22"/>
                    <a:srcRect b="0" l="0" r="0" t="0"/>
                    <a:stretch>
                      <a:fillRect/>
                    </a:stretch>
                  </pic:blipFill>
                  <pic:spPr>
                    <a:xfrm>
                      <a:off x="0" y="0"/>
                      <a:ext cx="54864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120" w:before="120" w:line="480" w:lineRule="auto"/>
        <w:ind w:firstLine="720"/>
        <w:jc w:val="both"/>
        <w:rPr/>
      </w:pPr>
      <w:r w:rsidDel="00000000" w:rsidR="00000000" w:rsidRPr="00000000">
        <w:rPr>
          <w:rFonts w:ascii="Times New Roman" w:cs="Times New Roman" w:eastAsia="Times New Roman" w:hAnsi="Times New Roman"/>
          <w:rtl w:val="0"/>
        </w:rPr>
        <w:t xml:space="preserve">A success threshold of 68 was established based on the empirical research of Sauro (2011), who analyzed SUS data from over 500 studies and determined that 68 represents the 50th percentile of all reported SUS scores. The mean SUS score across all participants was computed and compared against this threshold.</w:t>
      </w:r>
      <w:r w:rsidDel="00000000" w:rsidR="00000000" w:rsidRPr="00000000">
        <w:rPr>
          <w:rtl w:val="0"/>
        </w:rPr>
      </w:r>
    </w:p>
    <w:p w:rsidR="00000000" w:rsidDel="00000000" w:rsidP="00000000" w:rsidRDefault="00000000" w:rsidRPr="00000000" w14:paraId="0000034D">
      <w:pPr>
        <w:pStyle w:val="Heading2"/>
        <w:keepNext w:val="0"/>
        <w:keepLines w:val="0"/>
        <w:spacing w:after="80" w:before="360" w:lineRule="auto"/>
        <w:rPr/>
      </w:pPr>
      <w:bookmarkStart w:colFirst="0" w:colLast="0" w:name="_heading=h.wpx8gtyyk5mw" w:id="64"/>
      <w:bookmarkEnd w:id="64"/>
      <w:r w:rsidDel="00000000" w:rsidR="00000000" w:rsidRPr="00000000">
        <w:rPr>
          <w:rtl w:val="0"/>
        </w:rPr>
        <w:t xml:space="preserve">3.7 Ethical Considerations</w:t>
      </w:r>
    </w:p>
    <w:p w:rsidR="00000000" w:rsidDel="00000000" w:rsidP="00000000" w:rsidRDefault="00000000" w:rsidRPr="00000000" w14:paraId="0000034E">
      <w:pPr>
        <w:spacing w:after="20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followed ethical standards for research involving human participants. Informed consent was obtained from all usability assessment participants before their involvement, and participation was entirely voluntary with the right to withdraw at any time. The SUS questionnaire was administered anonymously, collecting no personally identifiable information beyond the participant’s user group category. All collected data were stored securely, accessible only to the researchers, and used solely for academic purposes.</w:t>
      </w:r>
    </w:p>
    <w:p w:rsidR="00000000" w:rsidDel="00000000" w:rsidP="00000000" w:rsidRDefault="00000000" w:rsidRPr="00000000" w14:paraId="0000034F">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blockchain experiments were conducted in a controlled test environment using the Hardhat local network and Polygon Amoy public testnet, both of which use test tokens with no real monetary value. No actual cryptocurrency or financial transactions were involved at any stage of the research, eliminating financial risk to all parties. During the usability assessment, participants interacted with simulated donation data rather than real personal or financial information. The system’s zero-knowledge proof mechanism further supports ethical data handling by ensuring that private donation details are never revealed during the verification process.</w:t>
      </w:r>
    </w:p>
    <w:p w:rsidR="00000000" w:rsidDel="00000000" w:rsidP="00000000" w:rsidRDefault="00000000" w:rsidRPr="00000000" w14:paraId="00000350">
      <w:pPr>
        <w:spacing w:after="20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committed to reporting all findings accurately, including any limitations or unfavorable results, without selective omission. The use of established tools and validated instruments ensured that the evaluation methodology was reproducible and verifiable. Proper attribution was given to all referenced works and libraries in accordance with academic integrity standards.</w:t>
      </w:r>
    </w:p>
    <w:p w:rsidR="00000000" w:rsidDel="00000000" w:rsidP="00000000" w:rsidRDefault="00000000" w:rsidRPr="00000000" w14:paraId="00000351">
      <w:pPr>
        <w:pStyle w:val="Heading1"/>
        <w:keepNext w:val="0"/>
        <w:keepLines w:val="0"/>
        <w:spacing w:after="120" w:before="480" w:line="480" w:lineRule="auto"/>
        <w:jc w:val="both"/>
        <w:rPr/>
      </w:pPr>
      <w:bookmarkStart w:colFirst="0" w:colLast="0" w:name="_heading=h.pywi21jomfro" w:id="65"/>
      <w:bookmarkEnd w:id="65"/>
      <w:r w:rsidDel="00000000" w:rsidR="00000000" w:rsidRPr="00000000">
        <w:rPr>
          <w:rtl w:val="0"/>
        </w:rPr>
        <w:t xml:space="preserve">4. Results and Discussion</w:t>
      </w:r>
    </w:p>
    <w:p w:rsidR="00000000" w:rsidDel="00000000" w:rsidP="00000000" w:rsidRDefault="00000000" w:rsidRPr="00000000" w14:paraId="000003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measurements were taken on the Hardhat local blockchain network inside a fixed Docker image, so that the software versions stayed the same across runs and the results could be repeated by other researchers. On-chain gas costs were recorded using the Hardhat gas reporter. The test machine had 10 CPU cores and 7.65 GB of memory and ran on a Linux kernel. Because all tests used a single machine, results may differ on other hardware, as proof-generation time is known to vary across hardware configurations and framework implementations (Ernstberger et al., 2024). The full list of tools and versions is shown in Table 16.</w:t>
      </w:r>
    </w:p>
    <w:p w:rsidR="00000000" w:rsidDel="00000000" w:rsidP="00000000" w:rsidRDefault="00000000" w:rsidRPr="00000000" w14:paraId="00000353">
      <w:pPr>
        <w:spacing w:after="80" w:before="20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16. </w:t>
      </w:r>
      <w:r w:rsidDel="00000000" w:rsidR="00000000" w:rsidRPr="00000000">
        <w:rPr>
          <w:rFonts w:ascii="Times New Roman" w:cs="Times New Roman" w:eastAsia="Times New Roman" w:hAnsi="Times New Roman"/>
          <w:i w:val="1"/>
          <w:iCs w:val="1"/>
          <w:rtl w:val="0"/>
        </w:rPr>
        <w:t xml:space="preserve">Benchmarking Environment and Toolchain Versions</w:t>
      </w:r>
    </w:p>
    <w:tbl>
      <w:tblPr>
        <w:tblStyle w:val="Table16"/>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1538461538466"/>
        <w:gridCol w:w="5773.846153846154"/>
        <w:tblGridChange w:id="0">
          <w:tblGrid>
            <w:gridCol w:w="2866.1538461538466"/>
            <w:gridCol w:w="5773.846153846154"/>
          </w:tblGrid>
        </w:tblGridChange>
      </w:tblGrid>
      <w:tr>
        <w:trPr>
          <w:cantSplit w:val="0"/>
          <w:trHeight w:val="390"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54">
            <w:pPr>
              <w:spacing w:after="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55">
            <w:pPr>
              <w:spacing w:after="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Specification / Version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6">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7">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cores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8">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9">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7.65 GB</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A">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Kernel</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B">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Linux 6.12.54-linuxkit (aarch64)</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C">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D">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v24.15.0</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E">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pnpm</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5F">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11.1.1</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0">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1">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2">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snarkjs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3">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4">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5">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6">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nargo (Noir)</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7">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1.0.0-beta.6</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8">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bb (Barretenberg)</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9">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0.84.0</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A">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rustc</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6B">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w:t>
            </w:r>
          </w:p>
        </w:tc>
      </w:tr>
    </w:tbl>
    <w:p w:rsidR="00000000" w:rsidDel="00000000" w:rsidP="00000000" w:rsidRDefault="00000000" w:rsidRPr="00000000" w14:paraId="0000036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proof-generation test, one warm-up run was done and ignored, and then the next 30 runs were timed. The median of these 30 runs is reported as the proof-generation time, because the median is not affected by a few unusually slow runs. Constraint counts and proof sizes are fixed for each circuit, so they were recorded only once. The median was used for ranking instead of the average because two of the slow PLONK runs were caused by brief pauses in the Node.js runtime rather than by the framework itself.</w:t>
      </w:r>
    </w:p>
    <w:p w:rsidR="00000000" w:rsidDel="00000000" w:rsidP="00000000" w:rsidRDefault="00000000" w:rsidRPr="00000000" w14:paraId="0000036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option was also given a single composite score. Each measurement was first rescaled to a range of 0 to 1, where the best-performing option received 1 and the worst received 0, and more weight was given to the criteria that matter most for AidVocate. A higher composite score means a better overall result. The weights used for each objective are stated in the sections below.</w:t>
      </w:r>
    </w:p>
    <w:p w:rsidR="00000000" w:rsidDel="00000000" w:rsidP="00000000" w:rsidRDefault="00000000" w:rsidRPr="00000000" w14:paraId="0000036E">
      <w:pPr>
        <w:pStyle w:val="Heading2"/>
        <w:keepNext w:val="0"/>
        <w:keepLines w:val="0"/>
        <w:spacing w:after="80" w:before="360" w:lineRule="auto"/>
        <w:jc w:val="both"/>
        <w:rPr/>
      </w:pPr>
      <w:bookmarkStart w:colFirst="0" w:colLast="0" w:name="_heading=h.pudb3y324m5h" w:id="66"/>
      <w:bookmarkEnd w:id="66"/>
      <w:r w:rsidDel="00000000" w:rsidR="00000000" w:rsidRPr="00000000">
        <w:rPr>
          <w:rtl w:val="0"/>
        </w:rPr>
        <w:t xml:space="preserve">4.1 Phase 0a: Hash Function Comparison</w:t>
      </w:r>
    </w:p>
    <w:p w:rsidR="00000000" w:rsidDel="00000000" w:rsidP="00000000" w:rsidRDefault="00000000" w:rsidRPr="00000000" w14:paraId="000003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objective (SO 1) compared four cryptographic hash functions—Keccak256, Poseidon, MiMC, and Pedersen—to find the best one for creating commitments in the commitment scheme and inside the zero-knowledge proof circuit. Each was judged on four criteria: on-chain gas cost, the number of R1CS constraints, proof-generation time, and a security maturity score. The security maturity score is a judgment based on how well-studied each function is, not a precise measurement. Constraint count and proof time were given the most weight (0.3 each) because they decide whether a donor’s own device can create proofs, while gas cost and security were weighted 0.2 each. Because no single hash function performs best on all four criteria, a systematic comparison is needed rather than adopting one by default (Guo et al., 2024). The results are shown in Table 17.</w:t>
      </w:r>
    </w:p>
    <w:p w:rsidR="00000000" w:rsidDel="00000000" w:rsidP="00000000" w:rsidRDefault="00000000" w:rsidRPr="00000000" w14:paraId="00000370">
      <w:pPr>
        <w:spacing w:after="80" w:before="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17. Hash Function Benchmark Results (Phase 0a)</w:t>
      </w:r>
    </w:p>
    <w:tbl>
      <w:tblPr>
        <w:tblStyle w:val="Table17"/>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5384615384617"/>
        <w:gridCol w:w="1467.6923076923076"/>
        <w:gridCol w:w="1356.9230769230771"/>
        <w:gridCol w:w="1509.2307692307693"/>
        <w:gridCol w:w="1232.3076923076924"/>
        <w:gridCol w:w="1066.1538461538462"/>
        <w:gridCol w:w="1246.1538461538462"/>
        <w:tblGridChange w:id="0">
          <w:tblGrid>
            <w:gridCol w:w="761.5384615384617"/>
            <w:gridCol w:w="1467.6923076923076"/>
            <w:gridCol w:w="1356.9230769230771"/>
            <w:gridCol w:w="1509.2307692307693"/>
            <w:gridCol w:w="1232.3076923076924"/>
            <w:gridCol w:w="1066.1538461538462"/>
            <w:gridCol w:w="1246.1538461538462"/>
          </w:tblGrid>
        </w:tblGridChange>
      </w:tblGrid>
      <w:tr>
        <w:trPr>
          <w:cantSplit w:val="0"/>
          <w:trHeight w:val="630"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1">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Rank</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2">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Hash Function</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3">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On-Chain Gas</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4">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R1CS Constraints</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5">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Proof Time</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6">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77">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Composite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9">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Poseidon</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208,094</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220.5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0.9386</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7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0">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Pedersen</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26,475,902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1,614</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233.5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0.7308</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7">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MiMC</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834,210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0.5879</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E">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Keccak256</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8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22,489</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90">
            <w:pPr>
              <w:spacing w:after="0" w:line="480" w:lineRule="auto"/>
              <w:jc w:val="center"/>
              <w:rPr>
                <w:rFonts w:ascii="Times New Roman" w:cs="Times New Roman" w:eastAsia="Times New Roman" w:hAnsi="Times New Roman"/>
                <w:sz w:val="20"/>
                <w:szCs w:val="20"/>
              </w:rPr>
            </w:pPr>
            <w:sdt>
              <w:sdtPr>
                <w:id w:val="1474821985"/>
                <w:tag w:val="goog_rdk_3"/>
              </w:sdtPr>
              <w:sdtContent>
                <w:r w:rsidDel="00000000" w:rsidR="00000000" w:rsidRPr="00000000">
                  <w:rPr>
                    <w:rFonts w:ascii="Gungsuh" w:cs="Gungsuh" w:eastAsia="Gungsuh" w:hAnsi="Gungsuh"/>
                    <w:sz w:val="20"/>
                    <w:szCs w:val="20"/>
                    <w:rtl w:val="0"/>
                  </w:rPr>
                  <w:t xml:space="preserve">≈150,000</w:t>
                </w:r>
              </w:sdtContent>
            </w:sdt>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9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measured</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9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9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0.5714</w:t>
            </w:r>
          </w:p>
        </w:tc>
      </w:tr>
    </w:tbl>
    <w:p w:rsidR="00000000" w:rsidDel="00000000" w:rsidP="00000000" w:rsidRDefault="00000000" w:rsidRPr="00000000" w14:paraId="000003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Poseidon ranked first with a composite score of 0.9386, well ahead of the other options. Its main strength was its very low R1CS constraint count of 321, which is an expected property of Poseidon, an algebraic hash function designed specifically for zero-knowledge proof systems (Grassi et al., 2021). This count is about one-fifth of Pedersen’s, one-tenth of MiMC’s, and far below Keccak256’s, which is around 150,000. The constraint count matters most because zk-SNARK proving time grows super-linearly with the number of constraints, so a smaller circuit can be the difference between a proof that takes under a second and one that takes minutes on a consumer device (Ernstberger et al., 2024). Poseidon also had the fastest proof generation, with a median of 220.5 ms, and a reasonable on-chain gas cost of 208,094. This ordering, with Poseidon achieving the lowest constraint count, is consistent with prior benchmarks of ZKP-friendly hash functions (Guo et al., 2024).</w:t>
      </w:r>
    </w:p>
    <w:p w:rsidR="00000000" w:rsidDel="00000000" w:rsidP="00000000" w:rsidRDefault="00000000" w:rsidRPr="00000000" w14:paraId="000003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other options had a clear weakness. Pedersen had a good security maturity score and a fast proof time, but its on-chain gas cost of 26,475,902 was extremely high, more than 125 times that of Poseidon, which made it too expensive to use. MiMC had no real advantage: among the practical options it had the highest constraint count and the slowest proof time, and it also had the lowest security maturity score, reflecting cryptanalytic work showing that its simple algebraic structure is more exposed to interpolation and Gröbner-basis attacks than more complex designs such as Poseidon (Eichlseder et al., 2020). Keccak256 had the lowest gas cost and the highest security maturity score, because it was selected through the multi-year NIST SHA-3 competition and has undergone decades of cryptanalytic scrutiny (Bertoni et al., 2013). However, its constraint count of about 150,000 makes proof generation too slow for a donor’s device, taking more than 60 seconds on a normal computer. For this reason, and because there is no stable Circom template for it, Keccak256 was not measured directly; its constraint count is taken from published research (Grassi et al., 2021), consistent with prior benchmarks that also excluded Keccak256 from in-circuit measurement for the same reason (Guo et al., 2024). More broadly, the security maturity scores reflect a known efficiency–maturity trade-off: the most circuit-efficient hashes, Poseidon and MiMC, have shorter cryptanalytic histories than Keccak256, and reduced-round versions of these algebraic designs have shown weaknesses even though their full-round versions remain unbroken (Bariant et al., 2023).</w:t>
      </w:r>
    </w:p>
    <w:p w:rsidR="00000000" w:rsidDel="00000000" w:rsidP="00000000" w:rsidRDefault="00000000" w:rsidRPr="00000000" w14:paraId="000003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show that for AidVocate, where proofs must be created on ordinary donor devices, being friendly to zero-knowledge circuits matters more than having the lowest on-chain cost. By measuring gas cost, circuit constraints, proof time, and security maturity together rather than as isolated metrics, this comparison addresses a gap in prior donation-focused research (Guo et al., 2024). Poseidon was therefore selected as the hash function for the AidVocate commitment scheme and ZKP circuit.</w:t>
      </w:r>
    </w:p>
    <w:p w:rsidR="00000000" w:rsidDel="00000000" w:rsidP="00000000" w:rsidRDefault="00000000" w:rsidRPr="00000000" w14:paraId="00000397">
      <w:pPr>
        <w:pStyle w:val="Heading2"/>
        <w:keepNext w:val="0"/>
        <w:keepLines w:val="0"/>
        <w:spacing w:after="80" w:before="360" w:lineRule="auto"/>
        <w:jc w:val="both"/>
        <w:rPr/>
      </w:pPr>
      <w:bookmarkStart w:colFirst="0" w:colLast="0" w:name="_heading=h.pj87syd6xikl" w:id="67"/>
      <w:bookmarkEnd w:id="67"/>
      <w:r w:rsidDel="00000000" w:rsidR="00000000" w:rsidRPr="00000000">
        <w:rPr>
          <w:rtl w:val="0"/>
        </w:rPr>
        <w:t xml:space="preserve">4.2 Phase 0b: Zero-Knowledge Proof Framework Comparison</w:t>
      </w:r>
    </w:p>
    <w:p w:rsidR="00000000" w:rsidDel="00000000" w:rsidP="00000000" w:rsidRDefault="00000000" w:rsidRPr="00000000" w14:paraId="000003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(SO 2) compared zero-knowledge proof frameworks (Circom/snarkjs, ZoKrates, and Noir) and proving systems (Groth16 and PLONK) for donor-controlled proof generation, using the same standardized donation verification circuit. Four framework and proving-system combinations were benchmarked: Circom with Groth16, ZoKrates with Groth16, Noir with UltraHonk, and Circom with PLONK. Each was judged on proof-generation time (weight 0.3), proof size (0.2), on-chain verification gas cost (0.3), and setup time (0.2). For combinations whose verification gas could not be measured, the composite score was computed using only the remaining criteria. Because the most suitable proving system depends on the specific deployment context rather than on abstract benchmarks, the candidates were compared under the conditions relevant to donation verification (Oude et al., 2024). The results are shown in Table 18.</w:t>
      </w:r>
    </w:p>
    <w:p w:rsidR="00000000" w:rsidDel="00000000" w:rsidP="00000000" w:rsidRDefault="00000000" w:rsidRPr="00000000" w14:paraId="00000399">
      <w:pPr>
        <w:spacing w:after="80" w:before="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18. Zero-Knowledge Proof Framework Benchmark Results (Phase 0b)</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3.9871382636657"/>
        <w:gridCol w:w="1472.4115755627008"/>
        <w:gridCol w:w="1291.8327974276528"/>
        <w:gridCol w:w="944.5659163987137"/>
        <w:gridCol w:w="916.7845659163987"/>
        <w:gridCol w:w="944.5659163987137"/>
        <w:gridCol w:w="1097.3633440514468"/>
        <w:gridCol w:w="1208.4887459807073"/>
        <w:tblGridChange w:id="0">
          <w:tblGrid>
            <w:gridCol w:w="763.9871382636657"/>
            <w:gridCol w:w="1472.4115755627008"/>
            <w:gridCol w:w="1291.8327974276528"/>
            <w:gridCol w:w="944.5659163987137"/>
            <w:gridCol w:w="916.7845659163987"/>
            <w:gridCol w:w="944.5659163987137"/>
            <w:gridCol w:w="1097.3633440514468"/>
            <w:gridCol w:w="1208.4887459807073"/>
          </w:tblGrid>
        </w:tblGridChange>
      </w:tblGrid>
      <w:tr>
        <w:trPr>
          <w:cantSplit w:val="0"/>
          <w:trHeight w:val="630"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A">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Rank</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B">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Framework</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C">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Constraints</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D">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Setup Time</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E">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Proof Time</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9F">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Proof Size</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A0">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Verify Gas</w:t>
            </w:r>
          </w:p>
        </w:tc>
        <w:tc>
          <w:tcPr>
            <w:tcBorders>
              <w:top w:color="bfbfbf" w:space="0" w:sz="5" w:val="single"/>
              <w:left w:color="000000" w:space="0" w:sz="0" w:val="nil"/>
              <w:bottom w:color="bfbfbf" w:space="0" w:sz="5" w:val="single"/>
              <w:right w:color="bfbfbf"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3A1">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Composite</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3">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Groth16</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2,751</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8,672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337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803 B</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214,562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0.8518</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B">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ZoKrates + Groth16</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A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849 B</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measured</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0.7990</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3">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Noir + UltraHonk</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3,623</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16,167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14,080 B</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measured</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0.7117</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B">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Circom + PLONK</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2,751</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2,173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8,801 ms</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B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2,252 B</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C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290,222</w:t>
            </w:r>
          </w:p>
        </w:tc>
        <w:tc>
          <w:tcPr>
            <w:tcBorders>
              <w:top w:color="000000" w:space="0" w:sz="0" w:val="nil"/>
              <w:left w:color="000000" w:space="0" w:sz="0" w:val="nil"/>
              <w:bottom w:color="bfbfbf" w:space="0" w:sz="5" w:val="single"/>
              <w:right w:color="bfbfbf" w:space="0" w:sz="5" w:val="single"/>
            </w:tcBorders>
            <w:tcMar>
              <w:top w:w="80.0" w:type="dxa"/>
              <w:left w:w="100.0" w:type="dxa"/>
              <w:bottom w:w="80.0" w:type="dxa"/>
              <w:right w:w="100.0" w:type="dxa"/>
            </w:tcMar>
            <w:vAlign w:val="top"/>
          </w:tcPr>
          <w:p w:rsidR="00000000" w:rsidDel="00000000" w:rsidP="00000000" w:rsidRDefault="00000000" w:rsidRPr="00000000" w14:paraId="000003C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0.3382</w:t>
            </w:r>
          </w:p>
        </w:tc>
      </w:tr>
    </w:tbl>
    <w:p w:rsidR="00000000" w:rsidDel="00000000" w:rsidP="00000000" w:rsidRDefault="00000000" w:rsidRPr="00000000" w14:paraId="000003C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Circom with Groth16 ranked first with a composite score of 0.8518. It had two main strengths. First, it produced the smallest proof at 803 bytes, which keeps on-chain costs low every time a proof is submitted; a compact proof size is a well-documented strength of the Groth16 proving system, which consistently produces the smallest proofs among pairing-based SNARKs (Groth, 2016; Ernstberger et al., 2024). Second, its verifier contract could actually be deployed and measured, giving a verification gas cost of 214,562, so its score is based on the full set of criteria. These strengths were enough to outweigh its slower proof-generation time of 337 ms and its longer one-time setup of 8,672 ms, which corresponds to the per-circuit trusted setup that Groth16 requires (Chen et al., 2023).</w:t>
      </w:r>
    </w:p>
    <w:p w:rsidR="00000000" w:rsidDel="00000000" w:rsidP="00000000" w:rsidRDefault="00000000" w:rsidRPr="00000000" w14:paraId="000003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ZoKrates with Groth16 ranked second. It was actually the fastest setup, with a proof-generation time of 100 ms and a very short setup of 76 ms, and its proof size of 849 bytes was close to Circom’s. It did not rank first only because its verifier contract uses a different interface and was not deployed in this round, so its score is based on fewer criteria and should be treated as incomplete. Noir with UltraHonk ranked third; UltraHonk was tested because the current Noir release no longer supports the originally planned UltraPlonk. Its proof-generation time of 152 ms was good, but its proof size of 14,080 bytes was more than seventeen times larger than Circom’s, and its verifier was also not deployed. Circom with PLONK ranked last. Although PLONK provides a universal trusted setup that does not need to be repeated for each circuit, it does so at the cost of larger proofs and higher verification gas (Gabizon et al., 2019; Baghery et al., 2023): its proof of 2,252 bytes and its verification cost of 290,222 gas were both higher than those of Circom with Groth16. Combined with a proof-generation time of 8,801 ms, about twenty-six times slower than the chosen setup, this made it unsuitable for use on a donor’s device (Chen et al., 2023).</w:t>
      </w:r>
    </w:p>
    <w:p w:rsidR="00000000" w:rsidDel="00000000" w:rsidP="00000000" w:rsidRDefault="00000000" w:rsidRPr="00000000" w14:paraId="000003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show that for on-chain donation verification, a small proof and a working, measurable verifier matter more than fast proof generation alone. Circom with Groth16 was therefore selected as the zero-knowledge proof framework and proving system for the AidVocate implementation, a choice consistent with the principle that Groth16 is preferable when minimal on-chain verification cost is the priority (Oude et al., 2024). By benchmarking these frameworks under identical conditions, this comparison provides the empirical evaluation that prior donation-focused research has largely approached only conceptually (Ji &amp; Chalkias, 2021; Jadhav et al., 2025). It should be noted that ZoKrates and Noir were scored without verification-gas data, so a later round that deploys their verifier contracts could change the ranking.</w:t>
      </w:r>
    </w:p>
    <w:p w:rsidR="00000000" w:rsidDel="00000000" w:rsidP="00000000" w:rsidRDefault="00000000" w:rsidRPr="00000000" w14:paraId="000003C5">
      <w:pPr>
        <w:spacing w:after="20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after="240" w:before="240" w:line="480" w:lineRule="auto"/>
        <w:ind w:firstLine="72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C7">
      <w:pPr>
        <w:pStyle w:val="Heading1"/>
        <w:spacing w:after="0" w:line="480" w:lineRule="auto"/>
        <w:jc w:val="both"/>
        <w:rPr/>
      </w:pPr>
      <w:bookmarkStart w:colFirst="0" w:colLast="0" w:name="_heading=h.90xd7yve1fbw" w:id="68"/>
      <w:bookmarkEnd w:id="68"/>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1"/>
        <w:spacing w:after="0" w:line="480" w:lineRule="auto"/>
        <w:jc w:val="both"/>
        <w:rPr/>
      </w:pPr>
      <w:bookmarkStart w:colFirst="0" w:colLast="0" w:name="_heading=h.r0o3fjil7if" w:id="69"/>
      <w:bookmarkEnd w:id="69"/>
      <w:r w:rsidDel="00000000" w:rsidR="00000000" w:rsidRPr="00000000">
        <w:rPr>
          <w:rtl w:val="0"/>
        </w:rPr>
        <w:t xml:space="preserve">References:</w:t>
      </w:r>
    </w:p>
    <w:p w:rsidR="00000000" w:rsidDel="00000000" w:rsidP="00000000" w:rsidRDefault="00000000" w:rsidRPr="00000000" w14:paraId="000003C9">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 S. S. M., Shrestha, A., &amp; Yong, J. (2025). Toward the mass adoption of blockchain: Cross-industry insights from DeFi, gaming, and data analytics. </w:t>
      </w:r>
      <w:r w:rsidDel="00000000" w:rsidR="00000000" w:rsidRPr="00000000">
        <w:rPr>
          <w:rFonts w:ascii="Times New Roman" w:cs="Times New Roman" w:eastAsia="Times New Roman" w:hAnsi="Times New Roman"/>
          <w:i w:val="1"/>
          <w:iCs w:val="1"/>
          <w:rtl w:val="0"/>
        </w:rPr>
        <w:t xml:space="preserve">Big Data and Cognitive Computing</w:t>
      </w:r>
      <w:r w:rsidDel="00000000" w:rsidR="00000000" w:rsidRPr="00000000">
        <w:rPr>
          <w:rFonts w:ascii="Times New Roman" w:cs="Times New Roman" w:eastAsia="Times New Roman" w:hAnsi="Times New Roman"/>
          <w:rtl w:val="0"/>
        </w:rPr>
        <w:t xml:space="preserve">, 9(7), 178. https://doi.org/10.3390/bdcc9070178</w:t>
      </w:r>
    </w:p>
    <w:p w:rsidR="00000000" w:rsidDel="00000000" w:rsidP="00000000" w:rsidRDefault="00000000" w:rsidRPr="00000000" w14:paraId="000003C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Albert, E., Gordillo, P., Hernández-Cerezo, A., Rubio, A., &amp; Schett, M. A. (2022). Super-optimization of smart contracts. </w:t>
      </w:r>
      <w:r w:rsidDel="00000000" w:rsidR="00000000" w:rsidRPr="00000000">
        <w:rPr>
          <w:rFonts w:ascii="Times New Roman" w:cs="Times New Roman" w:eastAsia="Times New Roman" w:hAnsi="Times New Roman"/>
          <w:i w:val="1"/>
          <w:iCs w:val="1"/>
          <w:rtl w:val="0"/>
        </w:rPr>
        <w:t xml:space="preserve">ACM Transactions on Software Engineering and Methodology</w:t>
      </w:r>
      <w:r w:rsidDel="00000000" w:rsidR="00000000" w:rsidRPr="00000000">
        <w:rPr>
          <w:rFonts w:ascii="Times New Roman" w:cs="Times New Roman" w:eastAsia="Times New Roman" w:hAnsi="Times New Roman"/>
          <w:rtl w:val="0"/>
        </w:rPr>
        <w:t xml:space="preserve">, 31(4), Article 70. https://doi.org/10.1145/3506800</w:t>
      </w:r>
    </w:p>
    <w:p w:rsidR="00000000" w:rsidDel="00000000" w:rsidP="00000000" w:rsidRDefault="00000000" w:rsidRPr="00000000" w14:paraId="000003CB">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Albrecht, M. R., Grassi, L., Rechberger, C., Roy, A., &amp; Tiessen, T. (2016). MiMC: Efficient encryption and cryptographic hashing with minimal multiplicative complexity. In ASIACRYPT 2016 (LNCS, Vol. 9814, pp. 191–219). Springer. https://doi.org/10.1007/978-3-662-53887-6_7</w:t>
      </w:r>
    </w:p>
    <w:p w:rsidR="00000000" w:rsidDel="00000000" w:rsidP="00000000" w:rsidRDefault="00000000" w:rsidRPr="00000000" w14:paraId="000003CC">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Almaghrabi, A., &amp; Alhogail, A. (2022). Blockchain-based donations traceability framework. </w:t>
      </w:r>
      <w:r w:rsidDel="00000000" w:rsidR="00000000" w:rsidRPr="00000000">
        <w:rPr>
          <w:rFonts w:ascii="Times New Roman" w:cs="Times New Roman" w:eastAsia="Times New Roman" w:hAnsi="Times New Roman"/>
          <w:i w:val="1"/>
          <w:iCs w:val="1"/>
          <w:rtl w:val="0"/>
        </w:rPr>
        <w:t xml:space="preserve">Journal of King Saud University - Computer and Information Sciences</w:t>
      </w:r>
      <w:r w:rsidDel="00000000" w:rsidR="00000000" w:rsidRPr="00000000">
        <w:rPr>
          <w:rFonts w:ascii="Times New Roman" w:cs="Times New Roman" w:eastAsia="Times New Roman" w:hAnsi="Times New Roman"/>
          <w:rtl w:val="0"/>
        </w:rPr>
        <w:t xml:space="preserve">, 34(10), 9442–9454. https://doi.org/10.1016/j.jksuci.2022.09.021</w:t>
      </w:r>
    </w:p>
    <w:p w:rsidR="00000000" w:rsidDel="00000000" w:rsidP="00000000" w:rsidRDefault="00000000" w:rsidRPr="00000000" w14:paraId="000003CD">
      <w:pPr>
        <w:spacing w:after="240" w:before="240" w:line="480" w:lineRule="auto"/>
        <w:ind w:left="720"/>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Alharbi, A., Alosaimi, W., Alyami, H., Ahmad, H. F., Alshahrani, A., Alkhiri, M. H., &amp; Alsaffar, M. (2025). Scalability and efficiency analysis of Hyperledger Fabric and private Ethereum in smart contract execution. </w:t>
      </w:r>
      <w:r w:rsidDel="00000000" w:rsidR="00000000" w:rsidRPr="00000000">
        <w:rPr>
          <w:rFonts w:ascii="Times New Roman" w:cs="Times New Roman" w:eastAsia="Times New Roman" w:hAnsi="Times New Roman"/>
          <w:i w:val="1"/>
          <w:iCs w:val="1"/>
          <w:shd w:fill="ea9999" w:val="clear"/>
          <w:rtl w:val="0"/>
        </w:rPr>
        <w:t xml:space="preserve">Computers</w:t>
      </w:r>
      <w:r w:rsidDel="00000000" w:rsidR="00000000" w:rsidRPr="00000000">
        <w:rPr>
          <w:rFonts w:ascii="Times New Roman" w:cs="Times New Roman" w:eastAsia="Times New Roman" w:hAnsi="Times New Roman"/>
          <w:shd w:fill="ea9999" w:val="clear"/>
          <w:rtl w:val="0"/>
        </w:rPr>
        <w:t xml:space="preserve">, </w:t>
      </w:r>
      <w:r w:rsidDel="00000000" w:rsidR="00000000" w:rsidRPr="00000000">
        <w:rPr>
          <w:rFonts w:ascii="Times New Roman" w:cs="Times New Roman" w:eastAsia="Times New Roman" w:hAnsi="Times New Roman"/>
          <w:i w:val="1"/>
          <w:iCs w:val="1"/>
          <w:shd w:fill="ea9999" w:val="clear"/>
          <w:rtl w:val="0"/>
        </w:rPr>
        <w:t xml:space="preserve">14</w:t>
      </w:r>
      <w:r w:rsidDel="00000000" w:rsidR="00000000" w:rsidRPr="00000000">
        <w:rPr>
          <w:rFonts w:ascii="Times New Roman" w:cs="Times New Roman" w:eastAsia="Times New Roman" w:hAnsi="Times New Roman"/>
          <w:shd w:fill="ea9999" w:val="clear"/>
          <w:rtl w:val="0"/>
        </w:rPr>
        <w:t xml:space="preserve">(4), 132.</w:t>
      </w:r>
      <w:hyperlink r:id="rId23">
        <w:r w:rsidDel="00000000" w:rsidR="00000000" w:rsidRPr="00000000">
          <w:rPr>
            <w:rFonts w:ascii="Times New Roman" w:cs="Times New Roman" w:eastAsia="Times New Roman" w:hAnsi="Times New Roman"/>
            <w:shd w:fill="ea9999" w:val="clear"/>
            <w:rtl w:val="0"/>
          </w:rPr>
          <w:t xml:space="preserve"> https://doi.org/10.3390/computers14040132</w:t>
        </w:r>
      </w:hyperlink>
      <w:r w:rsidDel="00000000" w:rsidR="00000000" w:rsidRPr="00000000">
        <w:rPr>
          <w:rFonts w:ascii="Times New Roman" w:cs="Times New Roman" w:eastAsia="Times New Roman" w:hAnsi="Times New Roman"/>
          <w:shd w:fill="ea9999" w:val="clear"/>
          <w:rtl w:val="0"/>
        </w:rPr>
        <w:t xml:space="preserve"> </w:t>
      </w:r>
    </w:p>
    <w:p w:rsidR="00000000" w:rsidDel="00000000" w:rsidP="00000000" w:rsidRDefault="00000000" w:rsidRPr="00000000" w14:paraId="000003CE">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arkworks contributors. (2022). </w:t>
      </w:r>
      <w:r w:rsidDel="00000000" w:rsidR="00000000" w:rsidRPr="00000000">
        <w:rPr>
          <w:rFonts w:ascii="Times New Roman" w:cs="Times New Roman" w:eastAsia="Times New Roman" w:hAnsi="Times New Roman"/>
          <w:i w:val="1"/>
          <w:iCs w:val="1"/>
          <w:rtl w:val="0"/>
        </w:rPr>
        <w:t xml:space="preserve">arkworks zkSNARK ecosystem</w:t>
      </w:r>
      <w:r w:rsidDel="00000000" w:rsidR="00000000" w:rsidRPr="00000000">
        <w:rPr>
          <w:rFonts w:ascii="Times New Roman" w:cs="Times New Roman" w:eastAsia="Times New Roman" w:hAnsi="Times New Roman"/>
          <w:rtl w:val="0"/>
        </w:rPr>
        <w:t xml:space="preserve">. https://arkworks.rs</w:t>
      </w:r>
    </w:p>
    <w:p w:rsidR="00000000" w:rsidDel="00000000" w:rsidP="00000000" w:rsidRDefault="00000000" w:rsidRPr="00000000" w14:paraId="000003CF">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Aztec Labs. (2023). </w:t>
      </w:r>
      <w:r w:rsidDel="00000000" w:rsidR="00000000" w:rsidRPr="00000000">
        <w:rPr>
          <w:rFonts w:ascii="Times New Roman" w:cs="Times New Roman" w:eastAsia="Times New Roman" w:hAnsi="Times New Roman"/>
          <w:i w:val="1"/>
          <w:iCs w:val="1"/>
          <w:rtl w:val="0"/>
        </w:rPr>
        <w:t xml:space="preserve">Introducing Noir: The universal language of zero-knowledge</w:t>
      </w:r>
      <w:r w:rsidDel="00000000" w:rsidR="00000000" w:rsidRPr="00000000">
        <w:rPr>
          <w:rFonts w:ascii="Times New Roman" w:cs="Times New Roman" w:eastAsia="Times New Roman" w:hAnsi="Times New Roman"/>
          <w:rtl w:val="0"/>
        </w:rPr>
        <w:t xml:space="preserve">. Medium. https://medium.com/aztec-protocol/introducing-noir-the-universal-language-of-zero-knowledge-ff43f38d86d9</w:t>
      </w:r>
    </w:p>
    <w:p w:rsidR="00000000" w:rsidDel="00000000" w:rsidP="00000000" w:rsidRDefault="00000000" w:rsidRPr="00000000" w14:paraId="000003D0">
      <w:pPr>
        <w:spacing w:after="0" w:line="480" w:lineRule="auto"/>
        <w:ind w:left="72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Bappy, F. H., Cheon, E., &amp; Islam, T. (2025). Centralized trust in decentralized Systems: Unveiling hidden contradictions in blockchain and cryptocurrency. </w:t>
      </w:r>
      <w:r w:rsidDel="00000000" w:rsidR="00000000" w:rsidRPr="00000000">
        <w:rPr>
          <w:rFonts w:ascii="Times New Roman" w:cs="Times New Roman" w:eastAsia="Times New Roman" w:hAnsi="Times New Roman"/>
          <w:i w:val="1"/>
          <w:iCs w:val="1"/>
          <w:rtl w:val="0"/>
        </w:rPr>
        <w:t xml:space="preserve">Association for Computing Machinery</w:t>
      </w:r>
      <w:r w:rsidDel="00000000" w:rsidR="00000000" w:rsidRPr="00000000">
        <w:rPr>
          <w:rFonts w:ascii="Times New Roman" w:cs="Times New Roman" w:eastAsia="Times New Roman" w:hAnsi="Times New Roman"/>
          <w:rtl w:val="0"/>
        </w:rPr>
        <w:t xml:space="preserve">, 1960–1971. https://doi.org/10.1145/3715275.3732130</w:t>
      </w:r>
      <w:r w:rsidDel="00000000" w:rsidR="00000000" w:rsidRPr="00000000">
        <w:rPr>
          <w:rtl w:val="0"/>
        </w:rPr>
      </w:r>
    </w:p>
    <w:p w:rsidR="00000000" w:rsidDel="00000000" w:rsidP="00000000" w:rsidRDefault="00000000" w:rsidRPr="00000000" w14:paraId="000003D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Baghery, K., Mertens, A., &amp; Sedaghat, M. (2023). Benchmarking the setup of updatable zk-SNARKs. In A. Aly &amp; M. Tibouchi (Eds.), </w:t>
      </w:r>
      <w:r w:rsidDel="00000000" w:rsidR="00000000" w:rsidRPr="00000000">
        <w:rPr>
          <w:rFonts w:ascii="Times New Roman" w:cs="Times New Roman" w:eastAsia="Times New Roman" w:hAnsi="Times New Roman"/>
          <w:i w:val="1"/>
          <w:iCs w:val="1"/>
          <w:rtl w:val="0"/>
        </w:rPr>
        <w:t xml:space="preserve">Progress in Cryptology – LATINCRYPT 2023</w:t>
      </w:r>
      <w:r w:rsidDel="00000000" w:rsidR="00000000" w:rsidRPr="00000000">
        <w:rPr>
          <w:rFonts w:ascii="Times New Roman" w:cs="Times New Roman" w:eastAsia="Times New Roman" w:hAnsi="Times New Roman"/>
          <w:rtl w:val="0"/>
        </w:rPr>
        <w:t xml:space="preserve"> (LNCS, Vol. 14168, pp. 375–396). Springer. https://doi.org/10.1007/978-3-031-44469-2_19</w:t>
      </w:r>
    </w:p>
    <w:p w:rsidR="00000000" w:rsidDel="00000000" w:rsidP="00000000" w:rsidRDefault="00000000" w:rsidRPr="00000000" w14:paraId="000003D2">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(2017). Circular No. 944, Series of 2017: Guidelines for virtual currency (VC) exchanges. BSP.</w:t>
      </w:r>
    </w:p>
    <w:p w:rsidR="00000000" w:rsidDel="00000000" w:rsidP="00000000" w:rsidRDefault="00000000" w:rsidRPr="00000000" w14:paraId="000003D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Bangor, A., Kortum, P. T., &amp; Miller, J. T. (2008). An empirical evaluation of the System Usability Scale. </w:t>
      </w:r>
      <w:r w:rsidDel="00000000" w:rsidR="00000000" w:rsidRPr="00000000">
        <w:rPr>
          <w:rFonts w:ascii="Times New Roman" w:cs="Times New Roman" w:eastAsia="Times New Roman" w:hAnsi="Times New Roman"/>
          <w:i w:val="1"/>
          <w:iCs w:val="1"/>
          <w:rtl w:val="0"/>
        </w:rPr>
        <w:t xml:space="preserve">International Journal of Human-Computer Interaction</w:t>
      </w:r>
      <w:r w:rsidDel="00000000" w:rsidR="00000000" w:rsidRPr="00000000">
        <w:rPr>
          <w:rFonts w:ascii="Times New Roman" w:cs="Times New Roman" w:eastAsia="Times New Roman" w:hAnsi="Times New Roman"/>
          <w:rtl w:val="0"/>
        </w:rPr>
        <w:t xml:space="preserve">, 24(6), 574–594. https://doi.org/10.1080/10447310802205776</w:t>
      </w:r>
    </w:p>
    <w:p w:rsidR="00000000" w:rsidDel="00000000" w:rsidP="00000000" w:rsidRDefault="00000000" w:rsidRPr="00000000" w14:paraId="000003D4">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Bariant, A., Bouvier, C., Leurent, G., &amp; Peyrin, T. (2023). Algebraic attacks against some arithmetization-oriented primitives. IACR Transactions on Symmetric Cryptology, 2023(3), 58–101. https://doi.org/10.46586/tosc.v2023.i3.58-101</w:t>
      </w:r>
    </w:p>
    <w:p w:rsidR="00000000" w:rsidDel="00000000" w:rsidP="00000000" w:rsidRDefault="00000000" w:rsidRPr="00000000" w14:paraId="000003D5">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Bartoletti, M., Benetollo, L., Bugliesi, M., Crafa, S., Dal Sasso, G., Pettinau, R., Pinna, A., Piras, M., Rossi, S., Salis, S., Spanò, A., Tkachenko, V., Tonelli, R., &amp; Zunino, R. (2024). Smart contract languages: A comparative analysis. </w:t>
      </w:r>
      <w:r w:rsidDel="00000000" w:rsidR="00000000" w:rsidRPr="00000000">
        <w:rPr>
          <w:rFonts w:ascii="Times New Roman" w:cs="Times New Roman" w:eastAsia="Times New Roman" w:hAnsi="Times New Roman"/>
          <w:i w:val="1"/>
          <w:iCs w:val="1"/>
          <w:rtl w:val="0"/>
        </w:rPr>
        <w:t xml:space="preserve">Future Generation Computer Systems</w:t>
      </w:r>
      <w:r w:rsidDel="00000000" w:rsidR="00000000" w:rsidRPr="00000000">
        <w:rPr>
          <w:rFonts w:ascii="Times New Roman" w:cs="Times New Roman" w:eastAsia="Times New Roman" w:hAnsi="Times New Roman"/>
          <w:rtl w:val="0"/>
        </w:rPr>
        <w:t xml:space="preserve">, 164, 107563. https://doi.org/10.1016/j.future.2024.107563</w:t>
      </w:r>
    </w:p>
    <w:p w:rsidR="00000000" w:rsidDel="00000000" w:rsidP="00000000" w:rsidRDefault="00000000" w:rsidRPr="00000000" w14:paraId="000003D6">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Bellés-Muñoz, M., Isabel, M., Muñoz-Tapia, J. L., Rubio, A., &amp; Baylina, J. (2022). CircoM: a circuit description language for building Zero-Knowledge applications. </w:t>
      </w:r>
      <w:r w:rsidDel="00000000" w:rsidR="00000000" w:rsidRPr="00000000">
        <w:rPr>
          <w:rFonts w:ascii="Times New Roman" w:cs="Times New Roman" w:eastAsia="Times New Roman" w:hAnsi="Times New Roman"/>
          <w:i w:val="1"/>
          <w:iCs w:val="1"/>
          <w:rtl w:val="0"/>
        </w:rPr>
        <w:t xml:space="preserve">IEEE Transactions on Dependable and Secure Computing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20</w:t>
      </w:r>
      <w:r w:rsidDel="00000000" w:rsidR="00000000" w:rsidRPr="00000000">
        <w:rPr>
          <w:rFonts w:ascii="Times New Roman" w:cs="Times New Roman" w:eastAsia="Times New Roman" w:hAnsi="Times New Roman"/>
          <w:rtl w:val="0"/>
        </w:rPr>
        <w:t xml:space="preserve">(6), 4733–4751. https://doi.org/10.1109/tdsc.2022.3232813</w:t>
      </w:r>
    </w:p>
    <w:p w:rsidR="00000000" w:rsidDel="00000000" w:rsidP="00000000" w:rsidRDefault="00000000" w:rsidRPr="00000000" w14:paraId="000003D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Bertoni, G., Daemen, J., Peeters, M., &amp; Van Assche, G. (2013). Keccak. In T. Johansson &amp; P. Q. Nguyen (Eds.), </w:t>
      </w:r>
      <w:r w:rsidDel="00000000" w:rsidR="00000000" w:rsidRPr="00000000">
        <w:rPr>
          <w:rFonts w:ascii="Times New Roman" w:cs="Times New Roman" w:eastAsia="Times New Roman" w:hAnsi="Times New Roman"/>
          <w:i w:val="1"/>
          <w:iCs w:val="1"/>
          <w:rtl w:val="0"/>
        </w:rPr>
        <w:t xml:space="preserve">Advances in Cryptology – EUROCRYPT 2013</w:t>
      </w:r>
      <w:r w:rsidDel="00000000" w:rsidR="00000000" w:rsidRPr="00000000">
        <w:rPr>
          <w:rFonts w:ascii="Times New Roman" w:cs="Times New Roman" w:eastAsia="Times New Roman" w:hAnsi="Times New Roman"/>
          <w:rtl w:val="0"/>
        </w:rPr>
        <w:t xml:space="preserve"> (pp. 313–314). Springer. https://link.springer.com/chapter/10.1007/978-3-642-38348-9_19</w:t>
      </w:r>
    </w:p>
    <w:p w:rsidR="00000000" w:rsidDel="00000000" w:rsidP="00000000" w:rsidRDefault="00000000" w:rsidRPr="00000000" w14:paraId="000003D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Brooke, J. (1996). SUS: A 'quick and dirty' usability scale. In P. W. Jordan et al. (Eds.), </w:t>
      </w:r>
      <w:r w:rsidDel="00000000" w:rsidR="00000000" w:rsidRPr="00000000">
        <w:rPr>
          <w:rFonts w:ascii="Times New Roman" w:cs="Times New Roman" w:eastAsia="Times New Roman" w:hAnsi="Times New Roman"/>
          <w:i w:val="1"/>
          <w:iCs w:val="1"/>
          <w:rtl w:val="0"/>
        </w:rPr>
        <w:t xml:space="preserve">Usability evaluation in industry</w:t>
      </w:r>
      <w:r w:rsidDel="00000000" w:rsidR="00000000" w:rsidRPr="00000000">
        <w:rPr>
          <w:rFonts w:ascii="Times New Roman" w:cs="Times New Roman" w:eastAsia="Times New Roman" w:hAnsi="Times New Roman"/>
          <w:rtl w:val="0"/>
        </w:rPr>
        <w:t xml:space="preserve"> (pp. 189–194). Taylor &amp; Francis. https://www.researchgate.net/publication/228593520_SUS_A_quick_and_dirty_usability_scale</w:t>
      </w:r>
    </w:p>
    <w:p w:rsidR="00000000" w:rsidDel="00000000" w:rsidP="00000000" w:rsidRDefault="00000000" w:rsidRPr="00000000" w14:paraId="000003D9">
      <w:pPr>
        <w:spacing w:after="240" w:before="240" w:line="480" w:lineRule="auto"/>
        <w:ind w:left="720"/>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Buterin, V., &amp; Swende, M. H. (2021). EIP-2929: Gas cost increases for state access opcodes. </w:t>
      </w:r>
      <w:r w:rsidDel="00000000" w:rsidR="00000000" w:rsidRPr="00000000">
        <w:rPr>
          <w:rFonts w:ascii="Times New Roman" w:cs="Times New Roman" w:eastAsia="Times New Roman" w:hAnsi="Times New Roman"/>
          <w:i w:val="1"/>
          <w:iCs w:val="1"/>
          <w:shd w:fill="ea9999" w:val="clear"/>
          <w:rtl w:val="0"/>
        </w:rPr>
        <w:t xml:space="preserve">Ethereum Improvement Proposals</w:t>
      </w:r>
      <w:r w:rsidDel="00000000" w:rsidR="00000000" w:rsidRPr="00000000">
        <w:rPr>
          <w:rFonts w:ascii="Times New Roman" w:cs="Times New Roman" w:eastAsia="Times New Roman" w:hAnsi="Times New Roman"/>
          <w:shd w:fill="ea9999" w:val="clear"/>
          <w:rtl w:val="0"/>
        </w:rPr>
        <w:t xml:space="preserve">.</w:t>
      </w:r>
      <w:hyperlink r:id="rId24">
        <w:r w:rsidDel="00000000" w:rsidR="00000000" w:rsidRPr="00000000">
          <w:rPr>
            <w:rFonts w:ascii="Times New Roman" w:cs="Times New Roman" w:eastAsia="Times New Roman" w:hAnsi="Times New Roman"/>
            <w:shd w:fill="ea9999" w:val="clear"/>
            <w:rtl w:val="0"/>
          </w:rPr>
          <w:t xml:space="preserve"> https://eips.ethereum.org/EIPS/eip-2929</w:t>
        </w:r>
      </w:hyperlink>
      <w:r w:rsidDel="00000000" w:rsidR="00000000" w:rsidRPr="00000000">
        <w:rPr>
          <w:rFonts w:ascii="Times New Roman" w:cs="Times New Roman" w:eastAsia="Times New Roman" w:hAnsi="Times New Roman"/>
          <w:shd w:fill="ea9999" w:val="clear"/>
          <w:rtl w:val="0"/>
        </w:rPr>
        <w:t xml:space="preserve"> </w:t>
      </w:r>
    </w:p>
    <w:p w:rsidR="00000000" w:rsidDel="00000000" w:rsidP="00000000" w:rsidRDefault="00000000" w:rsidRPr="00000000" w14:paraId="000003DA">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Bünz, B., Bootle, J., Boneh, D., Poelstra, A., Wuille, P., &amp; Maxwell, G. (2018). Bulletproofs: Short proofs for confidential transactions and more. In 2018 IEEE Symposium on Security and Privacy (pp. 315–334). IEEE. https://doi.org/10.1109/SP.2018.00020</w:t>
      </w:r>
    </w:p>
    <w:p w:rsidR="00000000" w:rsidDel="00000000" w:rsidP="00000000" w:rsidRDefault="00000000" w:rsidRPr="00000000" w14:paraId="000003DB">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Casaburi, L., &amp; Matyja, M. (2024). </w:t>
      </w:r>
      <w:r w:rsidDel="00000000" w:rsidR="00000000" w:rsidRPr="00000000">
        <w:rPr>
          <w:rFonts w:ascii="Times New Roman" w:cs="Times New Roman" w:eastAsia="Times New Roman" w:hAnsi="Times New Roman"/>
          <w:i w:val="1"/>
          <w:iCs w:val="1"/>
          <w:rtl w:val="0"/>
        </w:rPr>
        <w:t xml:space="preserve">DONAU: Tax deductible donations with privacy </w:t>
      </w:r>
      <w:r w:rsidDel="00000000" w:rsidR="00000000" w:rsidRPr="00000000">
        <w:rPr>
          <w:rFonts w:ascii="Times New Roman" w:cs="Times New Roman" w:eastAsia="Times New Roman" w:hAnsi="Times New Roman"/>
          <w:rtl w:val="0"/>
        </w:rPr>
        <w:t xml:space="preserve">(Bachelor’s thesis, Bern University of Applied Sciences).</w:t>
      </w:r>
    </w:p>
    <w:p w:rsidR="00000000" w:rsidDel="00000000" w:rsidP="00000000" w:rsidRDefault="00000000" w:rsidRPr="00000000" w14:paraId="000003DC">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Lu, H., Kunpittaya, T., &amp; Luo, A. (2023). A review of zk-SNARKs. </w:t>
      </w:r>
      <w:r w:rsidDel="00000000" w:rsidR="00000000" w:rsidRPr="00000000">
        <w:rPr>
          <w:rFonts w:ascii="Times New Roman" w:cs="Times New Roman" w:eastAsia="Times New Roman" w:hAnsi="Times New Roman"/>
          <w:i w:val="1"/>
          <w:iCs w:val="1"/>
          <w:rtl w:val="0"/>
        </w:rPr>
        <w:t xml:space="preserve">arXiv preprint arXiv:2202.06877v4</w:t>
      </w:r>
      <w:r w:rsidDel="00000000" w:rsidR="00000000" w:rsidRPr="00000000">
        <w:rPr>
          <w:rFonts w:ascii="Times New Roman" w:cs="Times New Roman" w:eastAsia="Times New Roman" w:hAnsi="Times New Roman"/>
          <w:rtl w:val="0"/>
        </w:rPr>
        <w:t xml:space="preserve">. https://arxiv.org/abs/2202.06877</w:t>
      </w:r>
    </w:p>
    <w:p w:rsidR="00000000" w:rsidDel="00000000" w:rsidP="00000000" w:rsidRDefault="00000000" w:rsidRPr="00000000" w14:paraId="000003DD">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Chiesa, A., Lehmkuhl, R., Mishra, P., &amp; Zhang, Y. (2023). EOS: Efficient private delegation of zkSNARK provers. In </w:t>
      </w:r>
      <w:r w:rsidDel="00000000" w:rsidR="00000000" w:rsidRPr="00000000">
        <w:rPr>
          <w:rFonts w:ascii="Times New Roman" w:cs="Times New Roman" w:eastAsia="Times New Roman" w:hAnsi="Times New Roman"/>
          <w:i w:val="1"/>
          <w:iCs w:val="1"/>
          <w:rtl w:val="0"/>
        </w:rPr>
        <w:t xml:space="preserve">Proceedings of the 32nd USENIX Security Symposium</w:t>
      </w:r>
      <w:r w:rsidDel="00000000" w:rsidR="00000000" w:rsidRPr="00000000">
        <w:rPr>
          <w:rFonts w:ascii="Times New Roman" w:cs="Times New Roman" w:eastAsia="Times New Roman" w:hAnsi="Times New Roman"/>
          <w:rtl w:val="0"/>
        </w:rPr>
        <w:t xml:space="preserve">. USENIX Association. https://www.usenix.org/conference/usenixsecurity23/presentation/chiesa</w:t>
      </w:r>
    </w:p>
    <w:p w:rsidR="00000000" w:rsidDel="00000000" w:rsidP="00000000" w:rsidRDefault="00000000" w:rsidRPr="00000000" w14:paraId="000003DE">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Creswell, J. W., &amp; Creswell, J. D. (2018). </w:t>
      </w:r>
      <w:r w:rsidDel="00000000" w:rsidR="00000000" w:rsidRPr="00000000">
        <w:rPr>
          <w:rFonts w:ascii="Times New Roman" w:cs="Times New Roman" w:eastAsia="Times New Roman" w:hAnsi="Times New Roman"/>
          <w:i w:val="1"/>
          <w:iCs w:val="1"/>
          <w:rtl w:val="0"/>
        </w:rPr>
        <w:t xml:space="preserve">Research design: Qualitative, quantitative, and mixed methods approaches</w:t>
      </w:r>
      <w:r w:rsidDel="00000000" w:rsidR="00000000" w:rsidRPr="00000000">
        <w:rPr>
          <w:rFonts w:ascii="Times New Roman" w:cs="Times New Roman" w:eastAsia="Times New Roman" w:hAnsi="Times New Roman"/>
          <w:rtl w:val="0"/>
        </w:rPr>
        <w:t xml:space="preserve"> (5th ed.). SAGE Publications. https://www.ucg.ac.me/skladiste/blog_609332/objava_105202/fajlovi/Creswell.pdf</w:t>
      </w:r>
    </w:p>
    <w:p w:rsidR="00000000" w:rsidDel="00000000" w:rsidP="00000000" w:rsidRDefault="00000000" w:rsidRPr="00000000" w14:paraId="000003DF">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Damgård, I., Nielsen, J. B., &amp; Aarhus University, BRICS. (2011). </w:t>
      </w:r>
      <w:r w:rsidDel="00000000" w:rsidR="00000000" w:rsidRPr="00000000">
        <w:rPr>
          <w:rFonts w:ascii="Times New Roman" w:cs="Times New Roman" w:eastAsia="Times New Roman" w:hAnsi="Times New Roman"/>
          <w:i w:val="1"/>
          <w:iCs w:val="1"/>
          <w:rtl w:val="0"/>
        </w:rPr>
        <w:t xml:space="preserve">Commitment schemes and zero-knowledge protocols</w:t>
      </w:r>
      <w:r w:rsidDel="00000000" w:rsidR="00000000" w:rsidRPr="00000000">
        <w:rPr>
          <w:rFonts w:ascii="Times New Roman" w:cs="Times New Roman" w:eastAsia="Times New Roman" w:hAnsi="Times New Roman"/>
          <w:rtl w:val="0"/>
        </w:rPr>
        <w:t xml:space="preserve">. https://homepages.cwi.nl/~schaffne/courses/crypto/2014/papers/ComZK08.pdf</w:t>
      </w:r>
    </w:p>
    <w:p w:rsidR="00000000" w:rsidDel="00000000" w:rsidP="00000000" w:rsidRDefault="00000000" w:rsidRPr="00000000" w14:paraId="000003E0">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Davies, J. (2024). Enhanced scalability and privacy for blockchain data using Merklized transactions. </w:t>
      </w:r>
      <w:r w:rsidDel="00000000" w:rsidR="00000000" w:rsidRPr="00000000">
        <w:rPr>
          <w:rFonts w:ascii="Times New Roman" w:cs="Times New Roman" w:eastAsia="Times New Roman" w:hAnsi="Times New Roman"/>
          <w:i w:val="1"/>
          <w:iCs w:val="1"/>
          <w:rtl w:val="0"/>
        </w:rPr>
        <w:t xml:space="preserve">Frontiers in Blockchain</w:t>
      </w:r>
      <w:r w:rsidDel="00000000" w:rsidR="00000000" w:rsidRPr="00000000">
        <w:rPr>
          <w:rFonts w:ascii="Times New Roman" w:cs="Times New Roman" w:eastAsia="Times New Roman" w:hAnsi="Times New Roman"/>
          <w:rtl w:val="0"/>
        </w:rPr>
        <w:t xml:space="preserve">, 6, 1222614. https://doi.org/10.3389/fbloc.2023.1222614</w:t>
      </w:r>
    </w:p>
    <w:p w:rsidR="00000000" w:rsidDel="00000000" w:rsidP="00000000" w:rsidRDefault="00000000" w:rsidRPr="00000000" w14:paraId="000003E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Diro, A., Chilamkurti, N., Sood, K., &amp; Choo, K. K. R. (2024). Leveraging zero knowledge proofs for blockchain-based identity sharing: A survey of advancements, challenges and opportunities. </w:t>
      </w:r>
      <w:r w:rsidDel="00000000" w:rsidR="00000000" w:rsidRPr="00000000">
        <w:rPr>
          <w:rFonts w:ascii="Times New Roman" w:cs="Times New Roman" w:eastAsia="Times New Roman" w:hAnsi="Times New Roman"/>
          <w:i w:val="1"/>
          <w:iCs w:val="1"/>
          <w:rtl w:val="0"/>
        </w:rPr>
        <w:t xml:space="preserve">Journal of Information Security and Applications</w:t>
      </w:r>
      <w:r w:rsidDel="00000000" w:rsidR="00000000" w:rsidRPr="00000000">
        <w:rPr>
          <w:rFonts w:ascii="Times New Roman" w:cs="Times New Roman" w:eastAsia="Times New Roman" w:hAnsi="Times New Roman"/>
          <w:rtl w:val="0"/>
        </w:rPr>
        <w:t xml:space="preserve">, 80, 103678. https://doi.org/10.1016/j.jisa.2023.103678</w:t>
      </w:r>
    </w:p>
    <w:p w:rsidR="00000000" w:rsidDel="00000000" w:rsidP="00000000" w:rsidRDefault="00000000" w:rsidRPr="00000000" w14:paraId="000003E2">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Eberhardt, J., &amp; Tai, S. (2018). ZoKrates - Scalable Privacy-Preserving Off-Chain computations. In</w:t>
      </w:r>
      <w:r w:rsidDel="00000000" w:rsidR="00000000" w:rsidRPr="00000000">
        <w:rPr>
          <w:rFonts w:ascii="Times New Roman" w:cs="Times New Roman" w:eastAsia="Times New Roman" w:hAnsi="Times New Roman"/>
          <w:i w:val="1"/>
          <w:iCs w:val="1"/>
          <w:rtl w:val="0"/>
        </w:rPr>
        <w:t xml:space="preserve"> Proceedings of the IEEE International Conference on Blockchain</w:t>
      </w:r>
      <w:r w:rsidDel="00000000" w:rsidR="00000000" w:rsidRPr="00000000">
        <w:rPr>
          <w:rFonts w:ascii="Times New Roman" w:cs="Times New Roman" w:eastAsia="Times New Roman" w:hAnsi="Times New Roman"/>
          <w:rtl w:val="0"/>
        </w:rPr>
        <w:t xml:space="preserve">, 1084–1091. https://doi.org/10.1109/cybermatics_2018.2018.00199</w:t>
      </w:r>
    </w:p>
    <w:p w:rsidR="00000000" w:rsidDel="00000000" w:rsidP="00000000" w:rsidRDefault="00000000" w:rsidRPr="00000000" w14:paraId="000003E3">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Eichlseder, M., Grassi, L., Lüftenegger, R., Øygarden, M., Rechberger, C., Schofnegger,  M., &amp; Wang, Q. (2020). An algebraic attack on ciphers with low-degree round functions: Application to full MiMC. In ASIACRYPT 2020 (LNCS, Vol. 12491, pp. 477–506). Springer. https://doi.org/10.1007/978-3-030-64837-4_16</w:t>
      </w:r>
    </w:p>
    <w:p w:rsidR="00000000" w:rsidDel="00000000" w:rsidP="00000000" w:rsidRDefault="00000000" w:rsidRPr="00000000" w14:paraId="000003E4">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Ernstberger, J., Chaliasos, S., Kadianakis, G., Steinhorst, S., Jovanovic, P., Gervais, A., Livshits, B., &amp; Orrù, M. (2023). zk-Bench: A toolset for comparative evaluation and performance benchmarking of SNARKs. </w:t>
      </w:r>
      <w:r w:rsidDel="00000000" w:rsidR="00000000" w:rsidRPr="00000000">
        <w:rPr>
          <w:rFonts w:ascii="Times New Roman" w:cs="Times New Roman" w:eastAsia="Times New Roman" w:hAnsi="Times New Roman"/>
          <w:i w:val="1"/>
          <w:iCs w:val="1"/>
          <w:rtl w:val="0"/>
        </w:rPr>
        <w:t xml:space="preserve">Cryptology ePrint Archive</w:t>
      </w:r>
      <w:r w:rsidDel="00000000" w:rsidR="00000000" w:rsidRPr="00000000">
        <w:rPr>
          <w:rFonts w:ascii="Times New Roman" w:cs="Times New Roman" w:eastAsia="Times New Roman" w:hAnsi="Times New Roman"/>
          <w:rtl w:val="0"/>
        </w:rPr>
        <w:t xml:space="preserve">, Paper 2023/1503. https://eprint.iacr.org/2023/1503</w:t>
      </w:r>
    </w:p>
    <w:p w:rsidR="00000000" w:rsidDel="00000000" w:rsidP="00000000" w:rsidRDefault="00000000" w:rsidRPr="00000000" w14:paraId="000003E5">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Ernstberger, J., Chaliasos, S., Kadianakis, G., Steinhorst, S., Jovanovic, P., Gervais, A., Livshits, B., &amp; Orrù, M. (2024). zk-Bench: A toolset for comparative evaluation and performance benchmarking of SNARKs. In C. Galdi &amp; D. H. Phan (Eds.), </w:t>
      </w:r>
      <w:r w:rsidDel="00000000" w:rsidR="00000000" w:rsidRPr="00000000">
        <w:rPr>
          <w:rFonts w:ascii="Times New Roman" w:cs="Times New Roman" w:eastAsia="Times New Roman" w:hAnsi="Times New Roman"/>
          <w:i w:val="1"/>
          <w:iCs w:val="1"/>
          <w:rtl w:val="0"/>
        </w:rPr>
        <w:t xml:space="preserve">Security and Cryptography for Networks</w:t>
      </w:r>
      <w:r w:rsidDel="00000000" w:rsidR="00000000" w:rsidRPr="00000000">
        <w:rPr>
          <w:rFonts w:ascii="Times New Roman" w:cs="Times New Roman" w:eastAsia="Times New Roman" w:hAnsi="Times New Roman"/>
          <w:rtl w:val="0"/>
        </w:rPr>
        <w:t xml:space="preserve"> (SCN 2024, LNCS, Vol. 14973). Springer. http://doi.org/10.1007/978-3-031-71070-4_3</w:t>
      </w:r>
    </w:p>
    <w:p w:rsidR="00000000" w:rsidDel="00000000" w:rsidP="00000000" w:rsidRDefault="00000000" w:rsidRPr="00000000" w14:paraId="000003E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Ethereum Foundation. (2024a). </w:t>
      </w:r>
      <w:r w:rsidDel="00000000" w:rsidR="00000000" w:rsidRPr="00000000">
        <w:rPr>
          <w:rFonts w:ascii="Times New Roman" w:cs="Times New Roman" w:eastAsia="Times New Roman" w:hAnsi="Times New Roman"/>
          <w:i w:val="1"/>
          <w:iCs w:val="1"/>
          <w:rtl w:val="0"/>
        </w:rPr>
        <w:t xml:space="preserve">Solidity documentation</w:t>
      </w:r>
      <w:r w:rsidDel="00000000" w:rsidR="00000000" w:rsidRPr="00000000">
        <w:rPr>
          <w:rFonts w:ascii="Times New Roman" w:cs="Times New Roman" w:eastAsia="Times New Roman" w:hAnsi="Times New Roman"/>
          <w:rtl w:val="0"/>
        </w:rPr>
        <w:t xml:space="preserve">. Solidity. https://docs.soliditylang.org/</w:t>
      </w:r>
    </w:p>
    <w:p w:rsidR="00000000" w:rsidDel="00000000" w:rsidP="00000000" w:rsidRDefault="00000000" w:rsidRPr="00000000" w14:paraId="000003E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Ethereum Foundation. (2024b). </w:t>
      </w:r>
      <w:r w:rsidDel="00000000" w:rsidR="00000000" w:rsidRPr="00000000">
        <w:rPr>
          <w:rFonts w:ascii="Times New Roman" w:cs="Times New Roman" w:eastAsia="Times New Roman" w:hAnsi="Times New Roman"/>
          <w:i w:val="1"/>
          <w:iCs w:val="1"/>
          <w:rtl w:val="0"/>
        </w:rPr>
        <w:t xml:space="preserve">Zero-knowledge proofs</w:t>
      </w:r>
      <w:r w:rsidDel="00000000" w:rsidR="00000000" w:rsidRPr="00000000">
        <w:rPr>
          <w:rFonts w:ascii="Times New Roman" w:cs="Times New Roman" w:eastAsia="Times New Roman" w:hAnsi="Times New Roman"/>
          <w:rtl w:val="0"/>
        </w:rPr>
        <w:t xml:space="preserve">. Ethereum.org. https://ethereum.org/zero-knowledge-proofs/</w:t>
      </w:r>
    </w:p>
    <w:p w:rsidR="00000000" w:rsidDel="00000000" w:rsidP="00000000" w:rsidRDefault="00000000" w:rsidRPr="00000000" w14:paraId="000003E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Parliament. (2024). Regulation (EU) 2024/1183 amending Regulation (EU) No 910/2014 regarding the European Digital Identity Framework.</w:t>
      </w:r>
    </w:p>
    <w:p w:rsidR="00000000" w:rsidDel="00000000" w:rsidP="00000000" w:rsidRDefault="00000000" w:rsidRPr="00000000" w14:paraId="000003E9">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Farooq, M. S., Khan, M., &amp; Abid, A. (2020). A framework to make charity collection transparent and auditable using blockchain technology. </w:t>
      </w:r>
      <w:r w:rsidDel="00000000" w:rsidR="00000000" w:rsidRPr="00000000">
        <w:rPr>
          <w:rFonts w:ascii="Times New Roman" w:cs="Times New Roman" w:eastAsia="Times New Roman" w:hAnsi="Times New Roman"/>
          <w:i w:val="1"/>
          <w:iCs w:val="1"/>
          <w:rtl w:val="0"/>
        </w:rPr>
        <w:t xml:space="preserve">Computers &amp; Electrical Engineering</w:t>
      </w:r>
      <w:r w:rsidDel="00000000" w:rsidR="00000000" w:rsidRPr="00000000">
        <w:rPr>
          <w:rFonts w:ascii="Times New Roman" w:cs="Times New Roman" w:eastAsia="Times New Roman" w:hAnsi="Times New Roman"/>
          <w:rtl w:val="0"/>
        </w:rPr>
        <w:t xml:space="preserve">, 83, 106588. https://doi.org/10.1016/j.compeleceng.2020.106588</w:t>
      </w:r>
    </w:p>
    <w:p w:rsidR="00000000" w:rsidDel="00000000" w:rsidP="00000000" w:rsidRDefault="00000000" w:rsidRPr="00000000" w14:paraId="000003E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Feist, J., Grieco, G., &amp; Groce, A. (2019). Slither: A static analysis framework for smart contracts. In </w:t>
      </w:r>
      <w:r w:rsidDel="00000000" w:rsidR="00000000" w:rsidRPr="00000000">
        <w:rPr>
          <w:rFonts w:ascii="Times New Roman" w:cs="Times New Roman" w:eastAsia="Times New Roman" w:hAnsi="Times New Roman"/>
          <w:i w:val="1"/>
          <w:iCs w:val="1"/>
          <w:rtl w:val="0"/>
        </w:rPr>
        <w:t xml:space="preserve">2019 IEEE/ACM 2nd International Workshop on Emerging Trends in Software Engineering for Blockchain (WETSEB)</w:t>
      </w:r>
      <w:r w:rsidDel="00000000" w:rsidR="00000000" w:rsidRPr="00000000">
        <w:rPr>
          <w:rFonts w:ascii="Times New Roman" w:cs="Times New Roman" w:eastAsia="Times New Roman" w:hAnsi="Times New Roman"/>
          <w:rtl w:val="0"/>
        </w:rPr>
        <w:t xml:space="preserve"> (pp. 8–15). IEEE. https://ieeexplore.ieee.org/document/8823898</w:t>
      </w:r>
    </w:p>
    <w:p w:rsidR="00000000" w:rsidDel="00000000" w:rsidP="00000000" w:rsidRDefault="00000000" w:rsidRPr="00000000" w14:paraId="000003EB">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Gabizon, A., Williamson, Z. J., &amp; Ciobotaru, O. (2025, July 17). </w:t>
      </w:r>
      <w:r w:rsidDel="00000000" w:rsidR="00000000" w:rsidRPr="00000000">
        <w:rPr>
          <w:rFonts w:ascii="Times New Roman" w:cs="Times New Roman" w:eastAsia="Times New Roman" w:hAnsi="Times New Roman"/>
          <w:i w:val="1"/>
          <w:iCs w:val="1"/>
          <w:rtl w:val="0"/>
        </w:rPr>
        <w:t xml:space="preserve">PLONK: Permutations over Lagrange-bases for Oecumenical Noninteractive arguments of Knowledge</w:t>
      </w:r>
      <w:r w:rsidDel="00000000" w:rsidR="00000000" w:rsidRPr="00000000">
        <w:rPr>
          <w:rFonts w:ascii="Times New Roman" w:cs="Times New Roman" w:eastAsia="Times New Roman" w:hAnsi="Times New Roman"/>
          <w:rtl w:val="0"/>
        </w:rPr>
        <w:t xml:space="preserve">. IACR Cryptology ePrint Archive. https://ia.cr/2019/953</w:t>
      </w:r>
    </w:p>
    <w:p w:rsidR="00000000" w:rsidDel="00000000" w:rsidP="00000000" w:rsidRDefault="00000000" w:rsidRPr="00000000" w14:paraId="000003EC">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Gangwal, A., Gangavalli, H. R., &amp; Thirupathi, A. (2022). A survey of Layer-two blockchain protocols. </w:t>
      </w:r>
      <w:r w:rsidDel="00000000" w:rsidR="00000000" w:rsidRPr="00000000">
        <w:rPr>
          <w:rFonts w:ascii="Times New Roman" w:cs="Times New Roman" w:eastAsia="Times New Roman" w:hAnsi="Times New Roman"/>
          <w:i w:val="1"/>
          <w:iCs w:val="1"/>
          <w:rtl w:val="0"/>
        </w:rPr>
        <w:t xml:space="preserve">Journal of Network and Computer Applications</w:t>
      </w:r>
      <w:r w:rsidDel="00000000" w:rsidR="00000000" w:rsidRPr="00000000">
        <w:rPr>
          <w:rFonts w:ascii="Times New Roman" w:cs="Times New Roman" w:eastAsia="Times New Roman" w:hAnsi="Times New Roman"/>
          <w:rtl w:val="0"/>
        </w:rPr>
        <w:t xml:space="preserve">, 209, 103539. https://doi.org/10.1016/j.jnca.2022.103539</w:t>
      </w:r>
    </w:p>
    <w:p w:rsidR="00000000" w:rsidDel="00000000" w:rsidP="00000000" w:rsidRDefault="00000000" w:rsidRPr="00000000" w14:paraId="000003ED">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Garg, S., Goel, A., Jain, A., Policharla, G. V., &amp; Sekar, S. (2023). zkSaaS: Zero-knowledge SNARKs as a service. In </w:t>
      </w:r>
      <w:r w:rsidDel="00000000" w:rsidR="00000000" w:rsidRPr="00000000">
        <w:rPr>
          <w:rFonts w:ascii="Times New Roman" w:cs="Times New Roman" w:eastAsia="Times New Roman" w:hAnsi="Times New Roman"/>
          <w:i w:val="1"/>
          <w:iCs w:val="1"/>
          <w:rtl w:val="0"/>
        </w:rPr>
        <w:t xml:space="preserve">Proceedings of the 32nd USENIX Security Symposium</w:t>
      </w:r>
      <w:r w:rsidDel="00000000" w:rsidR="00000000" w:rsidRPr="00000000">
        <w:rPr>
          <w:rFonts w:ascii="Times New Roman" w:cs="Times New Roman" w:eastAsia="Times New Roman" w:hAnsi="Times New Roman"/>
          <w:rtl w:val="0"/>
        </w:rPr>
        <w:t xml:space="preserve">. USENIX Association. https://www.usenix.org/conference/usenixsecurity23/presentation/garg</w:t>
      </w:r>
    </w:p>
    <w:p w:rsidR="00000000" w:rsidDel="00000000" w:rsidP="00000000" w:rsidRDefault="00000000" w:rsidRPr="00000000" w14:paraId="000003EE">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Gentry, C. (2009). Fully homomorphic encryption using ideal lattices. In Proceedings of the 41st Annual ACM Symposium on Theory of Computing (STOC '09) (pp. 169–178). ACM. https://doi.org/10.1145/1536414.1536440</w:t>
      </w:r>
    </w:p>
    <w:p w:rsidR="00000000" w:rsidDel="00000000" w:rsidP="00000000" w:rsidRDefault="00000000" w:rsidRPr="00000000" w14:paraId="000003EF">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Ghoorah, U., Mariyani-Squire, E., &amp; Zoha Amin, S. (2025). Relationships between financial transparency, trust, and performance: An examination of donors' perceptions. </w:t>
      </w:r>
      <w:r w:rsidDel="00000000" w:rsidR="00000000" w:rsidRPr="00000000">
        <w:rPr>
          <w:rFonts w:ascii="Times New Roman" w:cs="Times New Roman" w:eastAsia="Times New Roman" w:hAnsi="Times New Roman"/>
          <w:i w:val="1"/>
          <w:iCs w:val="1"/>
          <w:rtl w:val="0"/>
        </w:rPr>
        <w:t xml:space="preserve">Humanities and Social Sciences Communications</w:t>
      </w:r>
      <w:r w:rsidDel="00000000" w:rsidR="00000000" w:rsidRPr="00000000">
        <w:rPr>
          <w:rFonts w:ascii="Times New Roman" w:cs="Times New Roman" w:eastAsia="Times New Roman" w:hAnsi="Times New Roman"/>
          <w:rtl w:val="0"/>
        </w:rPr>
        <w:t xml:space="preserve">, 12, 315. https://doi.org/10.1057/s41599-025-04640-2</w:t>
      </w:r>
    </w:p>
    <w:p w:rsidR="00000000" w:rsidDel="00000000" w:rsidP="00000000" w:rsidRDefault="00000000" w:rsidRPr="00000000" w14:paraId="000003F0">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Grassi, L., Khovratovich, D., Rechberger, C., Roy, A., &amp; Schofnegger, M. (2021). Poseidon: A new hash function for zero-knowledge proof systems. In 30th USENIX Security Symposium (pp. 519–535). USENIX Association. https://www.usenix.org/conference/usenixsecurity21/presentation/grassi</w:t>
      </w:r>
    </w:p>
    <w:p w:rsidR="00000000" w:rsidDel="00000000" w:rsidP="00000000" w:rsidRDefault="00000000" w:rsidRPr="00000000" w14:paraId="000003F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Groth, J. (2016). On the size of pairing-based non-interactive arguments. In M. Fischlin &amp; J.-S. Coron (Eds.), </w:t>
      </w:r>
      <w:r w:rsidDel="00000000" w:rsidR="00000000" w:rsidRPr="00000000">
        <w:rPr>
          <w:rFonts w:ascii="Times New Roman" w:cs="Times New Roman" w:eastAsia="Times New Roman" w:hAnsi="Times New Roman"/>
          <w:i w:val="1"/>
          <w:iCs w:val="1"/>
          <w:rtl w:val="0"/>
        </w:rPr>
        <w:t xml:space="preserve">Advances in Cryptology — EUROCRYPT 2016</w:t>
      </w:r>
      <w:r w:rsidDel="00000000" w:rsidR="00000000" w:rsidRPr="00000000">
        <w:rPr>
          <w:rFonts w:ascii="Times New Roman" w:cs="Times New Roman" w:eastAsia="Times New Roman" w:hAnsi="Times New Roman"/>
          <w:rtl w:val="0"/>
        </w:rPr>
        <w:t xml:space="preserve"> (pp. 305–326). Springer. </w:t>
      </w:r>
      <w:hyperlink r:id="rId25">
        <w:r w:rsidDel="00000000" w:rsidR="00000000" w:rsidRPr="00000000">
          <w:rPr>
            <w:rFonts w:ascii="Times New Roman" w:cs="Times New Roman" w:eastAsia="Times New Roman" w:hAnsi="Times New Roman"/>
            <w:rtl w:val="0"/>
          </w:rPr>
          <w:t xml:space="preserve">https://doi.org/10.1007/978-3-662-49896-5_11</w:t>
        </w:r>
      </w:hyperlink>
      <w:r w:rsidDel="00000000" w:rsidR="00000000" w:rsidRPr="00000000">
        <w:rPr>
          <w:rtl w:val="0"/>
        </w:rPr>
      </w:r>
    </w:p>
    <w:p w:rsidR="00000000" w:rsidDel="00000000" w:rsidP="00000000" w:rsidRDefault="00000000" w:rsidRPr="00000000" w14:paraId="000003F2">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H., Yu, Z., Xie, S., Wang, Y., &amp; Zhang, C. (2024). Benchmarking ZK-friendly hash functions and SNARK proving systems for EVM-compatible blockchains. </w:t>
      </w:r>
      <w:r w:rsidDel="00000000" w:rsidR="00000000" w:rsidRPr="00000000">
        <w:rPr>
          <w:rFonts w:ascii="Times New Roman" w:cs="Times New Roman" w:eastAsia="Times New Roman" w:hAnsi="Times New Roman"/>
          <w:i w:val="1"/>
          <w:iCs w:val="1"/>
          <w:rtl w:val="0"/>
        </w:rPr>
        <w:t xml:space="preserve">arXiv preprint arXiv:2409.01976</w:t>
      </w:r>
      <w:r w:rsidDel="00000000" w:rsidR="00000000" w:rsidRPr="00000000">
        <w:rPr>
          <w:rFonts w:ascii="Times New Roman" w:cs="Times New Roman" w:eastAsia="Times New Roman" w:hAnsi="Times New Roman"/>
          <w:rtl w:val="0"/>
        </w:rPr>
        <w:t xml:space="preserve">. https://arxiv.org/abs/2409.01976</w:t>
      </w:r>
    </w:p>
    <w:p w:rsidR="00000000" w:rsidDel="00000000" w:rsidP="00000000" w:rsidRDefault="00000000" w:rsidRPr="00000000" w14:paraId="000003F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J., Ma, X., Zhang, D., et al. (2024). Supervised revocable privacy-preserving verifiable credentials. </w:t>
      </w:r>
      <w:r w:rsidDel="00000000" w:rsidR="00000000" w:rsidRPr="00000000">
        <w:rPr>
          <w:rFonts w:ascii="Times New Roman" w:cs="Times New Roman" w:eastAsia="Times New Roman" w:hAnsi="Times New Roman"/>
          <w:i w:val="1"/>
          <w:iCs w:val="1"/>
          <w:rtl w:val="0"/>
        </w:rPr>
        <w:t xml:space="preserve">Security and Safety</w:t>
      </w:r>
      <w:r w:rsidDel="00000000" w:rsidR="00000000" w:rsidRPr="00000000">
        <w:rPr>
          <w:rFonts w:ascii="Times New Roman" w:cs="Times New Roman" w:eastAsia="Times New Roman" w:hAnsi="Times New Roman"/>
          <w:rtl w:val="0"/>
        </w:rPr>
        <w:t xml:space="preserve">, 3, 2024013.</w:t>
      </w:r>
    </w:p>
    <w:p w:rsidR="00000000" w:rsidDel="00000000" w:rsidP="00000000" w:rsidRDefault="00000000" w:rsidRPr="00000000" w14:paraId="000003F4">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Heines, R., Dick, C., Pohle, C., &amp; Jung, R. (2021). The tokenization of everything: Towards a framework for understanding the potentials of tokenized assets. </w:t>
      </w:r>
      <w:r w:rsidDel="00000000" w:rsidR="00000000" w:rsidRPr="00000000">
        <w:rPr>
          <w:rFonts w:ascii="Times New Roman" w:cs="Times New Roman" w:eastAsia="Times New Roman" w:hAnsi="Times New Roman"/>
          <w:i w:val="1"/>
          <w:iCs w:val="1"/>
          <w:rtl w:val="0"/>
        </w:rPr>
        <w:t xml:space="preserve">Proceedings of the Pacific Asia Conference on Information Systems (PACIS 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5">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 Y., Mishra, P., Wang, X., Xie, J., Yang, K., Yu, Y., &amp; Zhang, Y. (2025). DFS: Delegation-friendly zkSNARK and private delegation of provers. In </w:t>
      </w:r>
      <w:r w:rsidDel="00000000" w:rsidR="00000000" w:rsidRPr="00000000">
        <w:rPr>
          <w:rFonts w:ascii="Times New Roman" w:cs="Times New Roman" w:eastAsia="Times New Roman" w:hAnsi="Times New Roman"/>
          <w:i w:val="1"/>
          <w:iCs w:val="1"/>
          <w:rtl w:val="0"/>
        </w:rPr>
        <w:t xml:space="preserve">Proceedings of the 34th USENIX Security Symposium</w:t>
      </w:r>
      <w:r w:rsidDel="00000000" w:rsidR="00000000" w:rsidRPr="00000000">
        <w:rPr>
          <w:rFonts w:ascii="Times New Roman" w:cs="Times New Roman" w:eastAsia="Times New Roman" w:hAnsi="Times New Roman"/>
          <w:rtl w:val="0"/>
        </w:rPr>
        <w:t xml:space="preserve">. USENIX Association.</w:t>
      </w:r>
    </w:p>
    <w:p w:rsidR="00000000" w:rsidDel="00000000" w:rsidP="00000000" w:rsidRDefault="00000000" w:rsidRPr="00000000" w14:paraId="000003F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iden3. (2020a). </w:t>
      </w:r>
      <w:r w:rsidDel="00000000" w:rsidR="00000000" w:rsidRPr="00000000">
        <w:rPr>
          <w:rFonts w:ascii="Times New Roman" w:cs="Times New Roman" w:eastAsia="Times New Roman" w:hAnsi="Times New Roman"/>
          <w:i w:val="1"/>
          <w:iCs w:val="1"/>
          <w:rtl w:val="0"/>
        </w:rPr>
        <w:t xml:space="preserve">Circom: Circuit compiler for zero-knowledge proofs</w:t>
      </w:r>
      <w:r w:rsidDel="00000000" w:rsidR="00000000" w:rsidRPr="00000000">
        <w:rPr>
          <w:rFonts w:ascii="Times New Roman" w:cs="Times New Roman" w:eastAsia="Times New Roman" w:hAnsi="Times New Roman"/>
          <w:rtl w:val="0"/>
        </w:rPr>
        <w:t xml:space="preserve">. GitHub. https://github.com/iden3/circom</w:t>
      </w:r>
    </w:p>
    <w:p w:rsidR="00000000" w:rsidDel="00000000" w:rsidP="00000000" w:rsidRDefault="00000000" w:rsidRPr="00000000" w14:paraId="000003F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iden3. (2020b). </w:t>
      </w:r>
      <w:r w:rsidDel="00000000" w:rsidR="00000000" w:rsidRPr="00000000">
        <w:rPr>
          <w:rFonts w:ascii="Times New Roman" w:cs="Times New Roman" w:eastAsia="Times New Roman" w:hAnsi="Times New Roman"/>
          <w:i w:val="1"/>
          <w:iCs w:val="1"/>
          <w:rtl w:val="0"/>
        </w:rPr>
        <w:t xml:space="preserve">Circomlib: Library of circom templates</w:t>
      </w:r>
      <w:r w:rsidDel="00000000" w:rsidR="00000000" w:rsidRPr="00000000">
        <w:rPr>
          <w:rFonts w:ascii="Times New Roman" w:cs="Times New Roman" w:eastAsia="Times New Roman" w:hAnsi="Times New Roman"/>
          <w:rtl w:val="0"/>
        </w:rPr>
        <w:t xml:space="preserve">. GitHub. https://github.com/iden3/circomlib</w:t>
      </w:r>
    </w:p>
    <w:p w:rsidR="00000000" w:rsidDel="00000000" w:rsidP="00000000" w:rsidRDefault="00000000" w:rsidRPr="00000000" w14:paraId="000003F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iden3. (2020c). </w:t>
      </w:r>
      <w:r w:rsidDel="00000000" w:rsidR="00000000" w:rsidRPr="00000000">
        <w:rPr>
          <w:rFonts w:ascii="Times New Roman" w:cs="Times New Roman" w:eastAsia="Times New Roman" w:hAnsi="Times New Roman"/>
          <w:i w:val="1"/>
          <w:iCs w:val="1"/>
          <w:rtl w:val="0"/>
        </w:rPr>
        <w:t xml:space="preserve">snarkjs: JavaScript implementation of zk-SNARKs</w:t>
      </w:r>
      <w:r w:rsidDel="00000000" w:rsidR="00000000" w:rsidRPr="00000000">
        <w:rPr>
          <w:rFonts w:ascii="Times New Roman" w:cs="Times New Roman" w:eastAsia="Times New Roman" w:hAnsi="Times New Roman"/>
          <w:rtl w:val="0"/>
        </w:rPr>
        <w:t xml:space="preserve">. GitHub. https://github.com/iden3/snarkjs</w:t>
      </w:r>
    </w:p>
    <w:p w:rsidR="00000000" w:rsidDel="00000000" w:rsidP="00000000" w:rsidRDefault="00000000" w:rsidRPr="00000000" w14:paraId="000003F9">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iden3. (2021). </w:t>
      </w:r>
      <w:r w:rsidDel="00000000" w:rsidR="00000000" w:rsidRPr="00000000">
        <w:rPr>
          <w:rFonts w:ascii="Times New Roman" w:cs="Times New Roman" w:eastAsia="Times New Roman" w:hAnsi="Times New Roman"/>
          <w:i w:val="1"/>
          <w:iCs w:val="1"/>
          <w:rtl w:val="0"/>
        </w:rPr>
        <w:t xml:space="preserve">RapidSNARK: Fast zkSNARK prover written in C++</w:t>
      </w:r>
      <w:r w:rsidDel="00000000" w:rsidR="00000000" w:rsidRPr="00000000">
        <w:rPr>
          <w:rFonts w:ascii="Times New Roman" w:cs="Times New Roman" w:eastAsia="Times New Roman" w:hAnsi="Times New Roman"/>
          <w:rtl w:val="0"/>
        </w:rPr>
        <w:t xml:space="preserve">. GitHub. https://github.com/iden3/rapidsnark</w:t>
      </w:r>
    </w:p>
    <w:p w:rsidR="00000000" w:rsidDel="00000000" w:rsidP="00000000" w:rsidRDefault="00000000" w:rsidRPr="00000000" w14:paraId="000003F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iden3. (2023). </w:t>
      </w:r>
      <w:r w:rsidDel="00000000" w:rsidR="00000000" w:rsidRPr="00000000">
        <w:rPr>
          <w:rFonts w:ascii="Times New Roman" w:cs="Times New Roman" w:eastAsia="Times New Roman" w:hAnsi="Times New Roman"/>
          <w:i w:val="1"/>
          <w:iCs w:val="1"/>
          <w:rtl w:val="0"/>
        </w:rPr>
        <w:t xml:space="preserve">Circom and snarkjs documentation</w:t>
      </w:r>
      <w:r w:rsidDel="00000000" w:rsidR="00000000" w:rsidRPr="00000000">
        <w:rPr>
          <w:rFonts w:ascii="Times New Roman" w:cs="Times New Roman" w:eastAsia="Times New Roman" w:hAnsi="Times New Roman"/>
          <w:rtl w:val="0"/>
        </w:rPr>
        <w:t xml:space="preserve">. iden3. https://docs.iden3.io/circom-snarkjs/</w:t>
      </w:r>
    </w:p>
    <w:p w:rsidR="00000000" w:rsidDel="00000000" w:rsidP="00000000" w:rsidRDefault="00000000" w:rsidRPr="00000000" w14:paraId="000003FB">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IOTA Foundation. (2024). </w:t>
      </w:r>
      <w:r w:rsidDel="00000000" w:rsidR="00000000" w:rsidRPr="00000000">
        <w:rPr>
          <w:rFonts w:ascii="Times New Roman" w:cs="Times New Roman" w:eastAsia="Times New Roman" w:hAnsi="Times New Roman"/>
          <w:i w:val="1"/>
          <w:iCs w:val="1"/>
          <w:rtl w:val="0"/>
        </w:rPr>
        <w:t xml:space="preserve">IOTA Identity integrates zero knowledge credentials</w:t>
      </w:r>
      <w:r w:rsidDel="00000000" w:rsidR="00000000" w:rsidRPr="00000000">
        <w:rPr>
          <w:rFonts w:ascii="Times New Roman" w:cs="Times New Roman" w:eastAsia="Times New Roman" w:hAnsi="Times New Roman"/>
          <w:rtl w:val="0"/>
        </w:rPr>
        <w:t xml:space="preserve">. IOTA Blog. https://blog.iota.org/</w:t>
      </w:r>
    </w:p>
    <w:p w:rsidR="00000000" w:rsidDel="00000000" w:rsidP="00000000" w:rsidRDefault="00000000" w:rsidRPr="00000000" w14:paraId="000003FC">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Jadhav, S., Mohite, S., &amp; Pise, N. (2025). Block chain technology-based crypto-go-charity for scholarship donation tracking platform. </w:t>
      </w:r>
      <w:r w:rsidDel="00000000" w:rsidR="00000000" w:rsidRPr="00000000">
        <w:rPr>
          <w:rFonts w:ascii="Times New Roman" w:cs="Times New Roman" w:eastAsia="Times New Roman" w:hAnsi="Times New Roman"/>
          <w:i w:val="1"/>
          <w:iCs w:val="1"/>
          <w:rtl w:val="0"/>
        </w:rPr>
        <w:t xml:space="preserve">SAGE Open</w:t>
      </w:r>
      <w:r w:rsidDel="00000000" w:rsidR="00000000" w:rsidRPr="00000000">
        <w:rPr>
          <w:rFonts w:ascii="Times New Roman" w:cs="Times New Roman" w:eastAsia="Times New Roman" w:hAnsi="Times New Roman"/>
          <w:rtl w:val="0"/>
        </w:rPr>
        <w:t xml:space="preserve">. https://doi.org/10.1177/24056456251320120</w:t>
      </w:r>
    </w:p>
    <w:p w:rsidR="00000000" w:rsidDel="00000000" w:rsidP="00000000" w:rsidRDefault="00000000" w:rsidRPr="00000000" w14:paraId="000003FD">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Y., &amp; Chalkias, K. (2021). Generalized proof of liabilities. In Proceedings of the 2021 ACM SIGSAC Conference on Computer and Communications Security (pp. 509–524). ACM. https://doi.org/10.1145/3460120.3484802</w:t>
      </w:r>
    </w:p>
    <w:p w:rsidR="00000000" w:rsidDel="00000000" w:rsidP="00000000" w:rsidRDefault="00000000" w:rsidRPr="00000000" w14:paraId="000003FE">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Karakoç, O., et al. (2024). Adaptive Merkle trees for enhanced blockchain scalability. </w:t>
      </w:r>
      <w:r w:rsidDel="00000000" w:rsidR="00000000" w:rsidRPr="00000000">
        <w:rPr>
          <w:rFonts w:ascii="Times New Roman" w:cs="Times New Roman" w:eastAsia="Times New Roman" w:hAnsi="Times New Roman"/>
          <w:i w:val="1"/>
          <w:iCs w:val="1"/>
          <w:rtl w:val="0"/>
        </w:rPr>
        <w:t xml:space="preserve">Internet of Things</w:t>
      </w:r>
      <w:r w:rsidDel="00000000" w:rsidR="00000000" w:rsidRPr="00000000">
        <w:rPr>
          <w:rFonts w:ascii="Times New Roman" w:cs="Times New Roman" w:eastAsia="Times New Roman" w:hAnsi="Times New Roman"/>
          <w:rtl w:val="0"/>
        </w:rPr>
        <w:t xml:space="preserve">, 27, 101267. </w:t>
      </w:r>
      <w:hyperlink r:id="rId26">
        <w:r w:rsidDel="00000000" w:rsidR="00000000" w:rsidRPr="00000000">
          <w:rPr>
            <w:rFonts w:ascii="Times New Roman" w:cs="Times New Roman" w:eastAsia="Times New Roman" w:hAnsi="Times New Roman"/>
            <w:rtl w:val="0"/>
          </w:rPr>
          <w:t xml:space="preserve">https://doi.org/10.1016/j.iot.2024.101315</w:t>
        </w:r>
      </w:hyperlink>
      <w:r w:rsidDel="00000000" w:rsidR="00000000" w:rsidRPr="00000000">
        <w:rPr>
          <w:rtl w:val="0"/>
        </w:rPr>
      </w:r>
    </w:p>
    <w:p w:rsidR="00000000" w:rsidDel="00000000" w:rsidP="00000000" w:rsidRDefault="00000000" w:rsidRPr="00000000" w14:paraId="000003FF">
      <w:pPr>
        <w:spacing w:after="240" w:before="240" w:line="480" w:lineRule="auto"/>
        <w:ind w:left="720"/>
        <w:rPr>
          <w:rFonts w:ascii="Times New Roman" w:cs="Times New Roman" w:eastAsia="Times New Roman" w:hAnsi="Times New Roman"/>
          <w:shd w:fill="e06666" w:val="clear"/>
        </w:rPr>
      </w:pPr>
      <w:r w:rsidDel="00000000" w:rsidR="00000000" w:rsidRPr="00000000">
        <w:rPr>
          <w:rFonts w:ascii="Times New Roman" w:cs="Times New Roman" w:eastAsia="Times New Roman" w:hAnsi="Times New Roman"/>
          <w:shd w:fill="e06666" w:val="clear"/>
          <w:rtl w:val="0"/>
        </w:rPr>
        <w:t xml:space="preserve">Koh, W. (2020). Gas and circuit constraint benchmarks of binary and quinary incremental Merkle trees using the Poseidon hash function. </w:t>
      </w:r>
      <w:r w:rsidDel="00000000" w:rsidR="00000000" w:rsidRPr="00000000">
        <w:rPr>
          <w:rFonts w:ascii="Times New Roman" w:cs="Times New Roman" w:eastAsia="Times New Roman" w:hAnsi="Times New Roman"/>
          <w:i w:val="1"/>
          <w:iCs w:val="1"/>
          <w:shd w:fill="e06666" w:val="clear"/>
          <w:rtl w:val="0"/>
        </w:rPr>
        <w:t xml:space="preserve">Ethereum Research</w:t>
      </w:r>
      <w:r w:rsidDel="00000000" w:rsidR="00000000" w:rsidRPr="00000000">
        <w:rPr>
          <w:rFonts w:ascii="Times New Roman" w:cs="Times New Roman" w:eastAsia="Times New Roman" w:hAnsi="Times New Roman"/>
          <w:shd w:fill="e06666" w:val="clear"/>
          <w:rtl w:val="0"/>
        </w:rPr>
        <w:t xml:space="preserve">.</w:t>
      </w:r>
      <w:hyperlink r:id="rId27">
        <w:r w:rsidDel="00000000" w:rsidR="00000000" w:rsidRPr="00000000">
          <w:rPr>
            <w:rFonts w:ascii="Times New Roman" w:cs="Times New Roman" w:eastAsia="Times New Roman" w:hAnsi="Times New Roman"/>
            <w:shd w:fill="e06666" w:val="clear"/>
            <w:rtl w:val="0"/>
          </w:rPr>
          <w:t xml:space="preserve"> https://ethresear.ch/t/gas-and-circuit-constraint-benchmarks-of-binary-and-quinary-incremental-merkle-trees-using-the-poseidon-hash-function/7446</w:t>
        </w:r>
      </w:hyperlink>
      <w:r w:rsidDel="00000000" w:rsidR="00000000" w:rsidRPr="00000000">
        <w:rPr>
          <w:rFonts w:ascii="Times New Roman" w:cs="Times New Roman" w:eastAsia="Times New Roman" w:hAnsi="Times New Roman"/>
          <w:shd w:fill="e06666" w:val="clear"/>
          <w:rtl w:val="0"/>
        </w:rPr>
        <w:t xml:space="preserve"> </w:t>
      </w:r>
    </w:p>
    <w:p w:rsidR="00000000" w:rsidDel="00000000" w:rsidP="00000000" w:rsidRDefault="00000000" w:rsidRPr="00000000" w14:paraId="00000400">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 et al. (2024). BECP: Blockchain enabled charity process framework for disaster relief. </w:t>
      </w:r>
      <w:r w:rsidDel="00000000" w:rsidR="00000000" w:rsidRPr="00000000">
        <w:rPr>
          <w:rFonts w:ascii="Times New Roman" w:cs="Times New Roman" w:eastAsia="Times New Roman" w:hAnsi="Times New Roman"/>
          <w:i w:val="1"/>
          <w:iCs w:val="1"/>
          <w:rtl w:val="0"/>
        </w:rPr>
        <w:t xml:space="preserve">International Research Journal of Modernization in Engineering Technology and Science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1">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O., Kanonik, D., Rusnak, A., Yezhov, A., Domin, O., &amp; Kuznetsova, K. (2024b). Adaptive Merkle trees for enhanced blockchain scalability. </w:t>
      </w:r>
      <w:r w:rsidDel="00000000" w:rsidR="00000000" w:rsidRPr="00000000">
        <w:rPr>
          <w:rFonts w:ascii="Times New Roman" w:cs="Times New Roman" w:eastAsia="Times New Roman" w:hAnsi="Times New Roman"/>
          <w:i w:val="1"/>
          <w:iCs w:val="1"/>
          <w:rtl w:val="0"/>
        </w:rPr>
        <w:t xml:space="preserve">Internet of Things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27</w:t>
      </w:r>
      <w:r w:rsidDel="00000000" w:rsidR="00000000" w:rsidRPr="00000000">
        <w:rPr>
          <w:rFonts w:ascii="Times New Roman" w:cs="Times New Roman" w:eastAsia="Times New Roman" w:hAnsi="Times New Roman"/>
          <w:rtl w:val="0"/>
        </w:rPr>
        <w:t xml:space="preserve">, 101315. https://doi.org/10.1016/j.iot.2024.101315</w:t>
      </w:r>
    </w:p>
    <w:p w:rsidR="00000000" w:rsidDel="00000000" w:rsidP="00000000" w:rsidRDefault="00000000" w:rsidRPr="00000000" w14:paraId="00000402">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O., Rusnak, A., Yezhov, A., Kuznetsova, K., Kanonik, D., &amp; Domin, O. (2024a). Merkle trees in blockchain: A study of collision probability and security implications. </w:t>
      </w:r>
      <w:r w:rsidDel="00000000" w:rsidR="00000000" w:rsidRPr="00000000">
        <w:rPr>
          <w:rFonts w:ascii="Times New Roman" w:cs="Times New Roman" w:eastAsia="Times New Roman" w:hAnsi="Times New Roman"/>
          <w:i w:val="1"/>
          <w:iCs w:val="1"/>
          <w:rtl w:val="0"/>
        </w:rPr>
        <w:t xml:space="preserve">Internet of Things</w:t>
      </w:r>
      <w:r w:rsidDel="00000000" w:rsidR="00000000" w:rsidRPr="00000000">
        <w:rPr>
          <w:rFonts w:ascii="Times New Roman" w:cs="Times New Roman" w:eastAsia="Times New Roman" w:hAnsi="Times New Roman"/>
          <w:rtl w:val="0"/>
        </w:rPr>
        <w:t xml:space="preserve">, 26, 101193. https://doi.org/10.1016/j.iot.2024.101193</w:t>
      </w:r>
    </w:p>
    <w:p w:rsidR="00000000" w:rsidDel="00000000" w:rsidP="00000000" w:rsidRDefault="00000000" w:rsidRPr="00000000" w14:paraId="0000040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J., Zhang, C., Zhang, J., &amp; Shao, Y. (2024). Research on blockchain Transaction Privacy protection methods based on deep learning. Future Internet, 16(4), 113. https://doi.org/10.3390/fi16040113</w:t>
      </w:r>
    </w:p>
    <w:p w:rsidR="00000000" w:rsidDel="00000000" w:rsidP="00000000" w:rsidRDefault="00000000" w:rsidRPr="00000000" w14:paraId="00000404">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L., Han, L., &amp; Wang, L. (2025). A privacy-preserving cross-chain cryptocurrency transfer scheme based on commitment scheme and zero-knowledge proof. </w:t>
      </w:r>
      <w:r w:rsidDel="00000000" w:rsidR="00000000" w:rsidRPr="00000000">
        <w:rPr>
          <w:rFonts w:ascii="Times New Roman" w:cs="Times New Roman" w:eastAsia="Times New Roman" w:hAnsi="Times New Roman"/>
          <w:i w:val="1"/>
          <w:iCs w:val="1"/>
          <w:rtl w:val="0"/>
        </w:rPr>
        <w:t xml:space="preserve">Computers and Electrical Engineering</w:t>
      </w:r>
      <w:r w:rsidDel="00000000" w:rsidR="00000000" w:rsidRPr="00000000">
        <w:rPr>
          <w:rFonts w:ascii="Times New Roman" w:cs="Times New Roman" w:eastAsia="Times New Roman" w:hAnsi="Times New Roman"/>
          <w:rtl w:val="0"/>
        </w:rPr>
        <w:t xml:space="preserve">, 124, 110373. https://doi.org/10.1016/j.compeleceng.2025.110373</w:t>
      </w:r>
    </w:p>
    <w:p w:rsidR="00000000" w:rsidDel="00000000" w:rsidP="00000000" w:rsidRDefault="00000000" w:rsidRPr="00000000" w14:paraId="00000405">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T., Zhou, Z., Wang, Y., Zhang, B., &amp; Yang, X. (2024). Scalable collaborative zk-SNARK: Fully distributed proof generation and malicious security. </w:t>
      </w:r>
      <w:r w:rsidDel="00000000" w:rsidR="00000000" w:rsidRPr="00000000">
        <w:rPr>
          <w:rFonts w:ascii="Times New Roman" w:cs="Times New Roman" w:eastAsia="Times New Roman" w:hAnsi="Times New Roman"/>
          <w:i w:val="1"/>
          <w:iCs w:val="1"/>
          <w:rtl w:val="0"/>
        </w:rPr>
        <w:t xml:space="preserve">Cryptology ePrint Archive</w:t>
      </w:r>
      <w:r w:rsidDel="00000000" w:rsidR="00000000" w:rsidRPr="00000000">
        <w:rPr>
          <w:rFonts w:ascii="Times New Roman" w:cs="Times New Roman" w:eastAsia="Times New Roman" w:hAnsi="Times New Roman"/>
          <w:rtl w:val="0"/>
        </w:rPr>
        <w:t xml:space="preserve">, Paper 2024/143. https://eprint.iacr.org/2024/143</w:t>
      </w:r>
    </w:p>
    <w:p w:rsidR="00000000" w:rsidDel="00000000" w:rsidP="00000000" w:rsidRDefault="00000000" w:rsidRPr="00000000" w14:paraId="0000040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X., Zhou, Z., Wang, Y., Pang, Y., He, J., Zhang, B., Yang, X., &amp; Zhang, J. (2025). Scalable collaborative zk-SNARK and its application to fully distributed proof delegation. In </w:t>
      </w:r>
      <w:r w:rsidDel="00000000" w:rsidR="00000000" w:rsidRPr="00000000">
        <w:rPr>
          <w:rFonts w:ascii="Times New Roman" w:cs="Times New Roman" w:eastAsia="Times New Roman" w:hAnsi="Times New Roman"/>
          <w:i w:val="1"/>
          <w:iCs w:val="1"/>
          <w:rtl w:val="0"/>
        </w:rPr>
        <w:t xml:space="preserve">Proceedings of the 34th USENIX Security Symposium</w:t>
      </w:r>
      <w:r w:rsidDel="00000000" w:rsidR="00000000" w:rsidRPr="00000000">
        <w:rPr>
          <w:rFonts w:ascii="Times New Roman" w:cs="Times New Roman" w:eastAsia="Times New Roman" w:hAnsi="Times New Roman"/>
          <w:rtl w:val="0"/>
        </w:rPr>
        <w:t xml:space="preserve">. USENIX Association. https://www.usenix.org/conference/usenixsecurity25/presentation/liu-xuanming</w:t>
      </w:r>
    </w:p>
    <w:p w:rsidR="00000000" w:rsidDel="00000000" w:rsidP="00000000" w:rsidRDefault="00000000" w:rsidRPr="00000000" w14:paraId="0000040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Y., He, J., Li, X., Chen, J., Liu, X., Peng, S., Cao, H., &amp; Wang, Y. (2024). An overview of blockchain smart contract execution mechanism. Journal of Industrial Information Integration, 41, 100674. https://doi.org/10.1016/j.jii.2024.100674</w:t>
      </w:r>
    </w:p>
    <w:p w:rsidR="00000000" w:rsidDel="00000000" w:rsidP="00000000" w:rsidRDefault="00000000" w:rsidRPr="00000000" w14:paraId="0000040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T., Wang, C., Wei, H., Xie, Y., Liu, X., Zhang, L., Yang, B., &amp; Yu, Y. (2023). cuZK: Accelerating zero-knowledge proof with a faster parallel multi-scalar multiplication algorithm on GPUs. </w:t>
      </w:r>
      <w:r w:rsidDel="00000000" w:rsidR="00000000" w:rsidRPr="00000000">
        <w:rPr>
          <w:rFonts w:ascii="Times New Roman" w:cs="Times New Roman" w:eastAsia="Times New Roman" w:hAnsi="Times New Roman"/>
          <w:i w:val="1"/>
          <w:iCs w:val="1"/>
          <w:rtl w:val="0"/>
        </w:rPr>
        <w:t xml:space="preserve">IACR Transactions on Cryptographic Hardware and Embedded Systems</w:t>
      </w:r>
      <w:r w:rsidDel="00000000" w:rsidR="00000000" w:rsidRPr="00000000">
        <w:rPr>
          <w:rFonts w:ascii="Times New Roman" w:cs="Times New Roman" w:eastAsia="Times New Roman" w:hAnsi="Times New Roman"/>
          <w:rtl w:val="0"/>
        </w:rPr>
        <w:t xml:space="preserve">, 2023(3), 194–220. https://tches.iacr.org/index.php/TCHES/article/view/10288</w:t>
      </w:r>
    </w:p>
    <w:p w:rsidR="00000000" w:rsidDel="00000000" w:rsidP="00000000" w:rsidRDefault="00000000" w:rsidRPr="00000000" w14:paraId="00000409">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Marchesi, L., Marchesi, M., Destefanis, G., Barabino, G., &amp; Tigano, D. (2020). Design patterns for gas optimization in Ethereum. </w:t>
      </w:r>
      <w:r w:rsidDel="00000000" w:rsidR="00000000" w:rsidRPr="00000000">
        <w:rPr>
          <w:rFonts w:ascii="Times New Roman" w:cs="Times New Roman" w:eastAsia="Times New Roman" w:hAnsi="Times New Roman"/>
          <w:i w:val="1"/>
          <w:iCs w:val="1"/>
          <w:rtl w:val="0"/>
        </w:rPr>
        <w:t xml:space="preserve">2020 IEEE International Workshop on Blockchain Oriented Software Engineering (IWBOSE)</w:t>
      </w:r>
      <w:r w:rsidDel="00000000" w:rsidR="00000000" w:rsidRPr="00000000">
        <w:rPr>
          <w:rFonts w:ascii="Times New Roman" w:cs="Times New Roman" w:eastAsia="Times New Roman" w:hAnsi="Times New Roman"/>
          <w:rtl w:val="0"/>
        </w:rPr>
        <w:t xml:space="preserve">, 9–15. https://doi.org/10.1109/IWBOSE50093.2020.9050163</w:t>
      </w:r>
    </w:p>
    <w:p w:rsidR="00000000" w:rsidDel="00000000" w:rsidP="00000000" w:rsidRDefault="00000000" w:rsidRPr="00000000" w14:paraId="0000040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Mariyam, S., et al. (2025). A blockchain-based framework for enhancing transparency and traceability in charity donations. </w:t>
      </w:r>
      <w:r w:rsidDel="00000000" w:rsidR="00000000" w:rsidRPr="00000000">
        <w:rPr>
          <w:rFonts w:ascii="Times New Roman" w:cs="Times New Roman" w:eastAsia="Times New Roman" w:hAnsi="Times New Roman"/>
          <w:i w:val="1"/>
          <w:iCs w:val="1"/>
          <w:rtl w:val="0"/>
        </w:rPr>
        <w:t xml:space="preserve">International Journal of Advanced Research in Computer Science</w:t>
      </w:r>
      <w:r w:rsidDel="00000000" w:rsidR="00000000" w:rsidRPr="00000000">
        <w:rPr>
          <w:rFonts w:ascii="Times New Roman" w:cs="Times New Roman" w:eastAsia="Times New Roman" w:hAnsi="Times New Roman"/>
          <w:rtl w:val="0"/>
        </w:rPr>
        <w:t xml:space="preserve">, 16(2), 1–10. https://doi.org/10.26483/ijarcs.v16i2.7218</w:t>
      </w:r>
    </w:p>
    <w:p w:rsidR="00000000" w:rsidDel="00000000" w:rsidP="00000000" w:rsidRDefault="00000000" w:rsidRPr="00000000" w14:paraId="0000040B">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Mohideen, M. A., &amp; Kumar, S. G. (2022). Privacy challenges and enhanced protection in blockchain using erasable ledger mechanism. In I. Jeena Jacob et al. (Eds.), </w:t>
      </w:r>
      <w:r w:rsidDel="00000000" w:rsidR="00000000" w:rsidRPr="00000000">
        <w:rPr>
          <w:rFonts w:ascii="Times New Roman" w:cs="Times New Roman" w:eastAsia="Times New Roman" w:hAnsi="Times New Roman"/>
          <w:i w:val="1"/>
          <w:iCs w:val="1"/>
          <w:rtl w:val="0"/>
        </w:rPr>
        <w:t xml:space="preserve">Expert Clouds and Applications</w:t>
      </w:r>
      <w:r w:rsidDel="00000000" w:rsidR="00000000" w:rsidRPr="00000000">
        <w:rPr>
          <w:rFonts w:ascii="Times New Roman" w:cs="Times New Roman" w:eastAsia="Times New Roman" w:hAnsi="Times New Roman"/>
          <w:rtl w:val="0"/>
        </w:rPr>
        <w:t xml:space="preserve"> (pp. 173–186). Springer. https://link.springer.com/chapter/10.1007/978-981-16-2126-0_16</w:t>
      </w:r>
    </w:p>
    <w:p w:rsidR="00000000" w:rsidDel="00000000" w:rsidP="00000000" w:rsidRDefault="00000000" w:rsidRPr="00000000" w14:paraId="0000040C">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Myers, G. J., Sandler, C., &amp; Badgett, T. (2012). </w:t>
      </w:r>
      <w:r w:rsidDel="00000000" w:rsidR="00000000" w:rsidRPr="00000000">
        <w:rPr>
          <w:rFonts w:ascii="Times New Roman" w:cs="Times New Roman" w:eastAsia="Times New Roman" w:hAnsi="Times New Roman"/>
          <w:i w:val="1"/>
          <w:iCs w:val="1"/>
          <w:rtl w:val="0"/>
        </w:rPr>
        <w:t xml:space="preserve">The art of software testing</w:t>
      </w:r>
      <w:r w:rsidDel="00000000" w:rsidR="00000000" w:rsidRPr="00000000">
        <w:rPr>
          <w:rFonts w:ascii="Times New Roman" w:cs="Times New Roman" w:eastAsia="Times New Roman" w:hAnsi="Times New Roman"/>
          <w:rtl w:val="0"/>
        </w:rPr>
        <w:t xml:space="preserve"> (3rd ed.). John Wiley &amp; Sons.</w:t>
      </w:r>
    </w:p>
    <w:p w:rsidR="00000000" w:rsidDel="00000000" w:rsidP="00000000" w:rsidRDefault="00000000" w:rsidRPr="00000000" w14:paraId="0000040D">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Nairi, C., Cicioglu, M., &amp; Calhan, A. (2024). Smart blockchain networks: Revolutionizing donation tracking in the Web 3.0. </w:t>
      </w:r>
      <w:r w:rsidDel="00000000" w:rsidR="00000000" w:rsidRPr="00000000">
        <w:rPr>
          <w:rFonts w:ascii="Times New Roman" w:cs="Times New Roman" w:eastAsia="Times New Roman" w:hAnsi="Times New Roman"/>
          <w:i w:val="1"/>
          <w:iCs w:val="1"/>
          <w:rtl w:val="0"/>
        </w:rPr>
        <w:t xml:space="preserve">Computer Communications</w:t>
      </w:r>
      <w:r w:rsidDel="00000000" w:rsidR="00000000" w:rsidRPr="00000000">
        <w:rPr>
          <w:rFonts w:ascii="Times New Roman" w:cs="Times New Roman" w:eastAsia="Times New Roman" w:hAnsi="Times New Roman"/>
          <w:rtl w:val="0"/>
        </w:rPr>
        <w:t xml:space="preserve">, 228, 107972. https://doi.org/10.1016/j.comcom.2024.107972</w:t>
      </w:r>
    </w:p>
    <w:p w:rsidR="00000000" w:rsidDel="00000000" w:rsidP="00000000" w:rsidRDefault="00000000" w:rsidRPr="00000000" w14:paraId="0000040E">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T. T. T., Le, H. A., &amp; Doan, X. V. (2023). Optimizing Merkle tree structure for blockchain transactions by a DC programming approach. In N. T. Nguyen et al. (Eds.), </w:t>
      </w:r>
      <w:r w:rsidDel="00000000" w:rsidR="00000000" w:rsidRPr="00000000">
        <w:rPr>
          <w:rFonts w:ascii="Times New Roman" w:cs="Times New Roman" w:eastAsia="Times New Roman" w:hAnsi="Times New Roman"/>
          <w:i w:val="1"/>
          <w:iCs w:val="1"/>
          <w:rtl w:val="0"/>
        </w:rPr>
        <w:t xml:space="preserve">Computational Collective Intelligence. ICCCI 2023</w:t>
      </w:r>
      <w:r w:rsidDel="00000000" w:rsidR="00000000" w:rsidRPr="00000000">
        <w:rPr>
          <w:rFonts w:ascii="Times New Roman" w:cs="Times New Roman" w:eastAsia="Times New Roman" w:hAnsi="Times New Roman"/>
          <w:rtl w:val="0"/>
        </w:rPr>
        <w:t xml:space="preserve"> (pp. 403–416). Springer. https://link.springer.com/chapter/10.1007/978-3-031-41456-5_31</w:t>
      </w:r>
    </w:p>
    <w:p w:rsidR="00000000" w:rsidDel="00000000" w:rsidP="00000000" w:rsidRDefault="00000000" w:rsidRPr="00000000" w14:paraId="0000040F">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 N., &amp; Zhu, Y. (2023). Enabling zero knowledge proof by accelerating zk-SNARK kernels on GPU. </w:t>
      </w:r>
      <w:r w:rsidDel="00000000" w:rsidR="00000000" w:rsidRPr="00000000">
        <w:rPr>
          <w:rFonts w:ascii="Times New Roman" w:cs="Times New Roman" w:eastAsia="Times New Roman" w:hAnsi="Times New Roman"/>
          <w:i w:val="1"/>
          <w:iCs w:val="1"/>
          <w:rtl w:val="0"/>
        </w:rPr>
        <w:t xml:space="preserve">Journal of Parallel and Distributed Computing</w:t>
      </w:r>
      <w:r w:rsidDel="00000000" w:rsidR="00000000" w:rsidRPr="00000000">
        <w:rPr>
          <w:rFonts w:ascii="Times New Roman" w:cs="Times New Roman" w:eastAsia="Times New Roman" w:hAnsi="Times New Roman"/>
          <w:rtl w:val="0"/>
        </w:rPr>
        <w:t xml:space="preserve">, 173, 20–31. https://doi.org/10.1016/j.jpdc.2022.10.009</w:t>
      </w:r>
    </w:p>
    <w:p w:rsidR="00000000" w:rsidDel="00000000" w:rsidP="00000000" w:rsidRDefault="00000000" w:rsidRPr="00000000" w14:paraId="00000410">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Nielsen, J. (2000). </w:t>
      </w:r>
      <w:r w:rsidDel="00000000" w:rsidR="00000000" w:rsidRPr="00000000">
        <w:rPr>
          <w:rFonts w:ascii="Times New Roman" w:cs="Times New Roman" w:eastAsia="Times New Roman" w:hAnsi="Times New Roman"/>
          <w:i w:val="1"/>
          <w:iCs w:val="1"/>
          <w:rtl w:val="0"/>
        </w:rPr>
        <w:t xml:space="preserve">Why you only need to test with 5 users</w:t>
      </w:r>
      <w:r w:rsidDel="00000000" w:rsidR="00000000" w:rsidRPr="00000000">
        <w:rPr>
          <w:rFonts w:ascii="Times New Roman" w:cs="Times New Roman" w:eastAsia="Times New Roman" w:hAnsi="Times New Roman"/>
          <w:rtl w:val="0"/>
        </w:rPr>
        <w:t xml:space="preserve">. Nielsen Norman Group. https://www.nngroup.com/articles/why-you-only-need-to-test-with-5-users/</w:t>
      </w:r>
    </w:p>
    <w:p w:rsidR="00000000" w:rsidDel="00000000" w:rsidP="00000000" w:rsidRDefault="00000000" w:rsidRPr="00000000" w14:paraId="0000041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Nomic Foundation. (2024). </w:t>
      </w:r>
      <w:r w:rsidDel="00000000" w:rsidR="00000000" w:rsidRPr="00000000">
        <w:rPr>
          <w:rFonts w:ascii="Times New Roman" w:cs="Times New Roman" w:eastAsia="Times New Roman" w:hAnsi="Times New Roman"/>
          <w:i w:val="1"/>
          <w:iCs w:val="1"/>
          <w:rtl w:val="0"/>
        </w:rPr>
        <w:t xml:space="preserve">Hardhat documentation</w:t>
      </w:r>
      <w:r w:rsidDel="00000000" w:rsidR="00000000" w:rsidRPr="00000000">
        <w:rPr>
          <w:rFonts w:ascii="Times New Roman" w:cs="Times New Roman" w:eastAsia="Times New Roman" w:hAnsi="Times New Roman"/>
          <w:rtl w:val="0"/>
        </w:rPr>
        <w:t xml:space="preserve">. Hardhat. https://hardhat.org/docs</w:t>
      </w:r>
    </w:p>
    <w:p w:rsidR="00000000" w:rsidDel="00000000" w:rsidP="00000000" w:rsidRDefault="00000000" w:rsidRPr="00000000" w14:paraId="00000412">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Odoom, J., et al. (2023). Privacy preservation for transaction initiators: A key-commitment approach. </w:t>
      </w:r>
      <w:r w:rsidDel="00000000" w:rsidR="00000000" w:rsidRPr="00000000">
        <w:rPr>
          <w:rFonts w:ascii="Times New Roman" w:cs="Times New Roman" w:eastAsia="Times New Roman" w:hAnsi="Times New Roman"/>
          <w:i w:val="1"/>
          <w:iCs w:val="1"/>
          <w:rtl w:val="0"/>
        </w:rPr>
        <w:t xml:space="preserve">Computer Science</w:t>
      </w:r>
      <w:r w:rsidDel="00000000" w:rsidR="00000000" w:rsidRPr="00000000">
        <w:rPr>
          <w:rFonts w:ascii="Times New Roman" w:cs="Times New Roman" w:eastAsia="Times New Roman" w:hAnsi="Times New Roman"/>
          <w:rtl w:val="0"/>
        </w:rPr>
        <w:t xml:space="preserve">, 24(1), 75–100. https://doi.org/10.7494/csci.2023.24.1.4643</w:t>
      </w:r>
    </w:p>
    <w:p w:rsidR="00000000" w:rsidDel="00000000" w:rsidP="00000000" w:rsidRDefault="00000000" w:rsidRPr="00000000" w14:paraId="0000041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OpenZeppelin. (2024). </w:t>
      </w:r>
      <w:r w:rsidDel="00000000" w:rsidR="00000000" w:rsidRPr="00000000">
        <w:rPr>
          <w:rFonts w:ascii="Times New Roman" w:cs="Times New Roman" w:eastAsia="Times New Roman" w:hAnsi="Times New Roman"/>
          <w:i w:val="1"/>
          <w:iCs w:val="1"/>
          <w:rtl w:val="0"/>
        </w:rPr>
        <w:t xml:space="preserve">MerkleProof: Solidity library for verifying Merkle proofs</w:t>
      </w:r>
      <w:r w:rsidDel="00000000" w:rsidR="00000000" w:rsidRPr="00000000">
        <w:rPr>
          <w:rFonts w:ascii="Times New Roman" w:cs="Times New Roman" w:eastAsia="Times New Roman" w:hAnsi="Times New Roman"/>
          <w:rtl w:val="0"/>
        </w:rPr>
        <w:t xml:space="preserve">. OpenZeppelin Contracts Documentation. https://docs.openzeppelin.com/contracts/5.x/api/utils#MerkleProof</w:t>
      </w:r>
    </w:p>
    <w:p w:rsidR="00000000" w:rsidDel="00000000" w:rsidP="00000000" w:rsidRDefault="00000000" w:rsidRPr="00000000" w14:paraId="00000414">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Orbiter Finance. (2024). Orbiter rollup SDK: Cross-rollup bridge using zero-knowledge proofs. GitHub. https://github.com/Orbiter-Finance</w:t>
      </w:r>
    </w:p>
    <w:p w:rsidR="00000000" w:rsidDel="00000000" w:rsidP="00000000" w:rsidRDefault="00000000" w:rsidRPr="00000000" w14:paraId="00000415">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Oude Roelink, B., &amp; Bianchi, A. (2024). Evaluating the efficiency of zk-SNARK, zk-STARK, and Bulletproof in real-world scenarios: A benchmark study. </w:t>
      </w:r>
      <w:r w:rsidDel="00000000" w:rsidR="00000000" w:rsidRPr="00000000">
        <w:rPr>
          <w:rFonts w:ascii="Times New Roman" w:cs="Times New Roman" w:eastAsia="Times New Roman" w:hAnsi="Times New Roman"/>
          <w:i w:val="1"/>
          <w:iCs w:val="1"/>
          <w:rtl w:val="0"/>
        </w:rPr>
        <w:t xml:space="preserve">Information</w:t>
      </w:r>
      <w:r w:rsidDel="00000000" w:rsidR="00000000" w:rsidRPr="00000000">
        <w:rPr>
          <w:rFonts w:ascii="Times New Roman" w:cs="Times New Roman" w:eastAsia="Times New Roman" w:hAnsi="Times New Roman"/>
          <w:rtl w:val="0"/>
        </w:rPr>
        <w:t xml:space="preserve">, 15(8), 463. https://doi.org/10.3390/info15080463</w:t>
      </w:r>
    </w:p>
    <w:p w:rsidR="00000000" w:rsidDel="00000000" w:rsidP="00000000" w:rsidRDefault="00000000" w:rsidRPr="00000000" w14:paraId="0000041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Ozdemir, A., &amp; Boneh, D. (2022). Experimenting with collaborative zk-SNARKs: Zero-knowledge proofs for distributed secrets. In </w:t>
      </w:r>
      <w:r w:rsidDel="00000000" w:rsidR="00000000" w:rsidRPr="00000000">
        <w:rPr>
          <w:rFonts w:ascii="Times New Roman" w:cs="Times New Roman" w:eastAsia="Times New Roman" w:hAnsi="Times New Roman"/>
          <w:i w:val="1"/>
          <w:iCs w:val="1"/>
          <w:rtl w:val="0"/>
        </w:rPr>
        <w:t xml:space="preserve">Proceedings of the 31st USENIX Security Symposium</w:t>
      </w:r>
      <w:r w:rsidDel="00000000" w:rsidR="00000000" w:rsidRPr="00000000">
        <w:rPr>
          <w:rFonts w:ascii="Times New Roman" w:cs="Times New Roman" w:eastAsia="Times New Roman" w:hAnsi="Times New Roman"/>
          <w:rtl w:val="0"/>
        </w:rPr>
        <w:t xml:space="preserve"> (pp. 4291–4308). USENIX Association. https://www.usenix.org/conference/usenixsecurity22/presentation/ozdemir</w:t>
      </w:r>
    </w:p>
    <w:p w:rsidR="00000000" w:rsidDel="00000000" w:rsidP="00000000" w:rsidRDefault="00000000" w:rsidRPr="00000000" w14:paraId="0000041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Pedersen, T. P. (1991). Non-interactive and information-theoretic secure verifiable secret sharing. In J. Feigenbaum (Ed.), </w:t>
      </w:r>
      <w:r w:rsidDel="00000000" w:rsidR="00000000" w:rsidRPr="00000000">
        <w:rPr>
          <w:rFonts w:ascii="Times New Roman" w:cs="Times New Roman" w:eastAsia="Times New Roman" w:hAnsi="Times New Roman"/>
          <w:i w:val="1"/>
          <w:iCs w:val="1"/>
          <w:rtl w:val="0"/>
        </w:rPr>
        <w:t xml:space="preserve">Advances in Cryptology — CRYPTO '91</w:t>
      </w:r>
      <w:r w:rsidDel="00000000" w:rsidR="00000000" w:rsidRPr="00000000">
        <w:rPr>
          <w:rFonts w:ascii="Times New Roman" w:cs="Times New Roman" w:eastAsia="Times New Roman" w:hAnsi="Times New Roman"/>
          <w:rtl w:val="0"/>
        </w:rPr>
        <w:t xml:space="preserve"> (pp. 129–140). Springer. https://link.springer.com/chapter/10.1007/3-540-46766-1_9</w:t>
      </w:r>
    </w:p>
    <w:p w:rsidR="00000000" w:rsidDel="00000000" w:rsidP="00000000" w:rsidRDefault="00000000" w:rsidRPr="00000000" w14:paraId="0000041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Pham, H. H., Nguyen, V. K., &amp; Nguyen, T. (2025). Optimization methods for Merkle tree in blockchain. In C. Sombattheera et al. (Eds.), </w:t>
      </w:r>
      <w:r w:rsidDel="00000000" w:rsidR="00000000" w:rsidRPr="00000000">
        <w:rPr>
          <w:rFonts w:ascii="Times New Roman" w:cs="Times New Roman" w:eastAsia="Times New Roman" w:hAnsi="Times New Roman"/>
          <w:i w:val="1"/>
          <w:iCs w:val="1"/>
          <w:rtl w:val="0"/>
        </w:rPr>
        <w:t xml:space="preserve">Multi-disciplinary Trends in Artificial Intelligence. MIWAI 2024</w:t>
      </w:r>
      <w:r w:rsidDel="00000000" w:rsidR="00000000" w:rsidRPr="00000000">
        <w:rPr>
          <w:rFonts w:ascii="Times New Roman" w:cs="Times New Roman" w:eastAsia="Times New Roman" w:hAnsi="Times New Roman"/>
          <w:rtl w:val="0"/>
        </w:rPr>
        <w:t xml:space="preserve"> (pp. 127–139). Springer. https://link.springer.com/chapter/10.1007/978-981-96-0695-5_11</w:t>
      </w:r>
    </w:p>
    <w:p w:rsidR="00000000" w:rsidDel="00000000" w:rsidP="00000000" w:rsidRDefault="00000000" w:rsidRPr="00000000" w14:paraId="00000419">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QuickNode. (2024). </w:t>
      </w:r>
      <w:r w:rsidDel="00000000" w:rsidR="00000000" w:rsidRPr="00000000">
        <w:rPr>
          <w:rFonts w:ascii="Times New Roman" w:cs="Times New Roman" w:eastAsia="Times New Roman" w:hAnsi="Times New Roman"/>
          <w:i w:val="1"/>
          <w:iCs w:val="1"/>
          <w:rtl w:val="0"/>
        </w:rPr>
        <w:t xml:space="preserve">What is keccak256? Ethereum hashing explained</w:t>
      </w:r>
      <w:r w:rsidDel="00000000" w:rsidR="00000000" w:rsidRPr="00000000">
        <w:rPr>
          <w:rFonts w:ascii="Times New Roman" w:cs="Times New Roman" w:eastAsia="Times New Roman" w:hAnsi="Times New Roman"/>
          <w:rtl w:val="0"/>
        </w:rPr>
        <w:t xml:space="preserve">. Developer Documentation. https://www.quicknode.com/</w:t>
      </w:r>
    </w:p>
    <w:p w:rsidR="00000000" w:rsidDel="00000000" w:rsidP="00000000" w:rsidRDefault="00000000" w:rsidRPr="00000000" w14:paraId="0000041A">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Rangone, A., &amp; Busolli, L. (2021). Managing charity 4.0 with blockchain: A case study at the time of Covid-19. </w:t>
      </w:r>
      <w:r w:rsidDel="00000000" w:rsidR="00000000" w:rsidRPr="00000000">
        <w:rPr>
          <w:rFonts w:ascii="Times New Roman" w:cs="Times New Roman" w:eastAsia="Times New Roman" w:hAnsi="Times New Roman"/>
          <w:i w:val="1"/>
          <w:iCs w:val="1"/>
          <w:rtl w:val="0"/>
        </w:rPr>
        <w:t xml:space="preserve">International Review on Public and Nonprofit Marketing</w:t>
      </w:r>
      <w:r w:rsidDel="00000000" w:rsidR="00000000" w:rsidRPr="00000000">
        <w:rPr>
          <w:rFonts w:ascii="Times New Roman" w:cs="Times New Roman" w:eastAsia="Times New Roman" w:hAnsi="Times New Roman"/>
          <w:rtl w:val="0"/>
        </w:rPr>
        <w:t xml:space="preserve">, 18(4), 491–521. https://doi.org/10.1007/s12208-021-00281-8</w:t>
      </w:r>
    </w:p>
    <w:p w:rsidR="00000000" w:rsidDel="00000000" w:rsidP="00000000" w:rsidRDefault="00000000" w:rsidRPr="00000000" w14:paraId="0000041B">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Richey, R. C., &amp; Klein, J. D. (2007). </w:t>
      </w:r>
      <w:r w:rsidDel="00000000" w:rsidR="00000000" w:rsidRPr="00000000">
        <w:rPr>
          <w:rFonts w:ascii="Times New Roman" w:cs="Times New Roman" w:eastAsia="Times New Roman" w:hAnsi="Times New Roman"/>
          <w:i w:val="1"/>
          <w:iCs w:val="1"/>
          <w:rtl w:val="0"/>
        </w:rPr>
        <w:t xml:space="preserve">Design and Development Research: Methods, strategies, and issues</w:t>
      </w:r>
      <w:r w:rsidDel="00000000" w:rsidR="00000000" w:rsidRPr="00000000">
        <w:rPr>
          <w:rFonts w:ascii="Times New Roman" w:cs="Times New Roman" w:eastAsia="Times New Roman" w:hAnsi="Times New Roman"/>
          <w:rtl w:val="0"/>
        </w:rPr>
        <w:t xml:space="preserve">. http://bvbr.bib-bvb.de:8991/F?func=service&amp;doc_library=BVB01&amp;local_base=BVB01&amp;doc_number=016241365&amp;sequence=000002&amp;line_number=0001&amp;func_code=DB_RECORDS&amp;service_type=MEDIA</w:t>
      </w:r>
    </w:p>
    <w:p w:rsidR="00000000" w:rsidDel="00000000" w:rsidP="00000000" w:rsidRDefault="00000000" w:rsidRPr="00000000" w14:paraId="0000041C">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S., Johny, J., Mol, L., Khandare, M., &amp; V, K. (2025). BECP: Blockchain Enabled Charity Process Framework for Effective Donation Management during Disasters. </w:t>
      </w:r>
      <w:r w:rsidDel="00000000" w:rsidR="00000000" w:rsidRPr="00000000">
        <w:rPr>
          <w:rFonts w:ascii="Times New Roman" w:cs="Times New Roman" w:eastAsia="Times New Roman" w:hAnsi="Times New Roman"/>
          <w:i w:val="1"/>
          <w:iCs w:val="1"/>
          <w:rtl w:val="0"/>
        </w:rPr>
        <w:t xml:space="preserve">International Research Journal of Multidisciplinary Scope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06</w:t>
      </w:r>
      <w:r w:rsidDel="00000000" w:rsidR="00000000" w:rsidRPr="00000000">
        <w:rPr>
          <w:rFonts w:ascii="Times New Roman" w:cs="Times New Roman" w:eastAsia="Times New Roman" w:hAnsi="Times New Roman"/>
          <w:rtl w:val="0"/>
        </w:rPr>
        <w:t xml:space="preserve">(02), 516–532. https://doi.org/10.47857/irjms.2025.v06i02.03133</w:t>
      </w:r>
    </w:p>
    <w:p w:rsidR="00000000" w:rsidDel="00000000" w:rsidP="00000000" w:rsidRDefault="00000000" w:rsidRPr="00000000" w14:paraId="0000041D">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Sauro, J. (2011). </w:t>
      </w:r>
      <w:r w:rsidDel="00000000" w:rsidR="00000000" w:rsidRPr="00000000">
        <w:rPr>
          <w:rFonts w:ascii="Times New Roman" w:cs="Times New Roman" w:eastAsia="Times New Roman" w:hAnsi="Times New Roman"/>
          <w:i w:val="1"/>
          <w:iCs w:val="1"/>
          <w:rtl w:val="0"/>
        </w:rPr>
        <w:t xml:space="preserve">A practical guide to the System Usability Scale: Background, benchmarks &amp; best practices</w:t>
      </w:r>
      <w:r w:rsidDel="00000000" w:rsidR="00000000" w:rsidRPr="00000000">
        <w:rPr>
          <w:rFonts w:ascii="Times New Roman" w:cs="Times New Roman" w:eastAsia="Times New Roman" w:hAnsi="Times New Roman"/>
          <w:rtl w:val="0"/>
        </w:rPr>
        <w:t xml:space="preserve">. Measuring Usability LLC.</w:t>
      </w:r>
    </w:p>
    <w:p w:rsidR="00000000" w:rsidDel="00000000" w:rsidP="00000000" w:rsidRDefault="00000000" w:rsidRPr="00000000" w14:paraId="0000041E">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Sharmin, S., Arefin, M. S., Dhar, P. K., Sultana, Z., &amp; Akter, S. (2025). A scalable and privacy-preserving hybrid blockchain architecture for secure healthcare data management. </w:t>
      </w:r>
      <w:r w:rsidDel="00000000" w:rsidR="00000000" w:rsidRPr="00000000">
        <w:rPr>
          <w:rFonts w:ascii="Times New Roman" w:cs="Times New Roman" w:eastAsia="Times New Roman" w:hAnsi="Times New Roman"/>
          <w:i w:val="1"/>
          <w:iCs w:val="1"/>
          <w:rtl w:val="0"/>
        </w:rPr>
        <w:t xml:space="preserve">International Journal of Advanced Computer Science and Applications</w:t>
      </w:r>
      <w:r w:rsidDel="00000000" w:rsidR="00000000" w:rsidRPr="00000000">
        <w:rPr>
          <w:rFonts w:ascii="Times New Roman" w:cs="Times New Roman" w:eastAsia="Times New Roman" w:hAnsi="Times New Roman"/>
          <w:rtl w:val="0"/>
        </w:rPr>
        <w:t xml:space="preserve">, 16(8). https://doi.org/10.14569/ijacsa.2025.0160895</w:t>
      </w:r>
    </w:p>
    <w:p w:rsidR="00000000" w:rsidDel="00000000" w:rsidP="00000000" w:rsidRDefault="00000000" w:rsidRPr="00000000" w14:paraId="0000041F">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Shashidhara, R. (2025). Promise of zero-knowledge proofs for blockchain privacy and security: Opportunities, challenges, and future directions. </w:t>
      </w:r>
      <w:r w:rsidDel="00000000" w:rsidR="00000000" w:rsidRPr="00000000">
        <w:rPr>
          <w:rFonts w:ascii="Times New Roman" w:cs="Times New Roman" w:eastAsia="Times New Roman" w:hAnsi="Times New Roman"/>
          <w:i w:val="1"/>
          <w:iCs w:val="1"/>
          <w:rtl w:val="0"/>
        </w:rPr>
        <w:t xml:space="preserve">Security and Privacy</w:t>
      </w:r>
      <w:r w:rsidDel="00000000" w:rsidR="00000000" w:rsidRPr="00000000">
        <w:rPr>
          <w:rFonts w:ascii="Times New Roman" w:cs="Times New Roman" w:eastAsia="Times New Roman" w:hAnsi="Times New Roman"/>
          <w:rtl w:val="0"/>
        </w:rPr>
        <w:t xml:space="preserve">, e461. https://doi.org/10.1002/spy2.461</w:t>
      </w:r>
    </w:p>
    <w:p w:rsidR="00000000" w:rsidDel="00000000" w:rsidP="00000000" w:rsidRDefault="00000000" w:rsidRPr="00000000" w14:paraId="00000420">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A., Rajak, R., Mistry, H., &amp; Raut, P. (2020). Aid, charity and donation tracking system using blockchain. </w:t>
      </w:r>
      <w:r w:rsidDel="00000000" w:rsidR="00000000" w:rsidRPr="00000000">
        <w:rPr>
          <w:rFonts w:ascii="Times New Roman" w:cs="Times New Roman" w:eastAsia="Times New Roman" w:hAnsi="Times New Roman"/>
          <w:i w:val="1"/>
          <w:iCs w:val="1"/>
          <w:rtl w:val="0"/>
        </w:rPr>
        <w:t xml:space="preserve">2020 4th International Conference on Trends in Electronics and Informatics (ICOEI)(48184)</w:t>
      </w:r>
      <w:r w:rsidDel="00000000" w:rsidR="00000000" w:rsidRPr="00000000">
        <w:rPr>
          <w:rFonts w:ascii="Times New Roman" w:cs="Times New Roman" w:eastAsia="Times New Roman" w:hAnsi="Times New Roman"/>
          <w:rtl w:val="0"/>
        </w:rPr>
        <w:t xml:space="preserve">, 457–462. https://doi.org/10.1109/icoei48184.2020.9143001</w:t>
      </w:r>
    </w:p>
    <w:p w:rsidR="00000000" w:rsidDel="00000000" w:rsidP="00000000" w:rsidRDefault="00000000" w:rsidRPr="00000000" w14:paraId="00000421">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 J., Bock, G.-W., &amp; Kim, H.-M. (2023). Effect of blockchain-based donation system on trustworthiness of NPOs. </w:t>
      </w:r>
      <w:r w:rsidDel="00000000" w:rsidR="00000000" w:rsidRPr="00000000">
        <w:rPr>
          <w:rFonts w:ascii="Times New Roman" w:cs="Times New Roman" w:eastAsia="Times New Roman" w:hAnsi="Times New Roman"/>
          <w:i w:val="1"/>
          <w:iCs w:val="1"/>
          <w:rtl w:val="0"/>
        </w:rPr>
        <w:t xml:space="preserve">Information &amp; Management</w:t>
      </w:r>
      <w:r w:rsidDel="00000000" w:rsidR="00000000" w:rsidRPr="00000000">
        <w:rPr>
          <w:rFonts w:ascii="Times New Roman" w:cs="Times New Roman" w:eastAsia="Times New Roman" w:hAnsi="Times New Roman"/>
          <w:rtl w:val="0"/>
        </w:rPr>
        <w:t xml:space="preserve">, 60(5), 103812. https://doi.org/10.1016/j.im.2023.103812</w:t>
      </w:r>
    </w:p>
    <w:p w:rsidR="00000000" w:rsidDel="00000000" w:rsidP="00000000" w:rsidRDefault="00000000" w:rsidRPr="00000000" w14:paraId="00000422">
      <w:pPr>
        <w:spacing w:after="12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 of Bits. (2023). Circomspect: A static analysis tool for Circom ZKP circuits. GitHub. https://github.com/trailofbits/circomspect</w:t>
      </w:r>
    </w:p>
    <w:p w:rsidR="00000000" w:rsidDel="00000000" w:rsidP="00000000" w:rsidRDefault="00000000" w:rsidRPr="00000000" w14:paraId="00000423">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Trotter, L., Harding, M., Elsden, C., Davies, N., &amp; Speed, C. (2020). A mobile platform for event-driven donations using smart contracts. In </w:t>
      </w:r>
      <w:r w:rsidDel="00000000" w:rsidR="00000000" w:rsidRPr="00000000">
        <w:rPr>
          <w:rFonts w:ascii="Times New Roman" w:cs="Times New Roman" w:eastAsia="Times New Roman" w:hAnsi="Times New Roman"/>
          <w:i w:val="1"/>
          <w:iCs w:val="1"/>
          <w:rtl w:val="0"/>
        </w:rPr>
        <w:t xml:space="preserve">Proceedings of the 22nd International Conference on Human-Computer Interaction with Mobile Devices and Services (MobileHCI ’20)</w:t>
      </w:r>
      <w:r w:rsidDel="00000000" w:rsidR="00000000" w:rsidRPr="00000000">
        <w:rPr>
          <w:rFonts w:ascii="Times New Roman" w:cs="Times New Roman" w:eastAsia="Times New Roman" w:hAnsi="Times New Roman"/>
          <w:rtl w:val="0"/>
        </w:rPr>
        <w:t xml:space="preserve">. ACM. https://doi.org/10.1145/3379503.3405660</w:t>
      </w:r>
    </w:p>
    <w:p w:rsidR="00000000" w:rsidDel="00000000" w:rsidP="00000000" w:rsidRDefault="00000000" w:rsidRPr="00000000" w14:paraId="00000424">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Vacca, A., Di Sorbo, A., Visaggio, C. A., &amp; Canfora, G. (2021). A systematic literature review of blockchain and smart contract development: Techniques, tools, and open challenges. </w:t>
      </w:r>
      <w:r w:rsidDel="00000000" w:rsidR="00000000" w:rsidRPr="00000000">
        <w:rPr>
          <w:rFonts w:ascii="Times New Roman" w:cs="Times New Roman" w:eastAsia="Times New Roman" w:hAnsi="Times New Roman"/>
          <w:i w:val="1"/>
          <w:iCs w:val="1"/>
          <w:rtl w:val="0"/>
        </w:rPr>
        <w:t xml:space="preserve">Journal of Systems and Software</w:t>
      </w:r>
      <w:r w:rsidDel="00000000" w:rsidR="00000000" w:rsidRPr="00000000">
        <w:rPr>
          <w:rFonts w:ascii="Times New Roman" w:cs="Times New Roman" w:eastAsia="Times New Roman" w:hAnsi="Times New Roman"/>
          <w:rtl w:val="0"/>
        </w:rPr>
        <w:t xml:space="preserve">, 174, 110891. https://doi.org/10.1016/j.jss.2020.110891</w:t>
      </w:r>
    </w:p>
    <w:p w:rsidR="00000000" w:rsidDel="00000000" w:rsidP="00000000" w:rsidRDefault="00000000" w:rsidRPr="00000000" w14:paraId="00000425">
      <w:pPr>
        <w:spacing w:after="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Vogelsteller, F., &amp; Buterin, V. (2015, November 19). </w:t>
      </w:r>
      <w:r w:rsidDel="00000000" w:rsidR="00000000" w:rsidRPr="00000000">
        <w:rPr>
          <w:rFonts w:ascii="Times New Roman" w:cs="Times New Roman" w:eastAsia="Times New Roman" w:hAnsi="Times New Roman"/>
          <w:i w:val="1"/>
          <w:iCs w:val="1"/>
          <w:rtl w:val="0"/>
        </w:rPr>
        <w:t xml:space="preserve">ERC-20: Token Standard</w:t>
      </w:r>
      <w:r w:rsidDel="00000000" w:rsidR="00000000" w:rsidRPr="00000000">
        <w:rPr>
          <w:rFonts w:ascii="Times New Roman" w:cs="Times New Roman" w:eastAsia="Times New Roman" w:hAnsi="Times New Roman"/>
          <w:rtl w:val="0"/>
        </w:rPr>
        <w:t xml:space="preserve">. Ethereum Improvement Proposals. Retrieved February 2, 2026, from https://eips.ethereum.org/EIPS/eip-20</w:t>
      </w:r>
    </w:p>
    <w:p w:rsidR="00000000" w:rsidDel="00000000" w:rsidP="00000000" w:rsidRDefault="00000000" w:rsidRPr="00000000" w14:paraId="00000426">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H., &amp; Zhu, X. (2020). Developing a reliable service system of charity donation during the COVID-19 outbreak.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8, 154848–154860. https://doi.org/10.1109/access.2020.3017654</w:t>
      </w:r>
    </w:p>
    <w:p w:rsidR="00000000" w:rsidDel="00000000" w:rsidP="00000000" w:rsidRDefault="00000000" w:rsidRPr="00000000" w14:paraId="00000427">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J. (2025). </w:t>
      </w:r>
      <w:r w:rsidDel="00000000" w:rsidR="00000000" w:rsidRPr="00000000">
        <w:rPr>
          <w:rFonts w:ascii="Times New Roman" w:cs="Times New Roman" w:eastAsia="Times New Roman" w:hAnsi="Times New Roman"/>
          <w:i w:val="1"/>
          <w:iCs w:val="1"/>
          <w:rtl w:val="0"/>
        </w:rPr>
        <w:t xml:space="preserve">Efficient zero-knowledge proofs: Theory and practice</w:t>
      </w:r>
      <w:r w:rsidDel="00000000" w:rsidR="00000000" w:rsidRPr="00000000">
        <w:rPr>
          <w:rFonts w:ascii="Times New Roman" w:cs="Times New Roman" w:eastAsia="Times New Roman" w:hAnsi="Times New Roman"/>
          <w:rtl w:val="0"/>
        </w:rPr>
        <w:t xml:space="preserve"> (Doctoral dissertation). University of California, Berkeley. https://www2.eecs.berkeley.edu/Pubs/TechRpts/2025/EECS-2025-20.pdf</w:t>
      </w:r>
    </w:p>
    <w:p w:rsidR="00000000" w:rsidDel="00000000" w:rsidP="00000000" w:rsidRDefault="00000000" w:rsidRPr="00000000" w14:paraId="00000428">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J., Ma, S., Zhou, Y., Hong, Z., Fang, J., &amp; Tang, H. (2024). Study on data storage and verification methods based on improved Merkle mountain range in IoT scenarios. </w:t>
      </w:r>
      <w:r w:rsidDel="00000000" w:rsidR="00000000" w:rsidRPr="00000000">
        <w:rPr>
          <w:rFonts w:ascii="Times New Roman" w:cs="Times New Roman" w:eastAsia="Times New Roman" w:hAnsi="Times New Roman"/>
          <w:i w:val="1"/>
          <w:iCs w:val="1"/>
          <w:rtl w:val="0"/>
        </w:rPr>
        <w:t xml:space="preserve">Journal of King Saud University - Computer and Information Sciences</w:t>
      </w:r>
      <w:r w:rsidDel="00000000" w:rsidR="00000000" w:rsidRPr="00000000">
        <w:rPr>
          <w:rFonts w:ascii="Times New Roman" w:cs="Times New Roman" w:eastAsia="Times New Roman" w:hAnsi="Times New Roman"/>
          <w:rtl w:val="0"/>
        </w:rPr>
        <w:t xml:space="preserve">, 36(6), 102117. https://doi.org/10.1016/j.jksuci.2024.102117</w:t>
      </w:r>
    </w:p>
    <w:p w:rsidR="00000000" w:rsidDel="00000000" w:rsidP="00000000" w:rsidRDefault="00000000" w:rsidRPr="00000000" w14:paraId="00000429">
      <w:pPr>
        <w:spacing w:after="240" w:before="240"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zkga.me. (2021). </w:t>
      </w:r>
      <w:r w:rsidDel="00000000" w:rsidR="00000000" w:rsidRPr="00000000">
        <w:rPr>
          <w:rFonts w:ascii="Times New Roman" w:cs="Times New Roman" w:eastAsia="Times New Roman" w:hAnsi="Times New Roman"/>
          <w:i w:val="1"/>
          <w:iCs w:val="1"/>
          <w:rtl w:val="0"/>
        </w:rPr>
        <w:t xml:space="preserve">Zero-knowledge proofs for engineers: Introduction</w:t>
      </w:r>
      <w:r w:rsidDel="00000000" w:rsidR="00000000" w:rsidRPr="00000000">
        <w:rPr>
          <w:rFonts w:ascii="Times New Roman" w:cs="Times New Roman" w:eastAsia="Times New Roman" w:hAnsi="Times New Roman"/>
          <w:rtl w:val="0"/>
        </w:rPr>
        <w:t xml:space="preserve">. Dark Forest Blog. https://blog.zkga.me/intro-to-zksnarks</w:t>
      </w:r>
    </w:p>
    <w:p w:rsidR="00000000" w:rsidDel="00000000" w:rsidP="00000000" w:rsidRDefault="00000000" w:rsidRPr="00000000" w14:paraId="0000042A">
      <w:pPr>
        <w:spacing w:after="0" w:line="480" w:lineRule="auto"/>
        <w:ind w:left="63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spacing w:after="0" w:line="480" w:lineRule="auto"/>
        <w:ind w:left="630" w:hanging="630"/>
        <w:jc w:val="both"/>
        <w:rPr>
          <w:rFonts w:ascii="Times New Roman" w:cs="Times New Roman" w:eastAsia="Times New Roman" w:hAnsi="Times New Roman"/>
        </w:rPr>
        <w:sectPr>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42D">
      <w:pPr>
        <w:spacing w:after="0" w:line="480" w:lineRule="auto"/>
        <w:ind w:left="630" w:hanging="63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after="0" w:line="480" w:lineRule="auto"/>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0" w:line="48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120" w:before="200" w:line="360" w:lineRule="auto"/>
      <w:jc w:val="both"/>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gif"/><Relationship Id="rId22" Type="http://schemas.openxmlformats.org/officeDocument/2006/relationships/image" Target="media/image9.gif"/><Relationship Id="rId21" Type="http://schemas.openxmlformats.org/officeDocument/2006/relationships/image" Target="media/image4.gif"/><Relationship Id="rId24" Type="http://schemas.openxmlformats.org/officeDocument/2006/relationships/hyperlink" Target="https://eips.ethereum.org/EIPS/eip-2929" TargetMode="External"/><Relationship Id="rId23" Type="http://schemas.openxmlformats.org/officeDocument/2006/relationships/hyperlink" Target="https://doi.org/10.3390/computers140401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1016/j.iot.2024.101315" TargetMode="External"/><Relationship Id="rId25" Type="http://schemas.openxmlformats.org/officeDocument/2006/relationships/hyperlink" Target="https://doi.org/10.1007/978-3-662-49896-5_11" TargetMode="External"/><Relationship Id="rId27" Type="http://schemas.openxmlformats.org/officeDocument/2006/relationships/hyperlink" Target="https://ethresear.ch/t/gas-and-circuit-constraint-benchmarks-of-binary-and-quinary-incremental-merkle-trees-using-the-poseidon-hash-function/744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0.gif"/><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5.gif"/><Relationship Id="rId16" Type="http://schemas.openxmlformats.org/officeDocument/2006/relationships/image" Target="media/image2.png"/><Relationship Id="rId19" Type="http://schemas.openxmlformats.org/officeDocument/2006/relationships/image" Target="media/image7.gif"/><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fNRANxFlV8+nP/e8jsHMIp8w==">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0x0101005F5D67D295B6D346B7600E0580C7425E</vt:lpwstr>
  </property>
</Properties>
</file>