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88"/>
          <w:szCs w:val="88"/>
        </w:rPr>
        <w:t xml:space="preserve"/>
      </w:r>
    </w:p>
    <w:p>
      <w:pPr>
        <w:spacing w:before="0" w:after="80"/>
        <w:jc w:val="center"/>
      </w:pPr>
      <w:r>
        <w:rPr>
          <w:rFonts w:ascii="Arial" w:cs="Arial" w:eastAsia="Arial" w:hAnsi="Arial"/>
          <w:b/>
          <w:bCs/>
          <w:color w:val="1A3C6E"/>
          <w:sz w:val="72"/>
          <w:szCs w:val="72"/>
        </w:rPr>
        <w:t xml:space="preserve">SYSTEMEX</w:t>
      </w:r>
    </w:p>
    <w:p>
      <w:pPr>
        <w:spacing w:before="0" w:after="200"/>
        <w:jc w:val="center"/>
      </w:pPr>
      <w:r>
        <w:rPr>
          <w:rFonts w:ascii="Arial" w:cs="Arial" w:eastAsia="Arial" w:hAnsi="Arial"/>
          <w:b/>
          <w:bCs/>
          <w:color w:val="2E75B6"/>
          <w:sz w:val="48"/>
          <w:szCs w:val="48"/>
        </w:rPr>
        <w:t xml:space="preserve">ECOSYSTEM TOKEN</w:t>
      </w:r>
    </w:p>
    <w:p>
      <w:pPr>
        <w:pBdr>
          <w:bottom w:val="single" w:color="00A86B" w:sz="6" w:space="1"/>
        </w:pBdr>
        <w:spacing w:before="0" w:after="300"/>
        <w:jc w:val="center"/>
      </w:pPr>
      <w:r>
        <w:t xml:space="preserve"/>
      </w:r>
    </w:p>
    <w:p>
      <w:pPr>
        <w:spacing w:before="0" w:after="0"/>
      </w:pPr>
      <w:r>
        <w:rPr>
          <w:sz w:val="44"/>
          <w:szCs w:val="44"/>
        </w:rPr>
        <w:t xml:space="preserve"/>
      </w:r>
    </w:p>
    <w:p>
      <w:pPr>
        <w:spacing w:before="0" w:after="120"/>
        <w:jc w:val="center"/>
      </w:pPr>
      <w:r>
        <w:rPr>
          <w:rFonts w:ascii="Arial" w:cs="Arial" w:eastAsia="Arial" w:hAnsi="Arial"/>
          <w:b/>
          <w:bCs/>
          <w:color w:val="00A86B"/>
          <w:sz w:val="32"/>
          <w:szCs w:val="32"/>
        </w:rPr>
        <w:t xml:space="preserve">WHITEPAPER v1.0</w:t>
      </w:r>
    </w:p>
    <w:p>
      <w:pPr>
        <w:spacing w:before="0" w:after="80"/>
        <w:jc w:val="center"/>
      </w:pPr>
      <w:r>
        <w:rPr>
          <w:rFonts w:ascii="Arial" w:cs="Arial" w:eastAsia="Arial" w:hAnsi="Arial"/>
          <w:i/>
          <w:iCs/>
          <w:color w:val="1A1A2E"/>
          <w:sz w:val="28"/>
          <w:szCs w:val="28"/>
        </w:rPr>
        <w:t xml:space="preserve">Plataforma de Tokenización de Activos Reales</w:t>
      </w:r>
    </w:p>
    <w:p>
      <w:pPr>
        <w:spacing w:before="0" w:after="80"/>
        <w:jc w:val="center"/>
      </w:pPr>
      <w:r>
        <w:rPr>
          <w:rFonts w:ascii="Arial" w:cs="Arial" w:eastAsia="Arial" w:hAnsi="Arial"/>
          <w:color w:val="1A1A2E"/>
          <w:sz w:val="24"/>
          <w:szCs w:val="24"/>
        </w:rPr>
        <w:t xml:space="preserve">Cursos Online · Bienes Raíces · E-Commerce</w:t>
      </w:r>
    </w:p>
    <w:p>
      <w:pPr>
        <w:spacing w:before="0" w:after="0"/>
      </w:pPr>
      <w:r>
        <w:rPr>
          <w:sz w:val="132"/>
          <w:szCs w:val="132"/>
        </w:rPr>
        <w:t xml:space="preserve"/>
      </w:r>
    </w:p>
    <w:p>
      <w:pPr>
        <w:spacing w:before="0" w:after="60"/>
        <w:jc w:val="center"/>
      </w:pPr>
      <w:r>
        <w:rPr>
          <w:rFonts w:ascii="Arial" w:cs="Arial" w:eastAsia="Arial" w:hAnsi="Arial"/>
          <w:b/>
          <w:bCs/>
          <w:color w:val="2E75B6"/>
          <w:sz w:val="24"/>
          <w:szCs w:val="24"/>
        </w:rPr>
        <w:t xml:space="preserve">systemex.com.ar</w:t>
      </w:r>
    </w:p>
    <w:p>
      <w:pPr>
        <w:spacing w:before="0" w:after="60"/>
        <w:jc w:val="center"/>
      </w:pPr>
      <w:r>
        <w:rPr>
          <w:rFonts w:ascii="Arial" w:cs="Arial" w:eastAsia="Arial" w:hAnsi="Arial"/>
          <w:color w:val="1A1A2E"/>
          <w:sz w:val="22"/>
          <w:szCs w:val="22"/>
        </w:rPr>
        <w:t xml:space="preserve">@ExeAndino  |  Solana Blockchain</w:t>
      </w:r>
    </w:p>
    <w:p>
      <w:pPr>
        <w:spacing w:before="0" w:after="60"/>
        <w:jc w:val="center"/>
      </w:pPr>
      <w:r>
        <w:rPr>
          <w:rFonts w:ascii="Arial" w:cs="Arial" w:eastAsia="Arial" w:hAnsi="Arial"/>
          <w:i/>
          <w:iCs/>
          <w:color w:val="1A1A2E"/>
          <w:sz w:val="22"/>
          <w:szCs w:val="22"/>
        </w:rPr>
        <w:t xml:space="preserve">Febrero 2026</w:t>
      </w:r>
    </w:p>
    <w:p>
      <w:r>
        <w:br w:type="page"/>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C6E"/>
          <w:sz w:val="36"/>
          <w:szCs w:val="36"/>
        </w:rPr>
        <w:t xml:space="preserve">1. Resumen Ejecutivo</w:t>
      </w:r>
    </w:p>
    <w:p>
      <w:pPr>
        <w:pBdr>
          <w:bottom w:val="single" w:color="2E75B6" w:sz="4" w:space="1"/>
        </w:pBdr>
        <w:spacing w:before="200" w:after="200"/>
      </w:pPr>
      <w:r>
        <w:t xml:space="preserve"/>
      </w:r>
    </w:p>
    <w:p>
      <w:pPr>
        <w:spacing w:before="80" w:after="80"/>
        <w:jc w:val="both"/>
      </w:pPr>
      <w:r>
        <w:rPr>
          <w:rFonts w:ascii="Arial" w:cs="Arial" w:eastAsia="Arial" w:hAnsi="Arial"/>
          <w:b w:val="false"/>
          <w:bCs w:val="false"/>
          <w:i w:val="false"/>
          <w:iCs w:val="false"/>
          <w:color w:val="1A1A2E"/>
          <w:sz w:val="22"/>
          <w:szCs w:val="22"/>
        </w:rPr>
        <w:t xml:space="preserve">Systemex es una plataforma blockchain construida sobre Solana que integra tres verticales de negocio en un único ecosistema tokenizado: tokenización de activos inmobiliarios reales (RWA), acceso a cursos y formación online, y e-commerce. El token nativo SYSTEMEX (ticker: SYSTEMEX) es la unidad de valor que conecta todas las capas del ecosistema.</w:t>
      </w:r>
    </w:p>
    <w:p>
      <w:pPr>
        <w:spacing w:before="0" w:after="0"/>
      </w:pPr>
      <w:r>
        <w:rPr>
          <w:sz w:val="22"/>
          <w:szCs w:val="22"/>
        </w:rPr>
        <w:t xml:space="preserve"/>
      </w:r>
    </w:p>
    <w:p>
      <w:pPr>
        <w:spacing w:before="80" w:after="80"/>
        <w:jc w:val="both"/>
      </w:pPr>
      <w:r>
        <w:rPr>
          <w:rFonts w:ascii="Arial" w:cs="Arial" w:eastAsia="Arial" w:hAnsi="Arial"/>
          <w:b w:val="false"/>
          <w:bCs w:val="false"/>
          <w:i w:val="false"/>
          <w:iCs w:val="false"/>
          <w:color w:val="1A1A2E"/>
          <w:sz w:val="22"/>
          <w:szCs w:val="22"/>
        </w:rPr>
        <w:t xml:space="preserve">La plataforma opera bajo un modelo de doble beneficio: los holders reciben retornos pasivos derivados de los activos inmobiliarios tokenizados y, simultáneamente, acceso a descuentos, membresías y governance sobre la plataforma educativa y comercial. Esto diferencia a SYSTEMEX de los tokens puramente especulativos, dotándolo de utilidad real y flujos de valor tangibles desde el primer día.</w:t>
      </w:r>
    </w:p>
    <w:p>
      <w:pPr>
        <w:spacing w:before="0" w:after="0"/>
      </w:pPr>
      <w:r>
        <w:rPr>
          <w:sz w:val="22"/>
          <w:szCs w:val="22"/>
        </w:rPr>
        <w:t xml:space="preserve"/>
      </w:r>
    </w:p>
    <w:p>
      <w:pPr>
        <w:spacing w:before="80" w:after="80"/>
        <w:jc w:val="both"/>
      </w:pPr>
      <w:r>
        <w:rPr>
          <w:rFonts w:ascii="Arial" w:cs="Arial" w:eastAsia="Arial" w:hAnsi="Arial"/>
          <w:b w:val="false"/>
          <w:bCs w:val="false"/>
          <w:i w:val="false"/>
          <w:iCs w:val="false"/>
          <w:color w:val="1A1A2E"/>
          <w:sz w:val="22"/>
          <w:szCs w:val="22"/>
        </w:rPr>
        <w:t xml:space="preserve">Argentina atraviesa un momento histórico para la tokenización de activos reales: la CNV aprobó el régimen completo para tokenizar activos desde diciembre de 2025, el mercado latinoamericano de RWA proyecta superar los USD 10.000 millones en 2026, y la adopción de blockchain en el sector inmobiliario crece exponencialmente. Systemex está posicionado para capturar esta oportunidad desde Argentina hacia el mundo.</w:t>
      </w:r>
    </w:p>
    <w:p>
      <w:pPr>
        <w:spacing w:before="0" w:after="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E8F4FD" w:val="clear"/>
            <w:tcMar>
              <w:top w:type="dxa" w:w="160"/>
              <w:left w:type="dxa" w:w="240"/>
              <w:bottom w:type="dxa" w:w="160"/>
              <w:right w:type="dxa" w:w="240"/>
            </w:tcMar>
          </w:tcPr>
          <w:p>
            <w:pPr>
              <w:spacing w:before="60" w:after="80"/>
            </w:pPr>
            <w:r>
              <w:rPr>
                <w:rFonts w:ascii="Arial" w:cs="Arial" w:eastAsia="Arial" w:hAnsi="Arial"/>
                <w:b/>
                <w:bCs/>
                <w:color w:val="1A3C6E"/>
                <w:sz w:val="24"/>
                <w:szCs w:val="24"/>
              </w:rPr>
              <w:t xml:space="preserve">Datos Clave del Token</w:t>
            </w:r>
          </w:p>
          <w:p>
            <w:pPr>
              <w:spacing w:before="40" w:after="40"/>
            </w:pPr>
            <w:r>
              <w:rPr>
                <w:rFonts w:ascii="Arial" w:cs="Arial" w:eastAsia="Arial" w:hAnsi="Arial"/>
                <w:color w:val="1A1A2E"/>
                <w:sz w:val="22"/>
                <w:szCs w:val="22"/>
              </w:rPr>
              <w:t xml:space="preserve">Nombre: Systemex Ecosystem Token</w:t>
            </w:r>
          </w:p>
          <w:p>
            <w:pPr>
              <w:spacing w:before="40" w:after="40"/>
            </w:pPr>
            <w:r>
              <w:rPr>
                <w:rFonts w:ascii="Arial" w:cs="Arial" w:eastAsia="Arial" w:hAnsi="Arial"/>
                <w:color w:val="1A1A2E"/>
                <w:sz w:val="22"/>
                <w:szCs w:val="22"/>
              </w:rPr>
              <w:t xml:space="preserve">Ticker: SYSTEMEX</w:t>
            </w:r>
          </w:p>
          <w:p>
            <w:pPr>
              <w:spacing w:before="40" w:after="40"/>
            </w:pPr>
            <w:r>
              <w:rPr>
                <w:rFonts w:ascii="Arial" w:cs="Arial" w:eastAsia="Arial" w:hAnsi="Arial"/>
                <w:color w:val="1A1A2E"/>
                <w:sz w:val="22"/>
                <w:szCs w:val="22"/>
              </w:rPr>
              <w:t xml:space="preserve">Blockchain: Solana (SPL Token)</w:t>
            </w:r>
          </w:p>
          <w:p>
            <w:pPr>
              <w:spacing w:before="40" w:after="40"/>
            </w:pPr>
            <w:r>
              <w:rPr>
                <w:rFonts w:ascii="Arial" w:cs="Arial" w:eastAsia="Arial" w:hAnsi="Arial"/>
                <w:color w:val="1A1A2E"/>
                <w:sz w:val="22"/>
                <w:szCs w:val="22"/>
              </w:rPr>
              <w:t xml:space="preserve">Supply total: 1,000,000,000 SYSTEMEX</w:t>
            </w:r>
          </w:p>
          <w:p>
            <w:pPr>
              <w:spacing w:before="40" w:after="40"/>
            </w:pPr>
            <w:r>
              <w:rPr>
                <w:rFonts w:ascii="Arial" w:cs="Arial" w:eastAsia="Arial" w:hAnsi="Arial"/>
                <w:color w:val="1A1A2E"/>
                <w:sz w:val="22"/>
                <w:szCs w:val="22"/>
              </w:rPr>
              <w:t xml:space="preserve">Mint Address: FhhS9QQX5t7JEFHg5Egqq8YNU23NJpQdrSyUTMejwGqt</w:t>
            </w:r>
          </w:p>
          <w:p>
            <w:pPr>
              <w:spacing w:before="40" w:after="40"/>
            </w:pPr>
            <w:r>
              <w:rPr>
                <w:rFonts w:ascii="Arial" w:cs="Arial" w:eastAsia="Arial" w:hAnsi="Arial"/>
                <w:color w:val="1A1A2E"/>
                <w:sz w:val="22"/>
                <w:szCs w:val="22"/>
              </w:rPr>
              <w:t xml:space="preserve">Precio de listing: USD 0.0001 por token</w:t>
            </w:r>
          </w:p>
          <w:p>
            <w:pPr>
              <w:spacing w:before="40" w:after="40"/>
            </w:pPr>
            <w:r>
              <w:rPr>
                <w:rFonts w:ascii="Arial" w:cs="Arial" w:eastAsia="Arial" w:hAnsi="Arial"/>
                <w:color w:val="1A1A2E"/>
                <w:sz w:val="22"/>
                <w:szCs w:val="22"/>
              </w:rPr>
              <w:t xml:space="preserve">Market Cap inicial: ~USD 100,000 (circulante)</w:t>
            </w:r>
          </w:p>
          <w:p>
            <w:pPr>
              <w:spacing w:before="40" w:after="40"/>
            </w:pPr>
            <w:r>
              <w:rPr>
                <w:rFonts w:ascii="Arial" w:cs="Arial" w:eastAsia="Arial" w:hAnsi="Arial"/>
                <w:color w:val="1A1A2E"/>
                <w:sz w:val="22"/>
                <w:szCs w:val="22"/>
              </w:rPr>
              <w:t xml:space="preserve">Sitio web: systemex.com.ar</w:t>
            </w:r>
          </w:p>
        </w:tc>
      </w:tr>
    </w:tbl>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2. Problema y Solución</w:t>
      </w:r>
    </w:p>
    <w:p>
      <w:pPr>
        <w:pBdr>
          <w:bottom w:val="single" w:color="2E75B6" w:sz="4"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2.1 El problema</w:t>
      </w:r>
    </w:p>
    <w:p>
      <w:pPr>
        <w:spacing w:before="80" w:after="80"/>
        <w:jc w:val="both"/>
      </w:pPr>
      <w:r>
        <w:rPr>
          <w:rFonts w:ascii="Arial" w:cs="Arial" w:eastAsia="Arial" w:hAnsi="Arial"/>
          <w:b w:val="false"/>
          <w:bCs w:val="false"/>
          <w:i w:val="false"/>
          <w:iCs w:val="false"/>
          <w:color w:val="1A1A2E"/>
          <w:sz w:val="22"/>
          <w:szCs w:val="22"/>
        </w:rPr>
        <w:t xml:space="preserve">Los mercados inmobiliarios tradicionales en Argentina y Latinoamérica presentan barreras de entrada históricamente altas: se requiere capital significativo para invertir en propiedades, los procesos son lentos y burocráticos, la liquidez es prácticamente nula una vez invertido el capital, y el acceso está restringido a inversores de alto patrimonio.</w:t>
      </w:r>
    </w:p>
    <w:p>
      <w:pPr>
        <w:spacing w:before="0" w:after="0"/>
      </w:pPr>
      <w:r>
        <w:rPr>
          <w:sz w:val="22"/>
          <w:szCs w:val="22"/>
        </w:rPr>
        <w:t xml:space="preserve"/>
      </w:r>
    </w:p>
    <w:p>
      <w:pPr>
        <w:spacing w:before="80" w:after="80"/>
        <w:jc w:val="both"/>
      </w:pPr>
      <w:r>
        <w:rPr>
          <w:rFonts w:ascii="Arial" w:cs="Arial" w:eastAsia="Arial" w:hAnsi="Arial"/>
          <w:b w:val="false"/>
          <w:bCs w:val="false"/>
          <w:i w:val="false"/>
          <w:iCs w:val="false"/>
          <w:color w:val="1A1A2E"/>
          <w:sz w:val="22"/>
          <w:szCs w:val="22"/>
        </w:rPr>
        <w:t xml:space="preserve">Por otro lado, el conocimiento y la formación de calidad permanecen inaccesibles para gran parte de la población debido a costos elevados, y los modelos de fidelización en e-commerce son genéricos e ineficientes.</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2.2 La solución Systemex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Problema</w:t>
            </w:r>
          </w:p>
        </w:tc>
        <w:tc>
          <w:tcPr>
            <w:tcW w:type="dxa" w:w="312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Vertical Systemex</w:t>
            </w:r>
          </w:p>
        </w:tc>
        <w:tc>
          <w:tcPr>
            <w:tcW w:type="dxa" w:w="312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Solución</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Inversión inmobiliaria inaccesible</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RWA Tokenización</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Fracciones desde USD 1</w:t>
            </w:r>
          </w:p>
        </w:tc>
      </w:tr>
      <w:tr>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Sin liquidez en propiedades</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DEX Raydium</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Venta de tokens 24/7</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Rentas solo para grandes inversores</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Smart Contracts</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Distribución automática en USDC</w:t>
            </w:r>
          </w:p>
        </w:tc>
      </w:tr>
      <w:tr>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Cursos caros y sin incentivos</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Plataforma Educativa</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Descuentos y acceso con token</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E-commerce sin fidelización real</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Ecosistema Token</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Cashback y membresías on-chain</w:t>
            </w:r>
          </w:p>
        </w:tc>
      </w:tr>
      <w:tr>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Opacidad en inversiones</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Blockchain Solana</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Trazabilidad total y pública</w:t>
            </w:r>
          </w:p>
        </w:tc>
      </w:tr>
    </w:tbl>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3. El Ecosistema Systemex</w:t>
      </w:r>
    </w:p>
    <w:p>
      <w:pPr>
        <w:pBdr>
          <w:bottom w:val="single" w:color="2E75B6" w:sz="4"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3.1 Vertical 1 — Tokenización Inmobiliaria (RWA)</w:t>
      </w:r>
    </w:p>
    <w:p>
      <w:pPr>
        <w:spacing w:before="80" w:after="80"/>
        <w:jc w:val="both"/>
      </w:pPr>
      <w:r>
        <w:rPr>
          <w:rFonts w:ascii="Arial" w:cs="Arial" w:eastAsia="Arial" w:hAnsi="Arial"/>
          <w:b w:val="false"/>
          <w:bCs w:val="false"/>
          <w:i w:val="false"/>
          <w:iCs w:val="false"/>
          <w:color w:val="1A1A2E"/>
          <w:sz w:val="22"/>
          <w:szCs w:val="22"/>
        </w:rPr>
        <w:t xml:space="preserve">La tokenización de activos reales (Real World Assets) es el proceso de representar la propiedad fraccionada de un bien inmueble mediante tokens en blockchain. Cada propiedad ingresada a la plataforma Systemex es sometida a un proceso de due diligence, valuación y estructuración legal antes de ser tokenizada.</w:t>
      </w:r>
    </w:p>
    <w:p>
      <w:pPr>
        <w:spacing w:before="0" w:after="0"/>
      </w:pPr>
      <w:r>
        <w:rPr>
          <w:sz w:val="22"/>
          <w:szCs w:val="22"/>
        </w:rPr>
        <w:t xml:space="preserve"/>
      </w:r>
    </w:p>
    <w:p>
      <w:pPr>
        <w:spacing w:before="200" w:after="120"/>
      </w:pPr>
      <w:r>
        <w:rPr>
          <w:rFonts w:ascii="Arial" w:cs="Arial" w:eastAsia="Arial" w:hAnsi="Arial"/>
          <w:b/>
          <w:bCs/>
          <w:color w:val="00A86B"/>
          <w:sz w:val="24"/>
          <w:szCs w:val="24"/>
        </w:rPr>
        <w:t xml:space="preserve">Flujo de ingreso de una propiedad:</w:t>
      </w:r>
    </w:p>
    <w:p>
      <w:pPr>
        <w:pStyle w:val="ListParagraph"/>
        <w:numPr>
          <w:ilvl w:val="0"/>
          <w:numId w:val="2"/>
        </w:numPr>
        <w:spacing w:before="60" w:after="60"/>
      </w:pPr>
      <w:r>
        <w:rPr>
          <w:rFonts w:ascii="Arial" w:cs="Arial" w:eastAsia="Arial" w:hAnsi="Arial"/>
          <w:color w:val="1A1A2E"/>
          <w:sz w:val="22"/>
          <w:szCs w:val="22"/>
        </w:rPr>
        <w:t xml:space="preserve">El propietario contacta a Systemex y completa el formulario de onboarding en systemex.com.ar</w:t>
      </w:r>
    </w:p>
    <w:p>
      <w:pPr>
        <w:pStyle w:val="ListParagraph"/>
        <w:numPr>
          <w:ilvl w:val="0"/>
          <w:numId w:val="2"/>
        </w:numPr>
        <w:spacing w:before="60" w:after="60"/>
      </w:pPr>
      <w:r>
        <w:rPr>
          <w:rFonts w:ascii="Arial" w:cs="Arial" w:eastAsia="Arial" w:hAnsi="Arial"/>
          <w:color w:val="1A1A2E"/>
          <w:sz w:val="22"/>
          <w:szCs w:val="22"/>
        </w:rPr>
        <w:t xml:space="preserve">El equipo evalúa el activo: ubicación, valuación de mercado, documentación legal, potencial de renta o apreciación</w:t>
      </w:r>
    </w:p>
    <w:p>
      <w:pPr>
        <w:pStyle w:val="ListParagraph"/>
        <w:numPr>
          <w:ilvl w:val="0"/>
          <w:numId w:val="2"/>
        </w:numPr>
        <w:spacing w:before="60" w:after="60"/>
      </w:pPr>
      <w:r>
        <w:rPr>
          <w:rFonts w:ascii="Arial" w:cs="Arial" w:eastAsia="Arial" w:hAnsi="Arial"/>
          <w:color w:val="1A1A2E"/>
          <w:sz w:val="22"/>
          <w:szCs w:val="22"/>
        </w:rPr>
        <w:t xml:space="preserve">Se estructura el vehículo legal: fideicomiso o SAS por activo, según corresponda</w:t>
      </w:r>
    </w:p>
    <w:p>
      <w:pPr>
        <w:pStyle w:val="ListParagraph"/>
        <w:numPr>
          <w:ilvl w:val="0"/>
          <w:numId w:val="2"/>
        </w:numPr>
        <w:spacing w:before="60" w:after="60"/>
      </w:pPr>
      <w:r>
        <w:rPr>
          <w:rFonts w:ascii="Arial" w:cs="Arial" w:eastAsia="Arial" w:hAnsi="Arial"/>
          <w:color w:val="1A1A2E"/>
          <w:sz w:val="22"/>
          <w:szCs w:val="22"/>
        </w:rPr>
        <w:t xml:space="preserve">Systemex emite tokens RWA específicos para ese activo (subconjunto del pool RWA del 25%)</w:t>
      </w:r>
    </w:p>
    <w:p>
      <w:pPr>
        <w:pStyle w:val="ListParagraph"/>
        <w:numPr>
          <w:ilvl w:val="0"/>
          <w:numId w:val="2"/>
        </w:numPr>
        <w:spacing w:before="60" w:after="60"/>
      </w:pPr>
      <w:r>
        <w:rPr>
          <w:rFonts w:ascii="Arial" w:cs="Arial" w:eastAsia="Arial" w:hAnsi="Arial"/>
          <w:color w:val="1A1A2E"/>
          <w:sz w:val="22"/>
          <w:szCs w:val="22"/>
        </w:rPr>
        <w:t xml:space="preserve">Se abre una ronda de inversión: los inversores compran fracciones con SYSTEMEX o USDC</w:t>
      </w:r>
    </w:p>
    <w:p>
      <w:pPr>
        <w:pStyle w:val="ListParagraph"/>
        <w:numPr>
          <w:ilvl w:val="0"/>
          <w:numId w:val="2"/>
        </w:numPr>
        <w:spacing w:before="60" w:after="60"/>
      </w:pPr>
      <w:r>
        <w:rPr>
          <w:rFonts w:ascii="Arial" w:cs="Arial" w:eastAsia="Arial" w:hAnsi="Arial"/>
          <w:color w:val="1A1A2E"/>
          <w:sz w:val="22"/>
          <w:szCs w:val="22"/>
        </w:rPr>
        <w:t xml:space="preserve">El propietario recibe capital; los inversores reciben retornos proporcionales mensualmente en USDC</w:t>
      </w:r>
    </w:p>
    <w:p>
      <w:pPr>
        <w:pStyle w:val="ListParagraph"/>
        <w:numPr>
          <w:ilvl w:val="0"/>
          <w:numId w:val="2"/>
        </w:numPr>
        <w:spacing w:before="60" w:after="60"/>
      </w:pPr>
      <w:r>
        <w:rPr>
          <w:rFonts w:ascii="Arial" w:cs="Arial" w:eastAsia="Arial" w:hAnsi="Arial"/>
          <w:color w:val="1A1A2E"/>
          <w:sz w:val="22"/>
          <w:szCs w:val="22"/>
        </w:rPr>
        <w:t xml:space="preserve">Systemex cobra un fee de tokenización (2-5%) y un fee de gestión anual (1-2%)</w:t>
      </w:r>
    </w:p>
    <w:p>
      <w:pPr>
        <w:spacing w:before="0" w:after="0"/>
      </w:pPr>
      <w:r>
        <w:rPr>
          <w:sz w:val="44"/>
          <w:szCs w:val="44"/>
        </w:rPr>
        <w:t xml:space="preserve"/>
      </w:r>
    </w:p>
    <w:p>
      <w:pPr>
        <w:spacing w:before="200" w:after="120"/>
      </w:pPr>
      <w:r>
        <w:rPr>
          <w:rFonts w:ascii="Arial" w:cs="Arial" w:eastAsia="Arial" w:hAnsi="Arial"/>
          <w:b/>
          <w:bCs/>
          <w:color w:val="00A86B"/>
          <w:sz w:val="24"/>
          <w:szCs w:val="24"/>
        </w:rPr>
        <w:t xml:space="preserve">Tipos de activos aceptados: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20"/>
        <w:gridCol w:w="2520"/>
        <w:gridCol w:w="1520"/>
      </w:tblGrid>
      <w:tr>
        <w:tc>
          <w:tcPr>
            <w:tcW w:type="dxa" w:w="280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Tipo de Activo</w:t>
            </w:r>
          </w:p>
        </w:tc>
        <w:tc>
          <w:tcPr>
            <w:tcW w:type="dxa" w:w="252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Retorno Esperado</w:t>
            </w:r>
          </w:p>
        </w:tc>
        <w:tc>
          <w:tcPr>
            <w:tcW w:type="dxa" w:w="252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Plazo</w:t>
            </w:r>
          </w:p>
        </w:tc>
        <w:tc>
          <w:tcPr>
            <w:tcW w:type="dxa" w:w="152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Riesgo</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Departamento en alquiler</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4-8% anual en USD</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Largo plazo</w:t>
            </w:r>
          </w:p>
        </w:tc>
        <w:tc>
          <w:tcPr>
            <w:tcW w:type="dxa" w:w="1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Bajo</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Local comercial</w:t>
            </w:r>
          </w:p>
        </w:tc>
        <w:tc>
          <w:tcPr>
            <w:tcW w:type="dxa" w:w="25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6-10% anual en USD</w:t>
            </w:r>
          </w:p>
        </w:tc>
        <w:tc>
          <w:tcPr>
            <w:tcW w:type="dxa" w:w="25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Mediano plazo</w:t>
            </w:r>
          </w:p>
        </w:tc>
        <w:tc>
          <w:tcPr>
            <w:tcW w:type="dxa" w:w="15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Bajo-Medio</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Terreno urbano</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8-15% apreciación anual</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Largo plazo</w:t>
            </w:r>
          </w:p>
        </w:tc>
        <w:tc>
          <w:tcPr>
            <w:tcW w:type="dxa" w:w="1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Medio</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Propiedad en pozo</w:t>
            </w:r>
          </w:p>
        </w:tc>
        <w:tc>
          <w:tcPr>
            <w:tcW w:type="dxa" w:w="25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20-40% al completar</w:t>
            </w:r>
          </w:p>
        </w:tc>
        <w:tc>
          <w:tcPr>
            <w:tcW w:type="dxa" w:w="25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18-36 meses</w:t>
            </w:r>
          </w:p>
        </w:tc>
        <w:tc>
          <w:tcPr>
            <w:tcW w:type="dxa" w:w="15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Medio</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Terreno agrícola</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5-12% anual</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Largo plazo</w:t>
            </w:r>
          </w:p>
        </w:tc>
        <w:tc>
          <w:tcPr>
            <w:tcW w:type="dxa" w:w="1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Medio</w:t>
            </w:r>
          </w:p>
        </w:tc>
      </w:tr>
    </w:tbl>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3.2 Vertical 2 — Plataforma Educativa</w:t>
      </w:r>
    </w:p>
    <w:p>
      <w:pPr>
        <w:spacing w:before="80" w:after="80"/>
        <w:jc w:val="both"/>
      </w:pPr>
      <w:r>
        <w:rPr>
          <w:rFonts w:ascii="Arial" w:cs="Arial" w:eastAsia="Arial" w:hAnsi="Arial"/>
          <w:b w:val="false"/>
          <w:bCs w:val="false"/>
          <w:i w:val="false"/>
          <w:iCs w:val="false"/>
          <w:color w:val="1A1A2E"/>
          <w:sz w:val="22"/>
          <w:szCs w:val="22"/>
        </w:rPr>
        <w:t xml:space="preserve">Systemex opera una plataforma de cursos online con foco en tecnología, inteligencia artificial, desarrollo de software, automatización, trading y emprendimiento. El token SYSTEMEX es el motor de acceso y beneficios dentro del ecosistema educativo.</w:t>
      </w:r>
    </w:p>
    <w:p>
      <w:pPr>
        <w:spacing w:before="0" w:after="0"/>
      </w:pPr>
      <w:r>
        <w:rPr>
          <w:sz w:val="22"/>
          <w:szCs w:val="22"/>
        </w:rPr>
        <w:t xml:space="preserve"/>
      </w:r>
    </w:p>
    <w:p>
      <w:pPr>
        <w:pStyle w:val="ListParagraph"/>
        <w:numPr>
          <w:ilvl w:val="0"/>
          <w:numId w:val="2"/>
        </w:numPr>
        <w:spacing w:before="60" w:after="60"/>
      </w:pPr>
      <w:r>
        <w:rPr>
          <w:rFonts w:ascii="Arial" w:cs="Arial" w:eastAsia="Arial" w:hAnsi="Arial"/>
          <w:color w:val="1A1A2E"/>
          <w:sz w:val="22"/>
          <w:szCs w:val="22"/>
        </w:rPr>
        <w:t xml:space="preserve">Pago de cursos con SYSTEMEX: 30% de descuento sobre precio en fiat</w:t>
      </w:r>
    </w:p>
    <w:p>
      <w:pPr>
        <w:pStyle w:val="ListParagraph"/>
        <w:numPr>
          <w:ilvl w:val="0"/>
          <w:numId w:val="2"/>
        </w:numPr>
        <w:spacing w:before="60" w:after="60"/>
      </w:pPr>
      <w:r>
        <w:rPr>
          <w:rFonts w:ascii="Arial" w:cs="Arial" w:eastAsia="Arial" w:hAnsi="Arial"/>
          <w:color w:val="1A1A2E"/>
          <w:sz w:val="22"/>
          <w:szCs w:val="22"/>
        </w:rPr>
        <w:t xml:space="preserve">Acceso vitalicio a cursos al mantener X tokens en staking por 12 meses</w:t>
      </w:r>
    </w:p>
    <w:p>
      <w:pPr>
        <w:pStyle w:val="ListParagraph"/>
        <w:numPr>
          <w:ilvl w:val="0"/>
          <w:numId w:val="2"/>
        </w:numPr>
        <w:spacing w:before="60" w:after="60"/>
      </w:pPr>
      <w:r>
        <w:rPr>
          <w:rFonts w:ascii="Arial" w:cs="Arial" w:eastAsia="Arial" w:hAnsi="Arial"/>
          <w:color w:val="1A1A2E"/>
          <w:sz w:val="22"/>
          <w:szCs w:val="22"/>
        </w:rPr>
        <w:t xml:space="preserve">Sistema de governance: los holders votan qué nuevos cursos se desarrollan</w:t>
      </w:r>
    </w:p>
    <w:p>
      <w:pPr>
        <w:pStyle w:val="ListParagraph"/>
        <w:numPr>
          <w:ilvl w:val="0"/>
          <w:numId w:val="2"/>
        </w:numPr>
        <w:spacing w:before="60" w:after="60"/>
      </w:pPr>
      <w:r>
        <w:rPr>
          <w:rFonts w:ascii="Arial" w:cs="Arial" w:eastAsia="Arial" w:hAnsi="Arial"/>
          <w:color w:val="1A1A2E"/>
          <w:sz w:val="22"/>
          <w:szCs w:val="22"/>
        </w:rPr>
        <w:t xml:space="preserve">Programa de referidos on-chain: recompensas automáticas en tokens por cada nuevo usuario</w:t>
      </w:r>
    </w:p>
    <w:p>
      <w:pPr>
        <w:pStyle w:val="ListParagraph"/>
        <w:numPr>
          <w:ilvl w:val="0"/>
          <w:numId w:val="2"/>
        </w:numPr>
        <w:spacing w:before="60" w:after="60"/>
      </w:pPr>
      <w:r>
        <w:rPr>
          <w:rFonts w:ascii="Arial" w:cs="Arial" w:eastAsia="Arial" w:hAnsi="Arial"/>
          <w:color w:val="1A1A2E"/>
          <w:sz w:val="22"/>
          <w:szCs w:val="22"/>
        </w:rPr>
        <w:t xml:space="preserve">Certificados de completitud almacenados en blockchain (NFT de certificación)</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3.3 Vertical 3 — E-Commerce</w:t>
      </w:r>
    </w:p>
    <w:p>
      <w:pPr>
        <w:spacing w:before="80" w:after="80"/>
        <w:jc w:val="both"/>
      </w:pPr>
      <w:r>
        <w:rPr>
          <w:rFonts w:ascii="Arial" w:cs="Arial" w:eastAsia="Arial" w:hAnsi="Arial"/>
          <w:b w:val="false"/>
          <w:bCs w:val="false"/>
          <w:i w:val="false"/>
          <w:iCs w:val="false"/>
          <w:color w:val="1A1A2E"/>
          <w:sz w:val="22"/>
          <w:szCs w:val="22"/>
        </w:rPr>
        <w:t xml:space="preserve">El ecosistema de e-commerce de Systemex integra el token como herramienta de fidelización, pagos y membresía, reemplazando los programas de puntos tradicionales con un activo que tiene valor real de mercado.</w:t>
      </w:r>
    </w:p>
    <w:p>
      <w:pPr>
        <w:spacing w:before="0" w:after="0"/>
      </w:pPr>
      <w:r>
        <w:rPr>
          <w:sz w:val="22"/>
          <w:szCs w:val="22"/>
        </w:rPr>
        <w:t xml:space="preserve"/>
      </w:r>
    </w:p>
    <w:p>
      <w:pPr>
        <w:pStyle w:val="ListParagraph"/>
        <w:numPr>
          <w:ilvl w:val="0"/>
          <w:numId w:val="2"/>
        </w:numPr>
        <w:spacing w:before="60" w:after="60"/>
      </w:pPr>
      <w:r>
        <w:rPr>
          <w:rFonts w:ascii="Arial" w:cs="Arial" w:eastAsia="Arial" w:hAnsi="Arial"/>
          <w:color w:val="1A1A2E"/>
          <w:sz w:val="22"/>
          <w:szCs w:val="22"/>
        </w:rPr>
        <w:t xml:space="preserve">Cashback en SYSTEMEX por cada compra (1-5% según tier de membresía)</w:t>
      </w:r>
    </w:p>
    <w:p>
      <w:pPr>
        <w:pStyle w:val="ListParagraph"/>
        <w:numPr>
          <w:ilvl w:val="0"/>
          <w:numId w:val="2"/>
        </w:numPr>
        <w:spacing w:before="60" w:after="60"/>
      </w:pPr>
      <w:r>
        <w:rPr>
          <w:rFonts w:ascii="Arial" w:cs="Arial" w:eastAsia="Arial" w:hAnsi="Arial"/>
          <w:color w:val="1A1A2E"/>
          <w:sz w:val="22"/>
          <w:szCs w:val="22"/>
        </w:rPr>
        <w:t xml:space="preserve">Tiers de membresía: Bronze / Silver / Gold / Platinum según tokens en holding</w:t>
      </w:r>
    </w:p>
    <w:p>
      <w:pPr>
        <w:pStyle w:val="ListParagraph"/>
        <w:numPr>
          <w:ilvl w:val="0"/>
          <w:numId w:val="2"/>
        </w:numPr>
        <w:spacing w:before="60" w:after="60"/>
      </w:pPr>
      <w:r>
        <w:rPr>
          <w:rFonts w:ascii="Arial" w:cs="Arial" w:eastAsia="Arial" w:hAnsi="Arial"/>
          <w:color w:val="1A1A2E"/>
          <w:sz w:val="22"/>
          <w:szCs w:val="22"/>
        </w:rPr>
        <w:t xml:space="preserve">Descuentos exclusivos para holders en productos seleccionados</w:t>
      </w:r>
    </w:p>
    <w:p>
      <w:pPr>
        <w:pStyle w:val="ListParagraph"/>
        <w:numPr>
          <w:ilvl w:val="0"/>
          <w:numId w:val="2"/>
        </w:numPr>
        <w:spacing w:before="60" w:after="60"/>
      </w:pPr>
      <w:r>
        <w:rPr>
          <w:rFonts w:ascii="Arial" w:cs="Arial" w:eastAsia="Arial" w:hAnsi="Arial"/>
          <w:color w:val="1A1A2E"/>
          <w:sz w:val="22"/>
          <w:szCs w:val="22"/>
        </w:rPr>
        <w:t xml:space="preserve">Acceso anticipado a lanzamientos y ediciones limitadas</w:t>
      </w:r>
    </w:p>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4. Tokenomics</w:t>
      </w:r>
    </w:p>
    <w:p>
      <w:pPr>
        <w:pBdr>
          <w:bottom w:val="single" w:color="2E75B6" w:sz="4" w:space="1"/>
        </w:pBdr>
        <w:spacing w:before="200" w:after="200"/>
      </w:pPr>
      <w:r>
        <w:t xml:space="preserve"/>
      </w:r>
    </w:p>
    <w:p>
      <w:pPr>
        <w:spacing w:before="80" w:after="80"/>
        <w:jc w:val="both"/>
      </w:pPr>
      <w:r>
        <w:rPr>
          <w:rFonts w:ascii="Arial" w:cs="Arial" w:eastAsia="Arial" w:hAnsi="Arial"/>
          <w:b w:val="false"/>
          <w:bCs w:val="false"/>
          <w:i w:val="false"/>
          <w:iCs w:val="false"/>
          <w:color w:val="1A1A2E"/>
          <w:sz w:val="22"/>
          <w:szCs w:val="22"/>
        </w:rPr>
        <w:t xml:space="preserve">El diseño de la distribución del token fue construido para garantizar sostenibilidad a largo plazo, alinear incentivos entre fundadores, inversores y usuarios, y asegurar liquidez suficiente desde el primer día de trading.</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4.1 Distribución del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360"/>
        <w:gridCol w:w="3000"/>
      </w:tblGrid>
      <w:tr>
        <w:tc>
          <w:tcPr>
            <w:tcW w:type="dxa" w:w="280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Categoría</w:t>
            </w:r>
          </w:p>
        </w:tc>
        <w:tc>
          <w:tcPr>
            <w:tcW w:type="dxa" w:w="120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 Supply</w:t>
            </w:r>
          </w:p>
        </w:tc>
        <w:tc>
          <w:tcPr>
            <w:tcW w:type="dxa" w:w="236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Tokens</w:t>
            </w:r>
          </w:p>
        </w:tc>
        <w:tc>
          <w:tcPr>
            <w:tcW w:type="dxa" w:w="300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Propósito</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RWA Inmobiliario</w:t>
            </w:r>
          </w:p>
        </w:tc>
        <w:tc>
          <w:tcPr>
            <w:tcW w:type="dxa" w:w="12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w:t>
            </w:r>
          </w:p>
        </w:tc>
        <w:tc>
          <w:tcPr>
            <w:tcW w:type="dxa" w:w="23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250,000,000</w:t>
            </w:r>
          </w:p>
        </w:tc>
        <w:tc>
          <w:tcPr>
            <w:tcW w:type="dxa" w:w="30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Activos tokenizados, se liberan por propiedad</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Ecosistema / Recompensas</w:t>
            </w:r>
          </w:p>
        </w:tc>
        <w:tc>
          <w:tcPr>
            <w:tcW w:type="dxa" w:w="12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20%</w:t>
            </w:r>
          </w:p>
        </w:tc>
        <w:tc>
          <w:tcPr>
            <w:tcW w:type="dxa" w:w="23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200,000,000</w:t>
            </w:r>
          </w:p>
        </w:tc>
        <w:tc>
          <w:tcPr>
            <w:tcW w:type="dxa" w:w="30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Cursos, e-commerce, referidos, staking</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Liquidez DEX</w:t>
            </w:r>
          </w:p>
        </w:tc>
        <w:tc>
          <w:tcPr>
            <w:tcW w:type="dxa" w:w="12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w:t>
            </w:r>
          </w:p>
        </w:tc>
        <w:tc>
          <w:tcPr>
            <w:tcW w:type="dxa" w:w="23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150,000,000</w:t>
            </w:r>
          </w:p>
        </w:tc>
        <w:tc>
          <w:tcPr>
            <w:tcW w:type="dxa" w:w="30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Pool Raydium, desbloqueado en listing</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Founder / Equipo</w:t>
            </w:r>
          </w:p>
        </w:tc>
        <w:tc>
          <w:tcPr>
            <w:tcW w:type="dxa" w:w="12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15%</w:t>
            </w:r>
          </w:p>
        </w:tc>
        <w:tc>
          <w:tcPr>
            <w:tcW w:type="dxa" w:w="23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150,000,000</w:t>
            </w:r>
          </w:p>
        </w:tc>
        <w:tc>
          <w:tcPr>
            <w:tcW w:type="dxa" w:w="30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Vesting 24 meses, cliff 6 meses</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Preventa / IDO</w:t>
            </w:r>
          </w:p>
        </w:tc>
        <w:tc>
          <w:tcPr>
            <w:tcW w:type="dxa" w:w="12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w:t>
            </w:r>
          </w:p>
        </w:tc>
        <w:tc>
          <w:tcPr>
            <w:tcW w:type="dxa" w:w="23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150,000,000</w:t>
            </w:r>
          </w:p>
        </w:tc>
        <w:tc>
          <w:tcPr>
            <w:tcW w:type="dxa" w:w="30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Inversores early a precio reducido</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Marketing / Partnerships</w:t>
            </w:r>
          </w:p>
        </w:tc>
        <w:tc>
          <w:tcPr>
            <w:tcW w:type="dxa" w:w="12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23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50,000,000</w:t>
            </w:r>
          </w:p>
        </w:tc>
        <w:tc>
          <w:tcPr>
            <w:tcW w:type="dxa" w:w="30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Influencers, listados, alianzas</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Reserva / Tesorería</w:t>
            </w:r>
          </w:p>
        </w:tc>
        <w:tc>
          <w:tcPr>
            <w:tcW w:type="dxa" w:w="12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23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50,000,000</w:t>
            </w:r>
          </w:p>
        </w:tc>
        <w:tc>
          <w:tcPr>
            <w:tcW w:type="dxa" w:w="30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Emergencias y oportunidades futuras</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TOTAL</w:t>
            </w:r>
          </w:p>
        </w:tc>
        <w:tc>
          <w:tcPr>
            <w:tcW w:type="dxa" w:w="12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100%</w:t>
            </w:r>
          </w:p>
        </w:tc>
        <w:tc>
          <w:tcPr>
            <w:tcW w:type="dxa" w:w="23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1,000,000,000</w:t>
            </w:r>
          </w:p>
        </w:tc>
        <w:tc>
          <w:tcPr>
            <w:tcW w:type="dxa" w:w="30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Supply fijo, sin emisión adicional</w:t>
            </w:r>
          </w:p>
        </w:tc>
      </w:tr>
    </w:tbl>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4.2 Estructura de Precios por Ronda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Ronda</w:t>
            </w:r>
          </w:p>
        </w:tc>
        <w:tc>
          <w:tcPr>
            <w:tcW w:type="dxa" w:w="312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Precio USD</w:t>
            </w:r>
          </w:p>
        </w:tc>
        <w:tc>
          <w:tcPr>
            <w:tcW w:type="dxa" w:w="312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Tokens Disponibles</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Preventa Privada (seed)</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USD 0.00005</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75,000,000 SYSTEMEX</w:t>
            </w:r>
          </w:p>
        </w:tc>
      </w:tr>
      <w:tr>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IDO Público</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USD 0.00008</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75,000,000 SYSTEMEX</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Listing DEX (Raydium)</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USD 0.0001</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150,000,000 SYSTEMEX</w:t>
            </w:r>
          </w:p>
        </w:tc>
      </w:tr>
      <w:tr>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Objetivo Market Cap Listing</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~USD 100,000</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Circulante inicial</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FDV (Fully Diluted)</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~USD 100,000</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Supply total</w:t>
            </w:r>
          </w:p>
        </w:tc>
      </w:tr>
    </w:tbl>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4.3 Vesting Schedule</w:t>
      </w:r>
    </w:p>
    <w:p>
      <w:pPr>
        <w:spacing w:before="80" w:after="80"/>
        <w:jc w:val="both"/>
      </w:pPr>
      <w:r>
        <w:rPr>
          <w:rFonts w:ascii="Arial" w:cs="Arial" w:eastAsia="Arial" w:hAnsi="Arial"/>
          <w:b w:val="false"/>
          <w:bCs w:val="false"/>
          <w:i w:val="false"/>
          <w:iCs w:val="false"/>
          <w:color w:val="1A1A2E"/>
          <w:sz w:val="22"/>
          <w:szCs w:val="22"/>
        </w:rPr>
        <w:t xml:space="preserve">El vesting garantiza que ningún participante pueda dumpar el mercado en el corto plazo. Los tokens del equipo fundador tienen las restricciones más estrictas para generar confianza en la comunidad inversora.</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3440"/>
      </w:tblGrid>
      <w:tr>
        <w:tc>
          <w:tcPr>
            <w:tcW w:type="dxa" w:w="280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Categoría</w:t>
            </w:r>
          </w:p>
        </w:tc>
        <w:tc>
          <w:tcPr>
            <w:tcW w:type="dxa" w:w="156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Cliff</w:t>
            </w:r>
          </w:p>
        </w:tc>
        <w:tc>
          <w:tcPr>
            <w:tcW w:type="dxa" w:w="156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Vesting</w:t>
            </w:r>
          </w:p>
        </w:tc>
        <w:tc>
          <w:tcPr>
            <w:tcW w:type="dxa" w:w="344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Liberación</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Founder / Equipo</w:t>
            </w:r>
          </w:p>
        </w:tc>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 meses</w:t>
            </w:r>
          </w:p>
        </w:tc>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24 meses lineal</w:t>
            </w:r>
          </w:p>
        </w:tc>
        <w:tc>
          <w:tcPr>
            <w:tcW w:type="dxa" w:w="34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~6.25M tokens/mes desde mes 6</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Preventa Privada</w:t>
            </w:r>
          </w:p>
        </w:tc>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 mes</w:t>
            </w:r>
          </w:p>
        </w:tc>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6 meses lineal</w:t>
            </w:r>
          </w:p>
        </w:tc>
        <w:tc>
          <w:tcPr>
            <w:tcW w:type="dxa" w:w="34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~12.5M tokens/mes desde mes 1</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IDO Público</w:t>
            </w:r>
          </w:p>
        </w:tc>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Ninguno</w:t>
            </w:r>
          </w:p>
        </w:tc>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 meses lineal</w:t>
            </w:r>
          </w:p>
        </w:tc>
        <w:tc>
          <w:tcPr>
            <w:tcW w:type="dxa" w:w="34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~25M tokens/mes desde listing</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Liquidez DEX</w:t>
            </w:r>
          </w:p>
        </w:tc>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Ninguno</w:t>
            </w:r>
          </w:p>
        </w:tc>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Inmediato</w:t>
            </w:r>
          </w:p>
        </w:tc>
        <w:tc>
          <w:tcPr>
            <w:tcW w:type="dxa" w:w="34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Bloqueada en pool (LP locked 12m)</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RWA Inmobiliario</w:t>
            </w:r>
          </w:p>
        </w:tc>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Por activo</w:t>
            </w:r>
          </w:p>
        </w:tc>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Por activo</w:t>
            </w:r>
          </w:p>
        </w:tc>
        <w:tc>
          <w:tcPr>
            <w:tcW w:type="dxa" w:w="34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 libera al tokenizar cada propiedad</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Ecosistema</w:t>
            </w:r>
          </w:p>
        </w:tc>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Ninguno</w:t>
            </w:r>
          </w:p>
        </w:tc>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36 meses lineal</w:t>
            </w:r>
          </w:p>
        </w:tc>
        <w:tc>
          <w:tcPr>
            <w:tcW w:type="dxa" w:w="34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Según uso real de la plataforma</w:t>
            </w:r>
          </w:p>
        </w:tc>
      </w:tr>
    </w:tbl>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5. Modelo de Negocio y Fuentes de Ingreso</w:t>
      </w:r>
    </w:p>
    <w:p>
      <w:pPr>
        <w:pBdr>
          <w:bottom w:val="single" w:color="2E75B6" w:sz="4" w:space="1"/>
        </w:pBdr>
        <w:spacing w:before="200" w:after="200"/>
      </w:pPr>
      <w:r>
        <w:t xml:space="preserve"/>
      </w:r>
    </w:p>
    <w:p>
      <w:pPr>
        <w:spacing w:before="80" w:after="80"/>
        <w:jc w:val="both"/>
      </w:pPr>
      <w:r>
        <w:rPr>
          <w:rFonts w:ascii="Arial" w:cs="Arial" w:eastAsia="Arial" w:hAnsi="Arial"/>
          <w:b w:val="false"/>
          <w:bCs w:val="false"/>
          <w:i w:val="false"/>
          <w:iCs w:val="false"/>
          <w:color w:val="1A1A2E"/>
          <w:sz w:val="22"/>
          <w:szCs w:val="22"/>
        </w:rPr>
        <w:t xml:space="preserve">Systemex genera ingresos desde múltiples fuentes, lo que reduce la dependencia de una sola vertical y aporta resiliencia al modelo. Todos los flujos contribuyen a la tesorería del ecosistema y sostienen el valor del token.</w:t>
      </w:r>
    </w:p>
    <w:p>
      <w:pPr>
        <w:spacing w:before="0" w:after="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Fuente de Ingreso</w:t>
            </w:r>
          </w:p>
        </w:tc>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Detalle y Estimación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Fee de tokenización RWA</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2-5% del valor del activo al momento de tokenizar</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Fee de gestión anual</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1-2% anual sobre activos bajo gestión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Comisiones plataforma educativa</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10-15% sobre ventas de cursos en fiat</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Comisiones e-commerce</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3-8% sobre transacciones en la tienda</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Spread de preventa RWA</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Margen entre precio de adquisición y tokenización</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Servicios premium para holders</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Asesoría, due diligence acelerado, acceso VIP</w:t>
            </w:r>
          </w:p>
        </w:tc>
      </w:tr>
    </w:tbl>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5.1 Proyección Financiera Conservadora (Año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Concepto</w:t>
            </w:r>
          </w:p>
        </w:tc>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Estimación USD</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Activos tokenizados (3-5 propiedades)</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USD 150,000 - 400,000</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Fees de tokenización generados</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USD 7,500 - 20,000</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Ingresos plataforma educativa</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USD 15,000 - 40,000</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Ingresos e-commerce</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USD 5,000 - 20,000</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TOTAL ingresos estimados año 1</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USD 27,500 - 80,000</w:t>
            </w:r>
          </w:p>
        </w:tc>
      </w:tr>
    </w:tbl>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6. Tecnología</w:t>
      </w:r>
    </w:p>
    <w:p>
      <w:pPr>
        <w:pBdr>
          <w:bottom w:val="single" w:color="2E75B6" w:sz="4"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6.1 Por qué Solana</w:t>
      </w:r>
    </w:p>
    <w:p>
      <w:pPr>
        <w:spacing w:before="80" w:after="80"/>
        <w:jc w:val="both"/>
      </w:pPr>
      <w:r>
        <w:rPr>
          <w:rFonts w:ascii="Arial" w:cs="Arial" w:eastAsia="Arial" w:hAnsi="Arial"/>
          <w:b w:val="false"/>
          <w:bCs w:val="false"/>
          <w:i w:val="false"/>
          <w:iCs w:val="false"/>
          <w:color w:val="1A1A2E"/>
          <w:sz w:val="22"/>
          <w:szCs w:val="22"/>
        </w:rPr>
        <w:t xml:space="preserve">La elección de Solana como blockchain base responde a criterios técnicos y económicos concretos. Solana procesa más de 65,000 transacciones por segundo con fees promedio de $0.00025 USD, lo que la convierte en la red ideal para una plataforma de uso diario con distribución frecuente de rentas.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Característica</w:t>
            </w:r>
          </w:p>
        </w:tc>
        <w:tc>
          <w:tcPr>
            <w:tcW w:type="dxa" w:w="234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Solana</w:t>
            </w:r>
          </w:p>
        </w:tc>
        <w:tc>
          <w:tcPr>
            <w:tcW w:type="dxa" w:w="234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Ethereum</w:t>
            </w:r>
          </w:p>
        </w:tc>
        <w:tc>
          <w:tcPr>
            <w:tcW w:type="dxa" w:w="234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Polygon</w:t>
            </w:r>
          </w:p>
        </w:tc>
      </w:tr>
      <w:tr>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TPS (transacciones/seg)</w:t>
            </w:r>
          </w:p>
        </w:tc>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65,000+</w:t>
            </w:r>
          </w:p>
        </w:tc>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w:t>
            </w:r>
          </w:p>
        </w:tc>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~7,000</w:t>
            </w:r>
          </w:p>
        </w:tc>
      </w:tr>
      <w:tr>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Fee promedio</w:t>
            </w:r>
          </w:p>
        </w:tc>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~$0.00025</w:t>
            </w:r>
          </w:p>
        </w:tc>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~$5-50</w:t>
            </w:r>
          </w:p>
        </w:tc>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~$0.01</w:t>
            </w:r>
          </w:p>
        </w:tc>
      </w:tr>
      <w:tr>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Finalización tx</w:t>
            </w:r>
          </w:p>
        </w:tc>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~400ms</w:t>
            </w:r>
          </w:p>
        </w:tc>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 seg</w:t>
            </w:r>
          </w:p>
        </w:tc>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seg</w:t>
            </w:r>
          </w:p>
        </w:tc>
      </w:tr>
      <w:tr>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Costo despliegue token</w:t>
            </w:r>
          </w:p>
        </w:tc>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~$0.05</w:t>
            </w:r>
          </w:p>
        </w:tc>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~$200-500</w:t>
            </w:r>
          </w:p>
        </w:tc>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~$5-20</w:t>
            </w:r>
          </w:p>
        </w:tc>
      </w:tr>
    </w:tbl>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6.2 Infraestructura del Ecosistema</w:t>
      </w:r>
    </w:p>
    <w:p>
      <w:pPr>
        <w:pStyle w:val="ListParagraph"/>
        <w:numPr>
          <w:ilvl w:val="0"/>
          <w:numId w:val="2"/>
        </w:numPr>
        <w:spacing w:before="60" w:after="60"/>
      </w:pPr>
      <w:r>
        <w:rPr>
          <w:rFonts w:ascii="Arial" w:cs="Arial" w:eastAsia="Arial" w:hAnsi="Arial"/>
          <w:color w:val="1A1A2E"/>
          <w:sz w:val="22"/>
          <w:szCs w:val="22"/>
        </w:rPr>
        <w:t xml:space="preserve">Token SPL nativo en Solana con metadata Metaplex (nombre, símbolo, logo, URI)</w:t>
      </w:r>
    </w:p>
    <w:p>
      <w:pPr>
        <w:pStyle w:val="ListParagraph"/>
        <w:numPr>
          <w:ilvl w:val="0"/>
          <w:numId w:val="2"/>
        </w:numPr>
        <w:spacing w:before="60" w:after="60"/>
      </w:pPr>
      <w:r>
        <w:rPr>
          <w:rFonts w:ascii="Arial" w:cs="Arial" w:eastAsia="Arial" w:hAnsi="Arial"/>
          <w:color w:val="1A1A2E"/>
          <w:sz w:val="22"/>
          <w:szCs w:val="22"/>
        </w:rPr>
        <w:t xml:space="preserve">Smart contracts de distribución automática de rentas en USDC a holders RWA</w:t>
      </w:r>
    </w:p>
    <w:p>
      <w:pPr>
        <w:pStyle w:val="ListParagraph"/>
        <w:numPr>
          <w:ilvl w:val="0"/>
          <w:numId w:val="2"/>
        </w:numPr>
        <w:spacing w:before="60" w:after="60"/>
      </w:pPr>
      <w:r>
        <w:rPr>
          <w:rFonts w:ascii="Arial" w:cs="Arial" w:eastAsia="Arial" w:hAnsi="Arial"/>
          <w:color w:val="1A1A2E"/>
          <w:sz w:val="22"/>
          <w:szCs w:val="22"/>
        </w:rPr>
        <w:t xml:space="preserve">Pool de liquidez en Raydium AMM (Automated Market Maker)</w:t>
      </w:r>
    </w:p>
    <w:p>
      <w:pPr>
        <w:pStyle w:val="ListParagraph"/>
        <w:numPr>
          <w:ilvl w:val="0"/>
          <w:numId w:val="2"/>
        </w:numPr>
        <w:spacing w:before="60" w:after="60"/>
      </w:pPr>
      <w:r>
        <w:rPr>
          <w:rFonts w:ascii="Arial" w:cs="Arial" w:eastAsia="Arial" w:hAnsi="Arial"/>
          <w:color w:val="1A1A2E"/>
          <w:sz w:val="22"/>
          <w:szCs w:val="22"/>
        </w:rPr>
        <w:t xml:space="preserve">Integración futura con Jupiter para swap nativo en la plataforma</w:t>
      </w:r>
    </w:p>
    <w:p>
      <w:pPr>
        <w:pStyle w:val="ListParagraph"/>
        <w:numPr>
          <w:ilvl w:val="0"/>
          <w:numId w:val="2"/>
        </w:numPr>
        <w:spacing w:before="60" w:after="60"/>
      </w:pPr>
      <w:r>
        <w:rPr>
          <w:rFonts w:ascii="Arial" w:cs="Arial" w:eastAsia="Arial" w:hAnsi="Arial"/>
          <w:color w:val="1A1A2E"/>
          <w:sz w:val="22"/>
          <w:szCs w:val="22"/>
        </w:rPr>
        <w:t xml:space="preserve">Dashboard web de inversores: visualización de activos, rendimientos y transacciones</w:t>
      </w:r>
    </w:p>
    <w:p>
      <w:pPr>
        <w:pStyle w:val="ListParagraph"/>
        <w:numPr>
          <w:ilvl w:val="0"/>
          <w:numId w:val="2"/>
        </w:numPr>
        <w:spacing w:before="60" w:after="60"/>
      </w:pPr>
      <w:r>
        <w:rPr>
          <w:rFonts w:ascii="Arial" w:cs="Arial" w:eastAsia="Arial" w:hAnsi="Arial"/>
          <w:color w:val="1A1A2E"/>
          <w:sz w:val="22"/>
          <w:szCs w:val="22"/>
        </w:rPr>
        <w:t xml:space="preserve">API de distribución de rentas: automatización mensual sin intervención manual</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6.3 Seguridad</w:t>
      </w:r>
    </w:p>
    <w:p>
      <w:pPr>
        <w:pStyle w:val="ListParagraph"/>
        <w:numPr>
          <w:ilvl w:val="0"/>
          <w:numId w:val="2"/>
        </w:numPr>
        <w:spacing w:before="60" w:after="60"/>
      </w:pPr>
      <w:r>
        <w:rPr>
          <w:rFonts w:ascii="Arial" w:cs="Arial" w:eastAsia="Arial" w:hAnsi="Arial"/>
          <w:color w:val="1A1A2E"/>
          <w:sz w:val="22"/>
          <w:szCs w:val="22"/>
        </w:rPr>
        <w:t xml:space="preserve">Auditoría de smart contracts por firma especializada antes del lanzamiento</w:t>
      </w:r>
    </w:p>
    <w:p>
      <w:pPr>
        <w:pStyle w:val="ListParagraph"/>
        <w:numPr>
          <w:ilvl w:val="0"/>
          <w:numId w:val="2"/>
        </w:numPr>
        <w:spacing w:before="60" w:after="60"/>
      </w:pPr>
      <w:r>
        <w:rPr>
          <w:rFonts w:ascii="Arial" w:cs="Arial" w:eastAsia="Arial" w:hAnsi="Arial"/>
          <w:color w:val="1A1A2E"/>
          <w:sz w:val="22"/>
          <w:szCs w:val="22"/>
        </w:rPr>
        <w:t xml:space="preserve">Multisig en wallets de tesorería y reserva (requiere 2/3 firmas para mover fondos)</w:t>
      </w:r>
    </w:p>
    <w:p>
      <w:pPr>
        <w:pStyle w:val="ListParagraph"/>
        <w:numPr>
          <w:ilvl w:val="0"/>
          <w:numId w:val="2"/>
        </w:numPr>
        <w:spacing w:before="60" w:after="60"/>
      </w:pPr>
      <w:r>
        <w:rPr>
          <w:rFonts w:ascii="Arial" w:cs="Arial" w:eastAsia="Arial" w:hAnsi="Arial"/>
          <w:color w:val="1A1A2E"/>
          <w:sz w:val="22"/>
          <w:szCs w:val="22"/>
        </w:rPr>
        <w:t xml:space="preserve">LP tokens bloqueados por 12 meses en plataforma de lock (previene rug pull)</w:t>
      </w:r>
    </w:p>
    <w:p>
      <w:pPr>
        <w:pStyle w:val="ListParagraph"/>
        <w:numPr>
          <w:ilvl w:val="0"/>
          <w:numId w:val="2"/>
        </w:numPr>
        <w:spacing w:before="60" w:after="60"/>
      </w:pPr>
      <w:r>
        <w:rPr>
          <w:rFonts w:ascii="Arial" w:cs="Arial" w:eastAsia="Arial" w:hAnsi="Arial"/>
          <w:color w:val="1A1A2E"/>
          <w:sz w:val="22"/>
          <w:szCs w:val="22"/>
        </w:rPr>
        <w:t xml:space="preserve">Mint authority renunciada o transferida a multisig post-IDO</w:t>
      </w:r>
    </w:p>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7. Marco Legal y Regulatorio</w:t>
      </w:r>
    </w:p>
    <w:p>
      <w:pPr>
        <w:pBdr>
          <w:bottom w:val="single" w:color="2E75B6" w:sz="4" w:space="1"/>
        </w:pBdr>
        <w:spacing w:before="200" w:after="200"/>
      </w:pPr>
      <w:r>
        <w:t xml:space="preserve"/>
      </w:r>
    </w:p>
    <w:p>
      <w:pPr>
        <w:spacing w:before="80" w:after="80"/>
        <w:jc w:val="both"/>
      </w:pPr>
      <w:r>
        <w:rPr>
          <w:rFonts w:ascii="Arial" w:cs="Arial" w:eastAsia="Arial" w:hAnsi="Arial"/>
          <w:b w:val="false"/>
          <w:bCs w:val="false"/>
          <w:i w:val="false"/>
          <w:iCs w:val="false"/>
          <w:color w:val="1A1A2E"/>
          <w:sz w:val="22"/>
          <w:szCs w:val="22"/>
        </w:rPr>
        <w:t xml:space="preserve">Systemex opera en el marco del régimen de tokenización de activos aprobado por la Comisión Nacional de Valores (CNV) de Argentina en diciembre de 2025. Este marco habilita la emisión de tokens que representan activos reales bajo condiciones específicas de transparencia, custodia y disclosure a inversores.</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7.1 Estructura Legal por Activo</w:t>
      </w:r>
    </w:p>
    <w:p>
      <w:pPr>
        <w:pStyle w:val="ListParagraph"/>
        <w:numPr>
          <w:ilvl w:val="0"/>
          <w:numId w:val="2"/>
        </w:numPr>
        <w:spacing w:before="60" w:after="60"/>
      </w:pPr>
      <w:r>
        <w:rPr>
          <w:rFonts w:ascii="Arial" w:cs="Arial" w:eastAsia="Arial" w:hAnsi="Arial"/>
          <w:color w:val="1A1A2E"/>
          <w:sz w:val="22"/>
          <w:szCs w:val="22"/>
        </w:rPr>
        <w:t xml:space="preserve">Cada propiedad tokenizada opera bajo una entidad legal independiente (SAS o fideicomiso)</w:t>
      </w:r>
    </w:p>
    <w:p>
      <w:pPr>
        <w:pStyle w:val="ListParagraph"/>
        <w:numPr>
          <w:ilvl w:val="0"/>
          <w:numId w:val="2"/>
        </w:numPr>
        <w:spacing w:before="60" w:after="60"/>
      </w:pPr>
      <w:r>
        <w:rPr>
          <w:rFonts w:ascii="Arial" w:cs="Arial" w:eastAsia="Arial" w:hAnsi="Arial"/>
          <w:color w:val="1A1A2E"/>
          <w:sz w:val="22"/>
          <w:szCs w:val="22"/>
        </w:rPr>
        <w:t xml:space="preserve">Los inversores firman un acuerdo de participación que detalla derechos, rendimientos y condiciones de salida</w:t>
      </w:r>
    </w:p>
    <w:p>
      <w:pPr>
        <w:pStyle w:val="ListParagraph"/>
        <w:numPr>
          <w:ilvl w:val="0"/>
          <w:numId w:val="2"/>
        </w:numPr>
        <w:spacing w:before="60" w:after="60"/>
      </w:pPr>
      <w:r>
        <w:rPr>
          <w:rFonts w:ascii="Arial" w:cs="Arial" w:eastAsia="Arial" w:hAnsi="Arial"/>
          <w:color w:val="1A1A2E"/>
          <w:sz w:val="22"/>
          <w:szCs w:val="22"/>
        </w:rPr>
        <w:t xml:space="preserve">Systemex actúa como administrador y fiduciario de los activos bajo gestión</w:t>
      </w:r>
    </w:p>
    <w:p>
      <w:pPr>
        <w:pStyle w:val="ListParagraph"/>
        <w:numPr>
          <w:ilvl w:val="0"/>
          <w:numId w:val="2"/>
        </w:numPr>
        <w:spacing w:before="60" w:after="60"/>
      </w:pPr>
      <w:r>
        <w:rPr>
          <w:rFonts w:ascii="Arial" w:cs="Arial" w:eastAsia="Arial" w:hAnsi="Arial"/>
          <w:color w:val="1A1A2E"/>
          <w:sz w:val="22"/>
          <w:szCs w:val="22"/>
        </w:rPr>
        <w:t xml:space="preserve">Los contratos establecen mecanismos de salida: venta del activo, recompra o transferencia de tokens</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7.2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FF3CD" w:val="clear"/>
            <w:tcMar>
              <w:top w:type="dxa" w:w="160"/>
              <w:left w:type="dxa" w:w="240"/>
              <w:bottom w:type="dxa" w:w="160"/>
              <w:right w:type="dxa" w:w="240"/>
            </w:tcMar>
          </w:tcPr>
          <w:p>
            <w:pPr>
              <w:spacing w:before="60" w:after="80"/>
            </w:pPr>
            <w:r>
              <w:rPr>
                <w:rFonts w:ascii="Arial" w:cs="Arial" w:eastAsia="Arial" w:hAnsi="Arial"/>
                <w:b/>
                <w:bCs/>
                <w:color w:val="1A3C6E"/>
                <w:sz w:val="24"/>
                <w:szCs w:val="24"/>
              </w:rPr>
              <w:t xml:space="preserve">Aviso Legal Importante</w:t>
            </w:r>
          </w:p>
          <w:p>
            <w:pPr>
              <w:spacing w:before="40" w:after="40"/>
            </w:pPr>
            <w:r>
              <w:rPr>
                <w:rFonts w:ascii="Arial" w:cs="Arial" w:eastAsia="Arial" w:hAnsi="Arial"/>
                <w:color w:val="1A1A2E"/>
                <w:sz w:val="22"/>
                <w:szCs w:val="22"/>
              </w:rPr>
              <w:t xml:space="preserve">Este whitepaper tiene carácter informativo y no constituye una oferta pública de valores ni una invitación a invertir bajo ninguna legislación. La adquisición de tokens SYSTEMEX implica riesgos que cada inversor debe evaluar de manera independiente.</w:t>
            </w:r>
          </w:p>
          <w:p>
            <w:pPr>
              <w:spacing w:before="40" w:after="40"/>
            </w:pPr>
            <w:r>
              <w:rPr>
                <w:rFonts w:ascii="Arial" w:cs="Arial" w:eastAsia="Arial" w:hAnsi="Arial"/>
                <w:color w:val="1A1A2E"/>
                <w:sz w:val="22"/>
                <w:szCs w:val="22"/>
              </w:rPr>
              <w:t xml:space="preserve">Los rendimientos proyectados son estimaciones basadas en condiciones de mercado actuales y no garantizan resultados futuros. Invertir en criptoactivos conlleva riesgo de pérdida total del capital.</w:t>
            </w:r>
          </w:p>
          <w:p>
            <w:pPr>
              <w:spacing w:before="40" w:after="40"/>
            </w:pPr>
            <w:r>
              <w:rPr>
                <w:rFonts w:ascii="Arial" w:cs="Arial" w:eastAsia="Arial" w:hAnsi="Arial"/>
                <w:color w:val="1A1A2E"/>
                <w:sz w:val="22"/>
                <w:szCs w:val="22"/>
              </w:rPr>
              <w:t xml:space="preserve">Se recomienda consultar con asesores legales y financieros calificados antes de tomar decisiones de inversión.</w:t>
            </w:r>
          </w:p>
        </w:tc>
      </w:tr>
    </w:tbl>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8. Roadmap</w:t>
      </w:r>
    </w:p>
    <w:p>
      <w:pPr>
        <w:pBdr>
          <w:bottom w:val="single" w:color="2E75B6"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4680"/>
        <w:gridCol w:w="1320"/>
      </w:tblGrid>
      <w:tr>
        <w:tc>
          <w:tcPr>
            <w:tcW w:type="dxa" w:w="156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W w:type="dxa" w:w="180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Período</w:t>
            </w:r>
          </w:p>
        </w:tc>
        <w:tc>
          <w:tcPr>
            <w:tcW w:type="dxa" w:w="468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Hitos</w:t>
            </w:r>
          </w:p>
        </w:tc>
        <w:tc>
          <w:tcPr>
            <w:tcW w:type="dxa" w:w="132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Estado</w:t>
            </w:r>
          </w:p>
        </w:tc>
      </w:tr>
      <w:tr>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Fase 0
Fundamentos</w:t>
            </w:r>
          </w:p>
        </w:tc>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Q1 2026
(Actual)</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Token deployado en mainnet · Metadata Metaplex configurada · Whitepaper publicado · Comunidad inicial</w:t>
            </w:r>
          </w:p>
        </w:tc>
        <w:tc>
          <w:tcPr>
            <w:tcW w:type="dxa" w:w="13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 curso</w:t>
            </w:r>
          </w:p>
        </w:tc>
      </w:tr>
      <w:tr>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Fase 1
Lanzamiento</w:t>
            </w:r>
          </w:p>
        </w:tc>
        <w:tc>
          <w:tcPr>
            <w:tcW w:type="dxa" w:w="1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Q1-Q2 2026</w:t>
            </w:r>
          </w:p>
        </w:tc>
        <w:tc>
          <w:tcPr>
            <w:tcW w:type="dxa" w:w="468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Pool liquidez Raydium · Listing Jupiter · Landing systemex.com.ar · Preventa privada · Primera propiedad tokenizada</w:t>
            </w:r>
          </w:p>
        </w:tc>
        <w:tc>
          <w:tcPr>
            <w:tcW w:type="dxa" w:w="13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Próximo</w:t>
            </w:r>
          </w:p>
        </w:tc>
      </w:tr>
      <w:tr>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Fase 2
Crecimiento</w:t>
            </w:r>
          </w:p>
        </w:tc>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Q2-Q3 2026</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 propiedades tokenizadas · Plataforma de cursos live · E-commerce integrado · CoinGecko / CMC listing</w:t>
            </w:r>
          </w:p>
        </w:tc>
        <w:tc>
          <w:tcPr>
            <w:tcW w:type="dxa" w:w="13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Planificado</w:t>
            </w:r>
          </w:p>
        </w:tc>
      </w:tr>
      <w:tr>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Fase 3
Escalamiento</w:t>
            </w:r>
          </w:p>
        </w:tc>
        <w:tc>
          <w:tcPr>
            <w:tcW w:type="dxa" w:w="1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Q3-Q4 2026</w:t>
            </w:r>
          </w:p>
        </w:tc>
        <w:tc>
          <w:tcPr>
            <w:tcW w:type="dxa" w:w="468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10+ activos bajo gestión · Auditoría smart contracts · Alianzas con inmobiliarias · Expansión Latam</w:t>
            </w:r>
          </w:p>
        </w:tc>
        <w:tc>
          <w:tcPr>
            <w:tcW w:type="dxa" w:w="13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Planificado</w:t>
            </w:r>
          </w:p>
        </w:tc>
      </w:tr>
      <w:tr>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Fase 4
Madurez</w:t>
            </w:r>
          </w:p>
        </w:tc>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2027+</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 móvil · Integración CNV digital · Mercado secundario de RWA · Staking con APY real</w:t>
            </w:r>
          </w:p>
        </w:tc>
        <w:tc>
          <w:tcPr>
            <w:tcW w:type="dxa" w:w="13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Futuro</w:t>
            </w:r>
          </w:p>
        </w:tc>
      </w:tr>
    </w:tbl>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9. Equipo</w:t>
      </w:r>
    </w:p>
    <w:p>
      <w:pPr>
        <w:pBdr>
          <w:bottom w:val="single" w:color="2E75B6" w:sz="4" w:space="1"/>
        </w:pBdr>
        <w:spacing w:before="200" w:after="200"/>
      </w:pPr>
      <w:r>
        <w:t xml:space="preserve"/>
      </w:r>
    </w:p>
    <w:p>
      <w:pPr>
        <w:spacing w:before="80" w:after="80"/>
        <w:jc w:val="both"/>
      </w:pPr>
      <w:r>
        <w:rPr>
          <w:rFonts w:ascii="Arial" w:cs="Arial" w:eastAsia="Arial" w:hAnsi="Arial"/>
          <w:b w:val="false"/>
          <w:bCs w:val="false"/>
          <w:i w:val="false"/>
          <w:iCs w:val="false"/>
          <w:color w:val="1A1A2E"/>
          <w:sz w:val="22"/>
          <w:szCs w:val="22"/>
        </w:rPr>
        <w:t xml:space="preserve">Systemex es liderado por un equipo con experiencia práctica en tecnología, automatización, blockchain y el mercado inmobiliario argentino. La combinación de expertise técnico y conocimiento local es la ventaja competitiva clave del proyecto.</w:t>
      </w:r>
    </w:p>
    <w:p>
      <w:pPr>
        <w:spacing w:before="0" w:after="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Rol</w:t>
            </w:r>
          </w:p>
        </w:tc>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Responsabilidad</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Founder &amp; CEO — Exe Andino</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Visión estratégica, tokenomics, relaciones con inversores y propietarios, desarrollo de negocio</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Tech Lead (en búsqueda)</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Smart contracts Solana, desarrollo de plataforma web, integración APIs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Legal Advisor (en búsqueda)</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Estructuración fideicomiso/SAS, compliance CNV, contratos de inversión</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Community Manager (en búsqueda)</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Gestión de comunidad Telegram/Discord, marketing, contenido</w:t>
            </w:r>
          </w:p>
        </w:tc>
      </w:tr>
    </w:tbl>
    <w:p>
      <w:pPr>
        <w:spacing w:before="0" w:after="0"/>
      </w:pPr>
      <w:r>
        <w:rPr>
          <w:sz w:val="44"/>
          <w:szCs w:val="44"/>
        </w:rPr>
        <w:t xml:space="preserve"/>
      </w:r>
    </w:p>
    <w:p>
      <w:pPr>
        <w:spacing w:before="80" w:after="80"/>
        <w:jc w:val="both"/>
      </w:pPr>
      <w:r>
        <w:rPr>
          <w:rFonts w:ascii="Arial" w:cs="Arial" w:eastAsia="Arial" w:hAnsi="Arial"/>
          <w:b w:val="false"/>
          <w:bCs w:val="false"/>
          <w:i/>
          <w:iCs/>
          <w:color w:val="1A1A2E"/>
          <w:sz w:val="22"/>
          <w:szCs w:val="22"/>
        </w:rPr>
        <w:t xml:space="preserve">El equipo está en proceso de incorporar los roles técnicos y legales necesarios para la fase de lanzamiento. Se priorizan perfiles con experiencia probada en Solana, DeFi y derecho argentino de mercado de capitales.</w:t>
      </w:r>
    </w:p>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10. Cómo Participar</w:t>
      </w:r>
    </w:p>
    <w:p>
      <w:pPr>
        <w:pBdr>
          <w:bottom w:val="single" w:color="2E75B6" w:sz="4"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10.1 Preventa Privada (Seed Round)</w:t>
      </w:r>
    </w:p>
    <w:p>
      <w:pPr>
        <w:pStyle w:val="ListParagraph"/>
        <w:numPr>
          <w:ilvl w:val="0"/>
          <w:numId w:val="2"/>
        </w:numPr>
        <w:spacing w:before="60" w:after="60"/>
      </w:pPr>
      <w:r>
        <w:rPr>
          <w:rFonts w:ascii="Arial" w:cs="Arial" w:eastAsia="Arial" w:hAnsi="Arial"/>
          <w:color w:val="1A1A2E"/>
          <w:sz w:val="22"/>
          <w:szCs w:val="22"/>
        </w:rPr>
        <w:t xml:space="preserve">Precio: USD 0.00005 por SYSTEMEX (50% de descuento sobre listing)</w:t>
      </w:r>
    </w:p>
    <w:p>
      <w:pPr>
        <w:pStyle w:val="ListParagraph"/>
        <w:numPr>
          <w:ilvl w:val="0"/>
          <w:numId w:val="2"/>
        </w:numPr>
        <w:spacing w:before="60" w:after="60"/>
      </w:pPr>
      <w:r>
        <w:rPr>
          <w:rFonts w:ascii="Arial" w:cs="Arial" w:eastAsia="Arial" w:hAnsi="Arial"/>
          <w:color w:val="1A1A2E"/>
          <w:sz w:val="22"/>
          <w:szCs w:val="22"/>
        </w:rPr>
        <w:t xml:space="preserve">Mínimo de inversión: USD 500</w:t>
      </w:r>
    </w:p>
    <w:p>
      <w:pPr>
        <w:pStyle w:val="ListParagraph"/>
        <w:numPr>
          <w:ilvl w:val="0"/>
          <w:numId w:val="2"/>
        </w:numPr>
        <w:spacing w:before="60" w:after="60"/>
      </w:pPr>
      <w:r>
        <w:rPr>
          <w:rFonts w:ascii="Arial" w:cs="Arial" w:eastAsia="Arial" w:hAnsi="Arial"/>
          <w:color w:val="1A1A2E"/>
          <w:sz w:val="22"/>
          <w:szCs w:val="22"/>
        </w:rPr>
        <w:t xml:space="preserve">Máximo por inversor: USD 10,000 (para distribución amplia)</w:t>
      </w:r>
    </w:p>
    <w:p>
      <w:pPr>
        <w:pStyle w:val="ListParagraph"/>
        <w:numPr>
          <w:ilvl w:val="0"/>
          <w:numId w:val="2"/>
        </w:numPr>
        <w:spacing w:before="60" w:after="60"/>
      </w:pPr>
      <w:r>
        <w:rPr>
          <w:rFonts w:ascii="Arial" w:cs="Arial" w:eastAsia="Arial" w:hAnsi="Arial"/>
          <w:color w:val="1A1A2E"/>
          <w:sz w:val="22"/>
          <w:szCs w:val="22"/>
        </w:rPr>
        <w:t xml:space="preserve">Vesting: 1 mes cliff + 6 meses de liberación lineal</w:t>
      </w:r>
    </w:p>
    <w:p>
      <w:pPr>
        <w:pStyle w:val="ListParagraph"/>
        <w:numPr>
          <w:ilvl w:val="0"/>
          <w:numId w:val="2"/>
        </w:numPr>
        <w:spacing w:before="60" w:after="60"/>
      </w:pPr>
      <w:r>
        <w:rPr>
          <w:rFonts w:ascii="Arial" w:cs="Arial" w:eastAsia="Arial" w:hAnsi="Arial"/>
          <w:color w:val="1A1A2E"/>
          <w:sz w:val="22"/>
          <w:szCs w:val="22"/>
        </w:rPr>
        <w:t xml:space="preserve">Contacto: systemex.com.ar o directo por X @ExeAndino</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10.2 IDO Público</w:t>
      </w:r>
    </w:p>
    <w:p>
      <w:pPr>
        <w:pStyle w:val="ListParagraph"/>
        <w:numPr>
          <w:ilvl w:val="0"/>
          <w:numId w:val="2"/>
        </w:numPr>
        <w:spacing w:before="60" w:after="60"/>
      </w:pPr>
      <w:r>
        <w:rPr>
          <w:rFonts w:ascii="Arial" w:cs="Arial" w:eastAsia="Arial" w:hAnsi="Arial"/>
          <w:color w:val="1A1A2E"/>
          <w:sz w:val="22"/>
          <w:szCs w:val="22"/>
        </w:rPr>
        <w:t xml:space="preserve">Precio: USD 0.00008 por SYSTEMEX</w:t>
      </w:r>
    </w:p>
    <w:p>
      <w:pPr>
        <w:pStyle w:val="ListParagraph"/>
        <w:numPr>
          <w:ilvl w:val="0"/>
          <w:numId w:val="2"/>
        </w:numPr>
        <w:spacing w:before="60" w:after="60"/>
      </w:pPr>
      <w:r>
        <w:rPr>
          <w:rFonts w:ascii="Arial" w:cs="Arial" w:eastAsia="Arial" w:hAnsi="Arial"/>
          <w:color w:val="1A1A2E"/>
          <w:sz w:val="22"/>
          <w:szCs w:val="22"/>
        </w:rPr>
        <w:t xml:space="preserve">Plataforma: Raydium / formulario en systemex.com.ar</w:t>
      </w:r>
    </w:p>
    <w:p>
      <w:pPr>
        <w:pStyle w:val="ListParagraph"/>
        <w:numPr>
          <w:ilvl w:val="0"/>
          <w:numId w:val="2"/>
        </w:numPr>
        <w:spacing w:before="60" w:after="60"/>
      </w:pPr>
      <w:r>
        <w:rPr>
          <w:rFonts w:ascii="Arial" w:cs="Arial" w:eastAsia="Arial" w:hAnsi="Arial"/>
          <w:color w:val="1A1A2E"/>
          <w:sz w:val="22"/>
          <w:szCs w:val="22"/>
        </w:rPr>
        <w:t xml:space="preserve">Sin mínimo de inversión</w:t>
      </w:r>
    </w:p>
    <w:p>
      <w:pPr>
        <w:pStyle w:val="ListParagraph"/>
        <w:numPr>
          <w:ilvl w:val="0"/>
          <w:numId w:val="2"/>
        </w:numPr>
        <w:spacing w:before="60" w:after="60"/>
      </w:pPr>
      <w:r>
        <w:rPr>
          <w:rFonts w:ascii="Arial" w:cs="Arial" w:eastAsia="Arial" w:hAnsi="Arial"/>
          <w:color w:val="1A1A2E"/>
          <w:sz w:val="22"/>
          <w:szCs w:val="22"/>
        </w:rPr>
        <w:t xml:space="preserve">Vesting: 3 meses de liberación lineal</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10.3 Trading en DEX (Post-Listing)</w:t>
      </w:r>
    </w:p>
    <w:p>
      <w:pPr>
        <w:pStyle w:val="ListParagraph"/>
        <w:numPr>
          <w:ilvl w:val="0"/>
          <w:numId w:val="2"/>
        </w:numPr>
        <w:spacing w:before="60" w:after="60"/>
      </w:pPr>
      <w:r>
        <w:rPr>
          <w:rFonts w:ascii="Arial" w:cs="Arial" w:eastAsia="Arial" w:hAnsi="Arial"/>
          <w:color w:val="1A1A2E"/>
          <w:sz w:val="22"/>
          <w:szCs w:val="22"/>
        </w:rPr>
        <w:t xml:space="preserve">Exchange: Raydium (pool SOL/SYSTEMEX)</w:t>
      </w:r>
    </w:p>
    <w:p>
      <w:pPr>
        <w:pStyle w:val="ListParagraph"/>
        <w:numPr>
          <w:ilvl w:val="0"/>
          <w:numId w:val="2"/>
        </w:numPr>
        <w:spacing w:before="60" w:after="60"/>
      </w:pPr>
      <w:r>
        <w:rPr>
          <w:rFonts w:ascii="Arial" w:cs="Arial" w:eastAsia="Arial" w:hAnsi="Arial"/>
          <w:color w:val="1A1A2E"/>
          <w:sz w:val="22"/>
          <w:szCs w:val="22"/>
        </w:rPr>
        <w:t xml:space="preserve">Mint address: FhhS9QQX5t7JEFHg5Egqq8YNU23NJpQdrSyUTMejwGqt</w:t>
      </w:r>
    </w:p>
    <w:p>
      <w:pPr>
        <w:pStyle w:val="ListParagraph"/>
        <w:numPr>
          <w:ilvl w:val="0"/>
          <w:numId w:val="2"/>
        </w:numPr>
        <w:spacing w:before="60" w:after="60"/>
      </w:pPr>
      <w:r>
        <w:rPr>
          <w:rFonts w:ascii="Arial" w:cs="Arial" w:eastAsia="Arial" w:hAnsi="Arial"/>
          <w:color w:val="1A1A2E"/>
          <w:sz w:val="22"/>
          <w:szCs w:val="22"/>
        </w:rPr>
        <w:t xml:space="preserve">Compatible con wallets: Phantom, Solflare, Backpack</w:t>
      </w:r>
    </w:p>
    <w:p>
      <w:pPr>
        <w:pStyle w:val="ListParagraph"/>
        <w:numPr>
          <w:ilvl w:val="0"/>
          <w:numId w:val="2"/>
        </w:numPr>
        <w:spacing w:before="60" w:after="60"/>
      </w:pPr>
      <w:r>
        <w:rPr>
          <w:rFonts w:ascii="Arial" w:cs="Arial" w:eastAsia="Arial" w:hAnsi="Arial"/>
          <w:color w:val="1A1A2E"/>
          <w:sz w:val="22"/>
          <w:szCs w:val="22"/>
        </w:rPr>
        <w:t xml:space="preserve">También disponible en Jupiter Swap post-indexación</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10.4 Tokenización de tu Propiedad</w:t>
      </w:r>
    </w:p>
    <w:p>
      <w:pPr>
        <w:pStyle w:val="ListParagraph"/>
        <w:numPr>
          <w:ilvl w:val="0"/>
          <w:numId w:val="2"/>
        </w:numPr>
        <w:spacing w:before="60" w:after="60"/>
      </w:pPr>
      <w:r>
        <w:rPr>
          <w:rFonts w:ascii="Arial" w:cs="Arial" w:eastAsia="Arial" w:hAnsi="Arial"/>
          <w:color w:val="1A1A2E"/>
          <w:sz w:val="22"/>
          <w:szCs w:val="22"/>
        </w:rPr>
        <w:t xml:space="preserve">Completá el formulario de propietarios en systemex.com.ar</w:t>
      </w:r>
    </w:p>
    <w:p>
      <w:pPr>
        <w:pStyle w:val="ListParagraph"/>
        <w:numPr>
          <w:ilvl w:val="0"/>
          <w:numId w:val="2"/>
        </w:numPr>
        <w:spacing w:before="60" w:after="60"/>
      </w:pPr>
      <w:r>
        <w:rPr>
          <w:rFonts w:ascii="Arial" w:cs="Arial" w:eastAsia="Arial" w:hAnsi="Arial"/>
          <w:color w:val="1A1A2E"/>
          <w:sz w:val="22"/>
          <w:szCs w:val="22"/>
        </w:rPr>
        <w:t xml:space="preserve">El equipo te contacta en 48-72 horas hábiles</w:t>
      </w:r>
    </w:p>
    <w:p>
      <w:pPr>
        <w:pStyle w:val="ListParagraph"/>
        <w:numPr>
          <w:ilvl w:val="0"/>
          <w:numId w:val="2"/>
        </w:numPr>
        <w:spacing w:before="60" w:after="60"/>
      </w:pPr>
      <w:r>
        <w:rPr>
          <w:rFonts w:ascii="Arial" w:cs="Arial" w:eastAsia="Arial" w:hAnsi="Arial"/>
          <w:color w:val="1A1A2E"/>
          <w:sz w:val="22"/>
          <w:szCs w:val="22"/>
        </w:rPr>
        <w:t xml:space="preserve">Proceso completo: 2-4 semanas desde la documentación hasta el lanzamiento de ronda</w:t>
      </w:r>
    </w:p>
    <w:p>
      <w:pPr>
        <w:spacing w:before="0" w:after="0"/>
      </w:pPr>
      <w:r>
        <w:rPr>
          <w:sz w:val="44"/>
          <w:szCs w:val="44"/>
        </w:rPr>
        <w:t xml:space="preserve"/>
      </w:r>
    </w:p>
    <w:p>
      <w:pPr>
        <w:pStyle w:val="Heading1"/>
        <w:spacing w:before="400" w:after="200"/>
      </w:pPr>
      <w:r>
        <w:rPr>
          <w:rFonts w:ascii="Arial" w:cs="Arial" w:eastAsia="Arial" w:hAnsi="Arial"/>
          <w:b/>
          <w:bCs/>
          <w:color w:val="1A3C6E"/>
          <w:sz w:val="36"/>
          <w:szCs w:val="36"/>
        </w:rPr>
        <w:t xml:space="preserve">11. Contacto y Comunidad</w:t>
      </w:r>
    </w:p>
    <w:p>
      <w:pPr>
        <w:pBdr>
          <w:bottom w:val="single" w:color="2E75B6"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Canal</w:t>
            </w:r>
          </w:p>
        </w:tc>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Link / Info</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Sitio web</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systemex.com.ar</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Twitter / X</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@ExeAndino</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Mint Address (Solana)</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FhhS9QQX5t7JEFHg5Egqq8YNU23NJpQdrSyUTMejwGqt</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GitHub</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github.com/exeandino/systemex</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Email de contacto</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contacto@systemex.com.ar</w:t>
            </w:r>
          </w:p>
        </w:tc>
      </w:tr>
    </w:tbl>
    <w:p>
      <w:pPr>
        <w:spacing w:before="0" w:after="0"/>
      </w:pPr>
      <w:r>
        <w:rPr>
          <w:sz w:val="44"/>
          <w:szCs w:val="44"/>
        </w:rPr>
        <w:t xml:space="preserve"/>
      </w:r>
    </w:p>
    <w:p>
      <w:pPr>
        <w:pBdr>
          <w:bottom w:val="single" w:color="2E75B6" w:sz="4" w:space="1"/>
        </w:pBdr>
        <w:spacing w:before="200" w:after="200"/>
      </w:pPr>
      <w:r>
        <w:t xml:space="preserve"/>
      </w:r>
    </w:p>
    <w:p>
      <w:pPr>
        <w:spacing w:before="300" w:after="100"/>
        <w:jc w:val="center"/>
      </w:pPr>
      <w:r>
        <w:rPr>
          <w:rFonts w:ascii="Arial" w:cs="Arial" w:eastAsia="Arial" w:hAnsi="Arial"/>
          <w:i/>
          <w:iCs/>
          <w:color w:val="888888"/>
          <w:sz w:val="18"/>
          <w:szCs w:val="18"/>
        </w:rPr>
        <w:t xml:space="preserve">SYSTEMEX ECOSYSTEM TOKEN — Whitepaper v1.0 — Febrero 2026</w:t>
      </w:r>
    </w:p>
    <w:p>
      <w:pPr>
        <w:spacing w:before="0" w:after="0"/>
        <w:jc w:val="center"/>
      </w:pPr>
      <w:r>
        <w:rPr>
          <w:rFonts w:ascii="Arial" w:cs="Arial" w:eastAsia="Arial" w:hAnsi="Arial"/>
          <w:i/>
          <w:iCs/>
          <w:color w:val="888888"/>
          <w:sz w:val="16"/>
          <w:szCs w:val="16"/>
        </w:rPr>
        <w:t xml:space="preserve">Este documento puede ser actualizado. Verificá siempre la versión vigente en systemex.com.ar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4"/>
      </w:pBdr>
      <w:tabs>
        <w:tab w:val="right" w:pos="9026"/>
      </w:tabs>
    </w:pPr>
    <w:r>
      <w:rPr>
        <w:rFonts w:ascii="Arial" w:cs="Arial" w:eastAsia="Arial" w:hAnsi="Arial"/>
        <w:i/>
        <w:iCs/>
        <w:color w:val="888888"/>
        <w:sz w:val="16"/>
        <w:szCs w:val="16"/>
      </w:rPr>
      <w:t xml:space="preserve">Confidencial — Solo para inversores calificados</w:t>
    </w:r>
    <w:r>
      <w:rPr>
        <w:rFonts w:ascii="Arial" w:cs="Arial" w:eastAsia="Arial" w:hAnsi="Arial"/>
        <w:color w:val="888888"/>
        <w:sz w:val="16"/>
        <w:szCs w:val="16"/>
      </w:rPr>
      <w:t xml:space="preserve">	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8"/>
        <w:szCs w:val="18"/>
      </w:rPr>
      <w:t xml:space="preserve">SYSTEMEX — Whitepaper v1.0</w:t>
    </w:r>
    <w:r>
      <w:rPr>
        <w:sz w:val="18"/>
        <w:szCs w:val="18"/>
      </w:rPr>
      <w:t xml:space="preserve">	</w:t>
    </w:r>
    <w:r>
      <w:rPr>
        <w:rFonts w:ascii="Arial" w:cs="Arial" w:eastAsia="Arial" w:hAnsi="Arial"/>
        <w:color w:val="2E75B6"/>
        <w:sz w:val="18"/>
        <w:szCs w:val="18"/>
      </w:rPr>
      <w:t xml:space="preserve">systemex.com.ar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6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2026-02-19T08:21:20.920Z</dcterms:created>
  <dcterms:modified xsi:type="dcterms:W3CDTF">2026-02-19T08:21:20.921Z</dcterms:modified>
</cp:coreProperties>
</file>

<file path=docProps/custom.xml><?xml version="1.0" encoding="utf-8"?>
<Properties xmlns="http://schemas.openxmlformats.org/officeDocument/2006/custom-properties" xmlns:vt="http://schemas.openxmlformats.org/officeDocument/2006/docPropsVTypes"/>
</file>