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pPr>
      <w:r>
        <w:rPr>
          <w:sz w:val="88"/>
          <w:szCs w:val="88"/>
        </w:rPr>
        <w:t xml:space="preserve"/>
      </w:r>
    </w:p>
    <w:p>
      <w:pPr>
        <w:spacing w:before="0" w:after="80"/>
        <w:jc w:val="center"/>
      </w:pPr>
      <w:r>
        <w:rPr>
          <w:rFonts w:ascii="Arial" w:cs="Arial" w:eastAsia="Arial" w:hAnsi="Arial"/>
          <w:b/>
          <w:bCs/>
          <w:color w:val="1A3C6E"/>
          <w:sz w:val="72"/>
          <w:szCs w:val="72"/>
        </w:rPr>
        <w:t xml:space="preserve">SYSTEMEX</w:t>
      </w:r>
    </w:p>
    <w:p>
      <w:pPr>
        <w:spacing w:before="0" w:after="200"/>
        <w:jc w:val="center"/>
      </w:pPr>
      <w:r>
        <w:rPr>
          <w:rFonts w:ascii="Arial" w:cs="Arial" w:eastAsia="Arial" w:hAnsi="Arial"/>
          <w:b/>
          <w:bCs/>
          <w:color w:val="2E75B6"/>
          <w:sz w:val="48"/>
          <w:szCs w:val="48"/>
        </w:rPr>
        <w:t xml:space="preserve">ECOSYSTEM TOKEN</w:t>
      </w:r>
    </w:p>
    <w:p>
      <w:pPr>
        <w:pBdr>
          <w:bottom w:val="single" w:color="00A86B" w:sz="6" w:space="1"/>
        </w:pBdr>
        <w:spacing w:before="0" w:after="300"/>
        <w:jc w:val="center"/>
      </w:pPr>
      <w:r>
        <w:t xml:space="preserve"/>
      </w:r>
    </w:p>
    <w:p>
      <w:pPr>
        <w:spacing w:before="0" w:after="0"/>
      </w:pPr>
      <w:r>
        <w:rPr>
          <w:sz w:val="44"/>
          <w:szCs w:val="44"/>
        </w:rPr>
        <w:t xml:space="preserve"/>
      </w:r>
    </w:p>
    <w:p>
      <w:pPr>
        <w:spacing w:before="0" w:after="120"/>
        <w:jc w:val="center"/>
      </w:pPr>
      <w:r>
        <w:rPr>
          <w:rFonts w:ascii="Arial" w:cs="Arial" w:eastAsia="Arial" w:hAnsi="Arial"/>
          <w:b/>
          <w:bCs/>
          <w:color w:val="00A86B"/>
          <w:sz w:val="32"/>
          <w:szCs w:val="32"/>
        </w:rPr>
        <w:t xml:space="preserve">WHITEPAPER v1.0</w:t>
      </w:r>
    </w:p>
    <w:p>
      <w:pPr>
        <w:spacing w:before="0" w:after="80"/>
        <w:jc w:val="center"/>
      </w:pPr>
      <w:r>
        <w:rPr>
          <w:rFonts w:ascii="Arial" w:cs="Arial" w:eastAsia="Arial" w:hAnsi="Arial"/>
          <w:i/>
          <w:iCs/>
          <w:color w:val="1A1A2E"/>
          <w:sz w:val="28"/>
          <w:szCs w:val="28"/>
        </w:rPr>
        <w:t xml:space="preserve">Real World Asset Tokenization Platform</w:t>
      </w:r>
    </w:p>
    <w:p>
      <w:pPr>
        <w:spacing w:before="0" w:after="80"/>
        <w:jc w:val="center"/>
      </w:pPr>
      <w:r>
        <w:rPr>
          <w:rFonts w:ascii="Arial" w:cs="Arial" w:eastAsia="Arial" w:hAnsi="Arial"/>
          <w:color w:val="1A1A2E"/>
          <w:sz w:val="24"/>
          <w:szCs w:val="24"/>
        </w:rPr>
        <w:t xml:space="preserve">Real Estate · Online Courses · E-Commerce</w:t>
      </w:r>
    </w:p>
    <w:p>
      <w:pPr>
        <w:spacing w:before="0" w:after="0"/>
      </w:pPr>
      <w:r>
        <w:rPr>
          <w:sz w:val="132"/>
          <w:szCs w:val="132"/>
        </w:rPr>
        <w:t xml:space="preserve"/>
      </w:r>
    </w:p>
    <w:p>
      <w:pPr>
        <w:spacing w:before="0" w:after="60"/>
        <w:jc w:val="center"/>
      </w:pPr>
      <w:r>
        <w:rPr>
          <w:rFonts w:ascii="Arial" w:cs="Arial" w:eastAsia="Arial" w:hAnsi="Arial"/>
          <w:b/>
          <w:bCs/>
          <w:color w:val="2E75B6"/>
          <w:sz w:val="24"/>
          <w:szCs w:val="24"/>
        </w:rPr>
        <w:t xml:space="preserve">systemex.com.ar</w:t>
      </w:r>
    </w:p>
    <w:p>
      <w:pPr>
        <w:spacing w:before="0" w:after="60"/>
        <w:jc w:val="center"/>
      </w:pPr>
      <w:r>
        <w:rPr>
          <w:rFonts w:ascii="Arial" w:cs="Arial" w:eastAsia="Arial" w:hAnsi="Arial"/>
          <w:color w:val="1A1A2E"/>
          <w:sz w:val="22"/>
          <w:szCs w:val="22"/>
        </w:rPr>
        <w:t xml:space="preserve">@ExeAndino  |  Solana Blockchain</w:t>
      </w:r>
    </w:p>
    <w:p>
      <w:pPr>
        <w:spacing w:before="0" w:after="60"/>
        <w:jc w:val="center"/>
      </w:pPr>
      <w:r>
        <w:rPr>
          <w:rFonts w:ascii="Arial" w:cs="Arial" w:eastAsia="Arial" w:hAnsi="Arial"/>
          <w:i/>
          <w:iCs/>
          <w:color w:val="1A1A2E"/>
          <w:sz w:val="22"/>
          <w:szCs w:val="22"/>
        </w:rPr>
        <w:t xml:space="preserve">February 2026</w:t>
      </w:r>
    </w:p>
    <w:p>
      <w:r>
        <w:br w:type="page"/>
      </w:r>
    </w:p>
    <w:p>
      <w:pPr>
        <w:sectPr>
          <w:pgSz w:w="12240" w:h="15840" w:orient="portrait"/>
          <w:pgMar w:top="1440" w:right="1440" w:bottom="1440" w:left="1440" w:header="708" w:footer="708" w:gutter="0"/>
          <w:pgNumType/>
          <w:docGrid w:linePitch="360"/>
        </w:sectPr>
      </w:pPr>
    </w:p>
    <w:p>
      <w:pPr>
        <w:pStyle w:val="Heading1"/>
        <w:spacing w:before="400" w:after="200"/>
      </w:pPr>
      <w:r>
        <w:rPr>
          <w:rFonts w:ascii="Arial" w:cs="Arial" w:eastAsia="Arial" w:hAnsi="Arial"/>
          <w:b/>
          <w:bCs/>
          <w:color w:val="1A3C6E"/>
          <w:sz w:val="36"/>
          <w:szCs w:val="36"/>
        </w:rPr>
        <w:t xml:space="preserve">1. Executive Summary</w:t>
      </w:r>
    </w:p>
    <w:p>
      <w:pPr>
        <w:pBdr>
          <w:bottom w:val="single" w:color="2E75B6" w:sz="4" w:space="1"/>
        </w:pBdr>
        <w:spacing w:before="200" w:after="200"/>
      </w:pPr>
      <w:r>
        <w:t xml:space="preserve"/>
      </w:r>
    </w:p>
    <w:p>
      <w:pPr>
        <w:spacing w:before="80" w:after="80"/>
        <w:jc w:val="both"/>
      </w:pPr>
      <w:r>
        <w:rPr>
          <w:rFonts w:ascii="Arial" w:cs="Arial" w:eastAsia="Arial" w:hAnsi="Arial"/>
          <w:b w:val="false"/>
          <w:bCs w:val="false"/>
          <w:i w:val="false"/>
          <w:iCs w:val="false"/>
          <w:color w:val="1A1A2E"/>
          <w:sz w:val="22"/>
          <w:szCs w:val="22"/>
        </w:rPr>
        <w:t xml:space="preserve">Systemex is a blockchain platform built on Solana that integrates three business verticals into a single tokenized ecosystem: tokenization of real world assets (RWA) in real estate, access to online courses and education, and e-commerce. The native token SYSTEMEX (ticker: SYSTEMEX) is the unit of value connecting all layers of the ecosystem.</w:t>
      </w:r>
    </w:p>
    <w:p>
      <w:pPr>
        <w:spacing w:before="0" w:after="0"/>
      </w:pPr>
      <w:r>
        <w:rPr>
          <w:sz w:val="22"/>
          <w:szCs w:val="22"/>
        </w:rPr>
        <w:t xml:space="preserve"/>
      </w:r>
    </w:p>
    <w:p>
      <w:pPr>
        <w:spacing w:before="80" w:after="80"/>
        <w:jc w:val="both"/>
      </w:pPr>
      <w:r>
        <w:rPr>
          <w:rFonts w:ascii="Arial" w:cs="Arial" w:eastAsia="Arial" w:hAnsi="Arial"/>
          <w:b w:val="false"/>
          <w:bCs w:val="false"/>
          <w:i w:val="false"/>
          <w:iCs w:val="false"/>
          <w:color w:val="1A1A2E"/>
          <w:sz w:val="22"/>
          <w:szCs w:val="22"/>
        </w:rPr>
        <w:t xml:space="preserve">The platform operates under a dual-benefit model: holders receive passive returns derived from tokenized real estate assets and, simultaneously, access to discounts, memberships, and governance over the educational and commercial platform. This differentiates SYSTEMEX from purely speculative tokens, endowing it with real utility and tangible value flows from day one.</w:t>
      </w:r>
    </w:p>
    <w:p>
      <w:pPr>
        <w:spacing w:before="0" w:after="0"/>
      </w:pPr>
      <w:r>
        <w:rPr>
          <w:sz w:val="22"/>
          <w:szCs w:val="22"/>
        </w:rPr>
        <w:t xml:space="preserve"/>
      </w:r>
    </w:p>
    <w:p>
      <w:pPr>
        <w:spacing w:before="80" w:after="80"/>
        <w:jc w:val="both"/>
      </w:pPr>
      <w:r>
        <w:rPr>
          <w:rFonts w:ascii="Arial" w:cs="Arial" w:eastAsia="Arial" w:hAnsi="Arial"/>
          <w:b w:val="false"/>
          <w:bCs w:val="false"/>
          <w:i w:val="false"/>
          <w:iCs w:val="false"/>
          <w:color w:val="1A1A2E"/>
          <w:sz w:val="22"/>
          <w:szCs w:val="22"/>
        </w:rPr>
        <w:t xml:space="preserve">Argentina is experiencing a historic moment for real asset tokenization: the CNV (National Securities Commission) approved the complete regime for tokenizing assets in December 2025, the Latin American RWA market is projected to exceed USD 10 billion in 2026, and blockchain adoption in the real estate sector is growing exponentially. Systemex is positioned to capture this opportunity from Argentina to the world.</w:t>
      </w:r>
    </w:p>
    <w:p>
      <w:pPr>
        <w:spacing w:before="0" w:after="0"/>
      </w:pPr>
      <w:r>
        <w:rPr>
          <w:sz w:val="44"/>
          <w:szCs w:val="4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E3" w:sz="1"/>
              <w:left w:val="single" w:color="D0D7E3" w:sz="1"/>
              <w:bottom w:val="single" w:color="D0D7E3" w:sz="1"/>
              <w:right w:val="single" w:color="D0D7E3" w:sz="1"/>
            </w:tcBorders>
            <w:shd w:fill="E8F4FD" w:val="clear"/>
            <w:tcMar>
              <w:top w:type="dxa" w:w="160"/>
              <w:left w:type="dxa" w:w="240"/>
              <w:bottom w:type="dxa" w:w="160"/>
              <w:right w:type="dxa" w:w="240"/>
            </w:tcMar>
          </w:tcPr>
          <w:p>
            <w:pPr>
              <w:spacing w:before="60" w:after="80"/>
            </w:pPr>
            <w:r>
              <w:rPr>
                <w:rFonts w:ascii="Arial" w:cs="Arial" w:eastAsia="Arial" w:hAnsi="Arial"/>
                <w:b/>
                <w:bCs/>
                <w:color w:val="1A3C6E"/>
                <w:sz w:val="24"/>
                <w:szCs w:val="24"/>
              </w:rPr>
              <w:t xml:space="preserve">Key Token Data</w:t>
            </w:r>
          </w:p>
          <w:p>
            <w:pPr>
              <w:spacing w:before="40" w:after="40"/>
            </w:pPr>
            <w:r>
              <w:rPr>
                <w:rFonts w:ascii="Arial" w:cs="Arial" w:eastAsia="Arial" w:hAnsi="Arial"/>
                <w:color w:val="1A1A2E"/>
                <w:sz w:val="22"/>
                <w:szCs w:val="22"/>
              </w:rPr>
              <w:t xml:space="preserve">Name: Systemex Ecosystem Token</w:t>
            </w:r>
          </w:p>
          <w:p>
            <w:pPr>
              <w:spacing w:before="40" w:after="40"/>
            </w:pPr>
            <w:r>
              <w:rPr>
                <w:rFonts w:ascii="Arial" w:cs="Arial" w:eastAsia="Arial" w:hAnsi="Arial"/>
                <w:color w:val="1A1A2E"/>
                <w:sz w:val="22"/>
                <w:szCs w:val="22"/>
              </w:rPr>
              <w:t xml:space="preserve">Ticker: SYSTEMEX</w:t>
            </w:r>
          </w:p>
          <w:p>
            <w:pPr>
              <w:spacing w:before="40" w:after="40"/>
            </w:pPr>
            <w:r>
              <w:rPr>
                <w:rFonts w:ascii="Arial" w:cs="Arial" w:eastAsia="Arial" w:hAnsi="Arial"/>
                <w:color w:val="1A1A2E"/>
                <w:sz w:val="22"/>
                <w:szCs w:val="22"/>
              </w:rPr>
              <w:t xml:space="preserve">Blockchain: Solana (SPL Token)</w:t>
            </w:r>
          </w:p>
          <w:p>
            <w:pPr>
              <w:spacing w:before="40" w:after="40"/>
            </w:pPr>
            <w:r>
              <w:rPr>
                <w:rFonts w:ascii="Arial" w:cs="Arial" w:eastAsia="Arial" w:hAnsi="Arial"/>
                <w:color w:val="1A1A2E"/>
                <w:sz w:val="22"/>
                <w:szCs w:val="22"/>
              </w:rPr>
              <w:t xml:space="preserve">Total Supply: 1,000,000,000 SYSTEMEX</w:t>
            </w:r>
          </w:p>
          <w:p>
            <w:pPr>
              <w:spacing w:before="40" w:after="40"/>
            </w:pPr>
            <w:r>
              <w:rPr>
                <w:rFonts w:ascii="Arial" w:cs="Arial" w:eastAsia="Arial" w:hAnsi="Arial"/>
                <w:color w:val="1A1A2E"/>
                <w:sz w:val="22"/>
                <w:szCs w:val="22"/>
              </w:rPr>
              <w:t xml:space="preserve">Mint Address: FhhS9QQX5t7JEFHg5Egqq8YNU23NJpQdrSyUTMejwGqt</w:t>
            </w:r>
          </w:p>
          <w:p>
            <w:pPr>
              <w:spacing w:before="40" w:after="40"/>
            </w:pPr>
            <w:r>
              <w:rPr>
                <w:rFonts w:ascii="Arial" w:cs="Arial" w:eastAsia="Arial" w:hAnsi="Arial"/>
                <w:color w:val="1A1A2E"/>
                <w:sz w:val="22"/>
                <w:szCs w:val="22"/>
              </w:rPr>
              <w:t xml:space="preserve">Listing Price: USD 0.0001 per token</w:t>
            </w:r>
          </w:p>
          <w:p>
            <w:pPr>
              <w:spacing w:before="40" w:after="40"/>
            </w:pPr>
            <w:r>
              <w:rPr>
                <w:rFonts w:ascii="Arial" w:cs="Arial" w:eastAsia="Arial" w:hAnsi="Arial"/>
                <w:color w:val="1A1A2E"/>
                <w:sz w:val="22"/>
                <w:szCs w:val="22"/>
              </w:rPr>
              <w:t xml:space="preserve">Initial Market Cap: ~USD 100,000 (circulating)</w:t>
            </w:r>
          </w:p>
          <w:p>
            <w:pPr>
              <w:spacing w:before="40" w:after="40"/>
            </w:pPr>
            <w:r>
              <w:rPr>
                <w:rFonts w:ascii="Arial" w:cs="Arial" w:eastAsia="Arial" w:hAnsi="Arial"/>
                <w:color w:val="1A1A2E"/>
                <w:sz w:val="22"/>
                <w:szCs w:val="22"/>
              </w:rPr>
              <w:t xml:space="preserve">Website: systemex.com.ar</w:t>
            </w:r>
          </w:p>
        </w:tc>
      </w:tr>
    </w:tbl>
    <w:p>
      <w:pPr>
        <w:spacing w:before="0" w:after="0"/>
      </w:pPr>
      <w:r>
        <w:rPr>
          <w:sz w:val="44"/>
          <w:szCs w:val="44"/>
        </w:rPr>
        <w:t xml:space="preserve"/>
      </w:r>
    </w:p>
    <w:p>
      <w:r>
        <w:br w:type="page"/>
      </w:r>
    </w:p>
    <w:p>
      <w:pPr>
        <w:pStyle w:val="Heading1"/>
        <w:spacing w:before="400" w:after="200"/>
      </w:pPr>
      <w:r>
        <w:rPr>
          <w:rFonts w:ascii="Arial" w:cs="Arial" w:eastAsia="Arial" w:hAnsi="Arial"/>
          <w:b/>
          <w:bCs/>
          <w:color w:val="1A3C6E"/>
          <w:sz w:val="36"/>
          <w:szCs w:val="36"/>
        </w:rPr>
        <w:t xml:space="preserve">2. Problem and Solution</w:t>
      </w:r>
    </w:p>
    <w:p>
      <w:pPr>
        <w:pBdr>
          <w:bottom w:val="single" w:color="2E75B6" w:sz="4" w:space="1"/>
        </w:pBdr>
        <w:spacing w:before="200" w:after="200"/>
      </w:pPr>
      <w:r>
        <w:t xml:space="preserve"/>
      </w:r>
    </w:p>
    <w:p>
      <w:pPr>
        <w:pStyle w:val="Heading2"/>
        <w:spacing w:before="300" w:after="160"/>
      </w:pPr>
      <w:r>
        <w:rPr>
          <w:rFonts w:ascii="Arial" w:cs="Arial" w:eastAsia="Arial" w:hAnsi="Arial"/>
          <w:b/>
          <w:bCs/>
          <w:color w:val="2E75B6"/>
          <w:sz w:val="28"/>
          <w:szCs w:val="28"/>
        </w:rPr>
        <w:t xml:space="preserve">2.1 The Problem</w:t>
      </w:r>
    </w:p>
    <w:p>
      <w:pPr>
        <w:spacing w:before="80" w:after="80"/>
        <w:jc w:val="both"/>
      </w:pPr>
      <w:r>
        <w:rPr>
          <w:rFonts w:ascii="Arial" w:cs="Arial" w:eastAsia="Arial" w:hAnsi="Arial"/>
          <w:b w:val="false"/>
          <w:bCs w:val="false"/>
          <w:i w:val="false"/>
          <w:iCs w:val="false"/>
          <w:color w:val="1A1A2E"/>
          <w:sz w:val="22"/>
          <w:szCs w:val="22"/>
        </w:rPr>
        <w:t xml:space="preserve">Traditional real estate markets in Argentina and Latin America present historically high entry barriers: significant capital is required to invest in properties, processes are slow and bureaucratic, liquidity is practically nonexistent once capital is invested, and access is restricted to high-net-worth investors.</w:t>
      </w:r>
    </w:p>
    <w:p>
      <w:pPr>
        <w:spacing w:before="0" w:after="0"/>
      </w:pPr>
      <w:r>
        <w:rPr>
          <w:sz w:val="22"/>
          <w:szCs w:val="22"/>
        </w:rPr>
        <w:t xml:space="preserve"/>
      </w:r>
    </w:p>
    <w:p>
      <w:pPr>
        <w:spacing w:before="80" w:after="80"/>
        <w:jc w:val="both"/>
      </w:pPr>
      <w:r>
        <w:rPr>
          <w:rFonts w:ascii="Arial" w:cs="Arial" w:eastAsia="Arial" w:hAnsi="Arial"/>
          <w:b w:val="false"/>
          <w:bCs w:val="false"/>
          <w:i w:val="false"/>
          <w:iCs w:val="false"/>
          <w:color w:val="1A1A2E"/>
          <w:sz w:val="22"/>
          <w:szCs w:val="22"/>
        </w:rPr>
        <w:t xml:space="preserve">On the other hand, quality knowledge and education remain inaccessible to a large part of the population due to high costs, and loyalty models in e-commerce are generic and inefficient.</w:t>
      </w:r>
    </w:p>
    <w:p>
      <w:pPr>
        <w:spacing w:before="0" w:after="0"/>
      </w:pPr>
      <w:r>
        <w:rPr>
          <w:sz w:val="44"/>
          <w:szCs w:val="44"/>
        </w:rPr>
        <w:t xml:space="preserve"/>
      </w:r>
    </w:p>
    <w:p>
      <w:pPr>
        <w:pStyle w:val="Heading2"/>
        <w:spacing w:before="300" w:after="160"/>
      </w:pPr>
      <w:r>
        <w:rPr>
          <w:rFonts w:ascii="Arial" w:cs="Arial" w:eastAsia="Arial" w:hAnsi="Arial"/>
          <w:b/>
          <w:bCs/>
          <w:color w:val="2E75B6"/>
          <w:sz w:val="28"/>
          <w:szCs w:val="28"/>
        </w:rPr>
        <w:t xml:space="preserve">2.2 The Systemex 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0D7E3" w:sz="1"/>
              <w:left w:val="single" w:color="D0D7E3" w:sz="1"/>
              <w:bottom w:val="single" w:color="D0D7E3" w:sz="1"/>
              <w:right w:val="single" w:color="D0D7E3" w:sz="1"/>
            </w:tcBorders>
            <w:shd w:fill="1A3C6E" w:val="clear"/>
            <w:tcMar>
              <w:top w:type="dxa" w:w="100"/>
              <w:left w:type="dxa" w:w="180"/>
              <w:bottom w:type="dxa" w:w="100"/>
              <w:right w:type="dxa" w:w="180"/>
            </w:tcMar>
          </w:tcPr>
          <w:p>
            <w:r>
              <w:rPr>
                <w:rFonts w:ascii="Arial" w:cs="Arial" w:eastAsia="Arial" w:hAnsi="Arial"/>
                <w:b/>
                <w:bCs/>
                <w:color w:val="FFFFFF"/>
                <w:sz w:val="22"/>
                <w:szCs w:val="22"/>
              </w:rPr>
              <w:t xml:space="preserve">Problem</w:t>
            </w:r>
          </w:p>
        </w:tc>
        <w:tc>
          <w:tcPr>
            <w:tcW w:type="dxa" w:w="3120"/>
            <w:tcBorders>
              <w:top w:val="single" w:color="D0D7E3" w:sz="1"/>
              <w:left w:val="single" w:color="D0D7E3" w:sz="1"/>
              <w:bottom w:val="single" w:color="D0D7E3" w:sz="1"/>
              <w:right w:val="single" w:color="D0D7E3" w:sz="1"/>
            </w:tcBorders>
            <w:shd w:fill="1A3C6E" w:val="clear"/>
            <w:tcMar>
              <w:top w:type="dxa" w:w="100"/>
              <w:left w:type="dxa" w:w="180"/>
              <w:bottom w:type="dxa" w:w="100"/>
              <w:right w:type="dxa" w:w="180"/>
            </w:tcMar>
          </w:tcPr>
          <w:p>
            <w:r>
              <w:rPr>
                <w:rFonts w:ascii="Arial" w:cs="Arial" w:eastAsia="Arial" w:hAnsi="Arial"/>
                <w:b/>
                <w:bCs/>
                <w:color w:val="FFFFFF"/>
                <w:sz w:val="22"/>
                <w:szCs w:val="22"/>
              </w:rPr>
              <w:t xml:space="preserve">Systemex Vertical</w:t>
            </w:r>
          </w:p>
        </w:tc>
        <w:tc>
          <w:tcPr>
            <w:tcW w:type="dxa" w:w="3120"/>
            <w:tcBorders>
              <w:top w:val="single" w:color="D0D7E3" w:sz="1"/>
              <w:left w:val="single" w:color="D0D7E3" w:sz="1"/>
              <w:bottom w:val="single" w:color="D0D7E3" w:sz="1"/>
              <w:right w:val="single" w:color="D0D7E3" w:sz="1"/>
            </w:tcBorders>
            <w:shd w:fill="1A3C6E" w:val="clear"/>
            <w:tcMar>
              <w:top w:type="dxa" w:w="100"/>
              <w:left w:type="dxa" w:w="180"/>
              <w:bottom w:type="dxa" w:w="100"/>
              <w:right w:type="dxa" w:w="180"/>
            </w:tcMar>
          </w:tcPr>
          <w:p>
            <w:r>
              <w:rPr>
                <w:rFonts w:ascii="Arial" w:cs="Arial" w:eastAsia="Arial" w:hAnsi="Arial"/>
                <w:b/>
                <w:bCs/>
                <w:color w:val="FFFFFF"/>
                <w:sz w:val="22"/>
                <w:szCs w:val="22"/>
              </w:rPr>
              <w:t xml:space="preserve">Solution</w:t>
            </w:r>
          </w:p>
        </w:tc>
      </w:tr>
      <w:tr>
        <w:tc>
          <w:tcPr>
            <w:tcW w:type="dxa" w:w="3120"/>
            <w:tcBorders>
              <w:top w:val="single" w:color="D0D7E3" w:sz="1"/>
              <w:left w:val="single" w:color="D0D7E3" w:sz="1"/>
              <w:bottom w:val="single" w:color="D0D7E3" w:sz="1"/>
              <w:right w:val="single" w:color="D0D7E3" w:sz="1"/>
            </w:tcBorders>
            <w:shd w:fill="FFFFFF" w:val="clear"/>
            <w:tcMar>
              <w:top w:type="dxa" w:w="80"/>
              <w:left w:type="dxa" w:w="180"/>
              <w:bottom w:type="dxa" w:w="80"/>
              <w:right w:type="dxa" w:w="180"/>
            </w:tcMar>
          </w:tcPr>
          <w:p>
            <w:r>
              <w:rPr>
                <w:rFonts w:ascii="Arial" w:cs="Arial" w:eastAsia="Arial" w:hAnsi="Arial"/>
                <w:color w:val="1A1A2E"/>
                <w:sz w:val="22"/>
                <w:szCs w:val="22"/>
              </w:rPr>
              <w:t xml:space="preserve">Inaccessible real estate investment</w:t>
            </w:r>
          </w:p>
        </w:tc>
        <w:tc>
          <w:tcPr>
            <w:tcW w:type="dxa" w:w="3120"/>
            <w:tcBorders>
              <w:top w:val="single" w:color="D0D7E3" w:sz="1"/>
              <w:left w:val="single" w:color="D0D7E3" w:sz="1"/>
              <w:bottom w:val="single" w:color="D0D7E3" w:sz="1"/>
              <w:right w:val="single" w:color="D0D7E3" w:sz="1"/>
            </w:tcBorders>
            <w:shd w:fill="FFFFFF" w:val="clear"/>
            <w:tcMar>
              <w:top w:type="dxa" w:w="80"/>
              <w:left w:type="dxa" w:w="180"/>
              <w:bottom w:type="dxa" w:w="80"/>
              <w:right w:type="dxa" w:w="180"/>
            </w:tcMar>
          </w:tcPr>
          <w:p>
            <w:r>
              <w:rPr>
                <w:rFonts w:ascii="Arial" w:cs="Arial" w:eastAsia="Arial" w:hAnsi="Arial"/>
                <w:color w:val="1A1A2E"/>
                <w:sz w:val="22"/>
                <w:szCs w:val="22"/>
              </w:rPr>
              <w:t xml:space="preserve">RWA Tokenization</w:t>
            </w:r>
          </w:p>
        </w:tc>
        <w:tc>
          <w:tcPr>
            <w:tcW w:type="dxa" w:w="3120"/>
            <w:tcBorders>
              <w:top w:val="single" w:color="D0D7E3" w:sz="1"/>
              <w:left w:val="single" w:color="D0D7E3" w:sz="1"/>
              <w:bottom w:val="single" w:color="D0D7E3" w:sz="1"/>
              <w:right w:val="single" w:color="D0D7E3" w:sz="1"/>
            </w:tcBorders>
            <w:shd w:fill="FFFFFF" w:val="clear"/>
            <w:tcMar>
              <w:top w:type="dxa" w:w="80"/>
              <w:left w:type="dxa" w:w="180"/>
              <w:bottom w:type="dxa" w:w="80"/>
              <w:right w:type="dxa" w:w="180"/>
            </w:tcMar>
          </w:tcPr>
          <w:p>
            <w:r>
              <w:rPr>
                <w:rFonts w:ascii="Arial" w:cs="Arial" w:eastAsia="Arial" w:hAnsi="Arial"/>
                <w:color w:val="1A1A2E"/>
                <w:sz w:val="22"/>
                <w:szCs w:val="22"/>
              </w:rPr>
              <w:t xml:space="preserve">Fractions from USD 1</w:t>
            </w:r>
          </w:p>
        </w:tc>
      </w:tr>
      <w:tr>
        <w:tc>
          <w:tcPr>
            <w:tcW w:type="dxa" w:w="3120"/>
            <w:tcBorders>
              <w:top w:val="single" w:color="D0D7E3" w:sz="1"/>
              <w:left w:val="single" w:color="D0D7E3" w:sz="1"/>
              <w:bottom w:val="single" w:color="D0D7E3" w:sz="1"/>
              <w:right w:val="single" w:color="D0D7E3" w:sz="1"/>
            </w:tcBorders>
            <w:shd w:fill="F2F4F7" w:val="clear"/>
            <w:tcMar>
              <w:top w:type="dxa" w:w="80"/>
              <w:left w:type="dxa" w:w="180"/>
              <w:bottom w:type="dxa" w:w="80"/>
              <w:right w:type="dxa" w:w="180"/>
            </w:tcMar>
          </w:tcPr>
          <w:p>
            <w:r>
              <w:rPr>
                <w:rFonts w:ascii="Arial" w:cs="Arial" w:eastAsia="Arial" w:hAnsi="Arial"/>
                <w:color w:val="1A1A2E"/>
                <w:sz w:val="22"/>
                <w:szCs w:val="22"/>
              </w:rPr>
              <w:t xml:space="preserve">No liquidity in properties</w:t>
            </w:r>
          </w:p>
        </w:tc>
        <w:tc>
          <w:tcPr>
            <w:tcW w:type="dxa" w:w="3120"/>
            <w:tcBorders>
              <w:top w:val="single" w:color="D0D7E3" w:sz="1"/>
              <w:left w:val="single" w:color="D0D7E3" w:sz="1"/>
              <w:bottom w:val="single" w:color="D0D7E3" w:sz="1"/>
              <w:right w:val="single" w:color="D0D7E3" w:sz="1"/>
            </w:tcBorders>
            <w:shd w:fill="F2F4F7" w:val="clear"/>
            <w:tcMar>
              <w:top w:type="dxa" w:w="80"/>
              <w:left w:type="dxa" w:w="180"/>
              <w:bottom w:type="dxa" w:w="80"/>
              <w:right w:type="dxa" w:w="180"/>
            </w:tcMar>
          </w:tcPr>
          <w:p>
            <w:r>
              <w:rPr>
                <w:rFonts w:ascii="Arial" w:cs="Arial" w:eastAsia="Arial" w:hAnsi="Arial"/>
                <w:color w:val="1A1A2E"/>
                <w:sz w:val="22"/>
                <w:szCs w:val="22"/>
              </w:rPr>
              <w:t xml:space="preserve">DEX Raydium</w:t>
            </w:r>
          </w:p>
        </w:tc>
        <w:tc>
          <w:tcPr>
            <w:tcW w:type="dxa" w:w="3120"/>
            <w:tcBorders>
              <w:top w:val="single" w:color="D0D7E3" w:sz="1"/>
              <w:left w:val="single" w:color="D0D7E3" w:sz="1"/>
              <w:bottom w:val="single" w:color="D0D7E3" w:sz="1"/>
              <w:right w:val="single" w:color="D0D7E3" w:sz="1"/>
            </w:tcBorders>
            <w:shd w:fill="F2F4F7" w:val="clear"/>
            <w:tcMar>
              <w:top w:type="dxa" w:w="80"/>
              <w:left w:type="dxa" w:w="180"/>
              <w:bottom w:type="dxa" w:w="80"/>
              <w:right w:type="dxa" w:w="180"/>
            </w:tcMar>
          </w:tcPr>
          <w:p>
            <w:r>
              <w:rPr>
                <w:rFonts w:ascii="Arial" w:cs="Arial" w:eastAsia="Arial" w:hAnsi="Arial"/>
                <w:color w:val="1A1A2E"/>
                <w:sz w:val="22"/>
                <w:szCs w:val="22"/>
              </w:rPr>
              <w:t xml:space="preserve">Token trading 24/7</w:t>
            </w:r>
          </w:p>
        </w:tc>
      </w:tr>
      <w:tr>
        <w:tc>
          <w:tcPr>
            <w:tcW w:type="dxa" w:w="3120"/>
            <w:tcBorders>
              <w:top w:val="single" w:color="D0D7E3" w:sz="1"/>
              <w:left w:val="single" w:color="D0D7E3" w:sz="1"/>
              <w:bottom w:val="single" w:color="D0D7E3" w:sz="1"/>
              <w:right w:val="single" w:color="D0D7E3" w:sz="1"/>
            </w:tcBorders>
            <w:shd w:fill="FFFFFF" w:val="clear"/>
            <w:tcMar>
              <w:top w:type="dxa" w:w="80"/>
              <w:left w:type="dxa" w:w="180"/>
              <w:bottom w:type="dxa" w:w="80"/>
              <w:right w:type="dxa" w:w="180"/>
            </w:tcMar>
          </w:tcPr>
          <w:p>
            <w:r>
              <w:rPr>
                <w:rFonts w:ascii="Arial" w:cs="Arial" w:eastAsia="Arial" w:hAnsi="Arial"/>
                <w:color w:val="1A1A2E"/>
                <w:sz w:val="22"/>
                <w:szCs w:val="22"/>
              </w:rPr>
              <w:t xml:space="preserve">Rental income only for large investors</w:t>
            </w:r>
          </w:p>
        </w:tc>
        <w:tc>
          <w:tcPr>
            <w:tcW w:type="dxa" w:w="3120"/>
            <w:tcBorders>
              <w:top w:val="single" w:color="D0D7E3" w:sz="1"/>
              <w:left w:val="single" w:color="D0D7E3" w:sz="1"/>
              <w:bottom w:val="single" w:color="D0D7E3" w:sz="1"/>
              <w:right w:val="single" w:color="D0D7E3" w:sz="1"/>
            </w:tcBorders>
            <w:shd w:fill="FFFFFF" w:val="clear"/>
            <w:tcMar>
              <w:top w:type="dxa" w:w="80"/>
              <w:left w:type="dxa" w:w="180"/>
              <w:bottom w:type="dxa" w:w="80"/>
              <w:right w:type="dxa" w:w="180"/>
            </w:tcMar>
          </w:tcPr>
          <w:p>
            <w:r>
              <w:rPr>
                <w:rFonts w:ascii="Arial" w:cs="Arial" w:eastAsia="Arial" w:hAnsi="Arial"/>
                <w:color w:val="1A1A2E"/>
                <w:sz w:val="22"/>
                <w:szCs w:val="22"/>
              </w:rPr>
              <w:t xml:space="preserve">Smart Contracts</w:t>
            </w:r>
          </w:p>
        </w:tc>
        <w:tc>
          <w:tcPr>
            <w:tcW w:type="dxa" w:w="3120"/>
            <w:tcBorders>
              <w:top w:val="single" w:color="D0D7E3" w:sz="1"/>
              <w:left w:val="single" w:color="D0D7E3" w:sz="1"/>
              <w:bottom w:val="single" w:color="D0D7E3" w:sz="1"/>
              <w:right w:val="single" w:color="D0D7E3" w:sz="1"/>
            </w:tcBorders>
            <w:shd w:fill="FFFFFF" w:val="clear"/>
            <w:tcMar>
              <w:top w:type="dxa" w:w="80"/>
              <w:left w:type="dxa" w:w="180"/>
              <w:bottom w:type="dxa" w:w="80"/>
              <w:right w:type="dxa" w:w="180"/>
            </w:tcMar>
          </w:tcPr>
          <w:p>
            <w:r>
              <w:rPr>
                <w:rFonts w:ascii="Arial" w:cs="Arial" w:eastAsia="Arial" w:hAnsi="Arial"/>
                <w:color w:val="1A1A2E"/>
                <w:sz w:val="22"/>
                <w:szCs w:val="22"/>
              </w:rPr>
              <w:t xml:space="preserve">Automatic USDC distribution</w:t>
            </w:r>
          </w:p>
        </w:tc>
      </w:tr>
      <w:tr>
        <w:tc>
          <w:tcPr>
            <w:tcW w:type="dxa" w:w="3120"/>
            <w:tcBorders>
              <w:top w:val="single" w:color="D0D7E3" w:sz="1"/>
              <w:left w:val="single" w:color="D0D7E3" w:sz="1"/>
              <w:bottom w:val="single" w:color="D0D7E3" w:sz="1"/>
              <w:right w:val="single" w:color="D0D7E3" w:sz="1"/>
            </w:tcBorders>
            <w:shd w:fill="F2F4F7" w:val="clear"/>
            <w:tcMar>
              <w:top w:type="dxa" w:w="80"/>
              <w:left w:type="dxa" w:w="180"/>
              <w:bottom w:type="dxa" w:w="80"/>
              <w:right w:type="dxa" w:w="180"/>
            </w:tcMar>
          </w:tcPr>
          <w:p>
            <w:r>
              <w:rPr>
                <w:rFonts w:ascii="Arial" w:cs="Arial" w:eastAsia="Arial" w:hAnsi="Arial"/>
                <w:color w:val="1A1A2E"/>
                <w:sz w:val="22"/>
                <w:szCs w:val="22"/>
              </w:rPr>
              <w:t xml:space="preserve">Expensive courses with no incentives</w:t>
            </w:r>
          </w:p>
        </w:tc>
        <w:tc>
          <w:tcPr>
            <w:tcW w:type="dxa" w:w="3120"/>
            <w:tcBorders>
              <w:top w:val="single" w:color="D0D7E3" w:sz="1"/>
              <w:left w:val="single" w:color="D0D7E3" w:sz="1"/>
              <w:bottom w:val="single" w:color="D0D7E3" w:sz="1"/>
              <w:right w:val="single" w:color="D0D7E3" w:sz="1"/>
            </w:tcBorders>
            <w:shd w:fill="F2F4F7" w:val="clear"/>
            <w:tcMar>
              <w:top w:type="dxa" w:w="80"/>
              <w:left w:type="dxa" w:w="180"/>
              <w:bottom w:type="dxa" w:w="80"/>
              <w:right w:type="dxa" w:w="180"/>
            </w:tcMar>
          </w:tcPr>
          <w:p>
            <w:r>
              <w:rPr>
                <w:rFonts w:ascii="Arial" w:cs="Arial" w:eastAsia="Arial" w:hAnsi="Arial"/>
                <w:color w:val="1A1A2E"/>
                <w:sz w:val="22"/>
                <w:szCs w:val="22"/>
              </w:rPr>
              <w:t xml:space="preserve">Educational Platform</w:t>
            </w:r>
          </w:p>
        </w:tc>
        <w:tc>
          <w:tcPr>
            <w:tcW w:type="dxa" w:w="3120"/>
            <w:tcBorders>
              <w:top w:val="single" w:color="D0D7E3" w:sz="1"/>
              <w:left w:val="single" w:color="D0D7E3" w:sz="1"/>
              <w:bottom w:val="single" w:color="D0D7E3" w:sz="1"/>
              <w:right w:val="single" w:color="D0D7E3" w:sz="1"/>
            </w:tcBorders>
            <w:shd w:fill="F2F4F7" w:val="clear"/>
            <w:tcMar>
              <w:top w:type="dxa" w:w="80"/>
              <w:left w:type="dxa" w:w="180"/>
              <w:bottom w:type="dxa" w:w="80"/>
              <w:right w:type="dxa" w:w="180"/>
            </w:tcMar>
          </w:tcPr>
          <w:p>
            <w:r>
              <w:rPr>
                <w:rFonts w:ascii="Arial" w:cs="Arial" w:eastAsia="Arial" w:hAnsi="Arial"/>
                <w:color w:val="1A1A2E"/>
                <w:sz w:val="22"/>
                <w:szCs w:val="22"/>
              </w:rPr>
              <w:t xml:space="preserve">Discounts and access with token</w:t>
            </w:r>
          </w:p>
        </w:tc>
      </w:tr>
      <w:tr>
        <w:tc>
          <w:tcPr>
            <w:tcW w:type="dxa" w:w="3120"/>
            <w:tcBorders>
              <w:top w:val="single" w:color="D0D7E3" w:sz="1"/>
              <w:left w:val="single" w:color="D0D7E3" w:sz="1"/>
              <w:bottom w:val="single" w:color="D0D7E3" w:sz="1"/>
              <w:right w:val="single" w:color="D0D7E3" w:sz="1"/>
            </w:tcBorders>
            <w:shd w:fill="FFFFFF" w:val="clear"/>
            <w:tcMar>
              <w:top w:type="dxa" w:w="80"/>
              <w:left w:type="dxa" w:w="180"/>
              <w:bottom w:type="dxa" w:w="80"/>
              <w:right w:type="dxa" w:w="180"/>
            </w:tcMar>
          </w:tcPr>
          <w:p>
            <w:r>
              <w:rPr>
                <w:rFonts w:ascii="Arial" w:cs="Arial" w:eastAsia="Arial" w:hAnsi="Arial"/>
                <w:color w:val="1A1A2E"/>
                <w:sz w:val="22"/>
                <w:szCs w:val="22"/>
              </w:rPr>
              <w:t xml:space="preserve">E-commerce without real loyalty</w:t>
            </w:r>
          </w:p>
        </w:tc>
        <w:tc>
          <w:tcPr>
            <w:tcW w:type="dxa" w:w="3120"/>
            <w:tcBorders>
              <w:top w:val="single" w:color="D0D7E3" w:sz="1"/>
              <w:left w:val="single" w:color="D0D7E3" w:sz="1"/>
              <w:bottom w:val="single" w:color="D0D7E3" w:sz="1"/>
              <w:right w:val="single" w:color="D0D7E3" w:sz="1"/>
            </w:tcBorders>
            <w:shd w:fill="FFFFFF" w:val="clear"/>
            <w:tcMar>
              <w:top w:type="dxa" w:w="80"/>
              <w:left w:type="dxa" w:w="180"/>
              <w:bottom w:type="dxa" w:w="80"/>
              <w:right w:type="dxa" w:w="180"/>
            </w:tcMar>
          </w:tcPr>
          <w:p>
            <w:r>
              <w:rPr>
                <w:rFonts w:ascii="Arial" w:cs="Arial" w:eastAsia="Arial" w:hAnsi="Arial"/>
                <w:color w:val="1A1A2E"/>
                <w:sz w:val="22"/>
                <w:szCs w:val="22"/>
              </w:rPr>
              <w:t xml:space="preserve">Token Ecosystem</w:t>
            </w:r>
          </w:p>
        </w:tc>
        <w:tc>
          <w:tcPr>
            <w:tcW w:type="dxa" w:w="3120"/>
            <w:tcBorders>
              <w:top w:val="single" w:color="D0D7E3" w:sz="1"/>
              <w:left w:val="single" w:color="D0D7E3" w:sz="1"/>
              <w:bottom w:val="single" w:color="D0D7E3" w:sz="1"/>
              <w:right w:val="single" w:color="D0D7E3" w:sz="1"/>
            </w:tcBorders>
            <w:shd w:fill="FFFFFF" w:val="clear"/>
            <w:tcMar>
              <w:top w:type="dxa" w:w="80"/>
              <w:left w:type="dxa" w:w="180"/>
              <w:bottom w:type="dxa" w:w="80"/>
              <w:right w:type="dxa" w:w="180"/>
            </w:tcMar>
          </w:tcPr>
          <w:p>
            <w:r>
              <w:rPr>
                <w:rFonts w:ascii="Arial" w:cs="Arial" w:eastAsia="Arial" w:hAnsi="Arial"/>
                <w:color w:val="1A1A2E"/>
                <w:sz w:val="22"/>
                <w:szCs w:val="22"/>
              </w:rPr>
              <w:t xml:space="preserve">On-chain cashback and memberships</w:t>
            </w:r>
          </w:p>
        </w:tc>
      </w:tr>
      <w:tr>
        <w:tc>
          <w:tcPr>
            <w:tcW w:type="dxa" w:w="3120"/>
            <w:tcBorders>
              <w:top w:val="single" w:color="D0D7E3" w:sz="1"/>
              <w:left w:val="single" w:color="D0D7E3" w:sz="1"/>
              <w:bottom w:val="single" w:color="D0D7E3" w:sz="1"/>
              <w:right w:val="single" w:color="D0D7E3" w:sz="1"/>
            </w:tcBorders>
            <w:shd w:fill="F2F4F7" w:val="clear"/>
            <w:tcMar>
              <w:top w:type="dxa" w:w="80"/>
              <w:left w:type="dxa" w:w="180"/>
              <w:bottom w:type="dxa" w:w="80"/>
              <w:right w:type="dxa" w:w="180"/>
            </w:tcMar>
          </w:tcPr>
          <w:p>
            <w:r>
              <w:rPr>
                <w:rFonts w:ascii="Arial" w:cs="Arial" w:eastAsia="Arial" w:hAnsi="Arial"/>
                <w:color w:val="1A1A2E"/>
                <w:sz w:val="22"/>
                <w:szCs w:val="22"/>
              </w:rPr>
              <w:t xml:space="preserve">Opacity in investments</w:t>
            </w:r>
          </w:p>
        </w:tc>
        <w:tc>
          <w:tcPr>
            <w:tcW w:type="dxa" w:w="3120"/>
            <w:tcBorders>
              <w:top w:val="single" w:color="D0D7E3" w:sz="1"/>
              <w:left w:val="single" w:color="D0D7E3" w:sz="1"/>
              <w:bottom w:val="single" w:color="D0D7E3" w:sz="1"/>
              <w:right w:val="single" w:color="D0D7E3" w:sz="1"/>
            </w:tcBorders>
            <w:shd w:fill="F2F4F7" w:val="clear"/>
            <w:tcMar>
              <w:top w:type="dxa" w:w="80"/>
              <w:left w:type="dxa" w:w="180"/>
              <w:bottom w:type="dxa" w:w="80"/>
              <w:right w:type="dxa" w:w="180"/>
            </w:tcMar>
          </w:tcPr>
          <w:p>
            <w:r>
              <w:rPr>
                <w:rFonts w:ascii="Arial" w:cs="Arial" w:eastAsia="Arial" w:hAnsi="Arial"/>
                <w:color w:val="1A1A2E"/>
                <w:sz w:val="22"/>
                <w:szCs w:val="22"/>
              </w:rPr>
              <w:t xml:space="preserve">Solana Blockchain</w:t>
            </w:r>
          </w:p>
        </w:tc>
        <w:tc>
          <w:tcPr>
            <w:tcW w:type="dxa" w:w="3120"/>
            <w:tcBorders>
              <w:top w:val="single" w:color="D0D7E3" w:sz="1"/>
              <w:left w:val="single" w:color="D0D7E3" w:sz="1"/>
              <w:bottom w:val="single" w:color="D0D7E3" w:sz="1"/>
              <w:right w:val="single" w:color="D0D7E3" w:sz="1"/>
            </w:tcBorders>
            <w:shd w:fill="F2F4F7" w:val="clear"/>
            <w:tcMar>
              <w:top w:type="dxa" w:w="80"/>
              <w:left w:type="dxa" w:w="180"/>
              <w:bottom w:type="dxa" w:w="80"/>
              <w:right w:type="dxa" w:w="180"/>
            </w:tcMar>
          </w:tcPr>
          <w:p>
            <w:r>
              <w:rPr>
                <w:rFonts w:ascii="Arial" w:cs="Arial" w:eastAsia="Arial" w:hAnsi="Arial"/>
                <w:color w:val="1A1A2E"/>
                <w:sz w:val="22"/>
                <w:szCs w:val="22"/>
              </w:rPr>
              <w:t xml:space="preserve">Full public traceability</w:t>
            </w:r>
          </w:p>
        </w:tc>
      </w:tr>
    </w:tbl>
    <w:p>
      <w:pPr>
        <w:spacing w:before="0" w:after="0"/>
      </w:pPr>
      <w:r>
        <w:rPr>
          <w:sz w:val="44"/>
          <w:szCs w:val="44"/>
        </w:rPr>
        <w:t xml:space="preserve"/>
      </w:r>
    </w:p>
    <w:p>
      <w:r>
        <w:br w:type="page"/>
      </w:r>
    </w:p>
    <w:p>
      <w:pPr>
        <w:pStyle w:val="Heading1"/>
        <w:spacing w:before="400" w:after="200"/>
      </w:pPr>
      <w:r>
        <w:rPr>
          <w:rFonts w:ascii="Arial" w:cs="Arial" w:eastAsia="Arial" w:hAnsi="Arial"/>
          <w:b/>
          <w:bCs/>
          <w:color w:val="1A3C6E"/>
          <w:sz w:val="36"/>
          <w:szCs w:val="36"/>
        </w:rPr>
        <w:t xml:space="preserve">3. The Systemex Ecosystem</w:t>
      </w:r>
    </w:p>
    <w:p>
      <w:pPr>
        <w:pBdr>
          <w:bottom w:val="single" w:color="2E75B6" w:sz="4" w:space="1"/>
        </w:pBdr>
        <w:spacing w:before="200" w:after="200"/>
      </w:pPr>
      <w:r>
        <w:t xml:space="preserve"/>
      </w:r>
    </w:p>
    <w:p>
      <w:pPr>
        <w:pStyle w:val="Heading2"/>
        <w:spacing w:before="300" w:after="160"/>
      </w:pPr>
      <w:r>
        <w:rPr>
          <w:rFonts w:ascii="Arial" w:cs="Arial" w:eastAsia="Arial" w:hAnsi="Arial"/>
          <w:b/>
          <w:bCs/>
          <w:color w:val="2E75B6"/>
          <w:sz w:val="28"/>
          <w:szCs w:val="28"/>
        </w:rPr>
        <w:t xml:space="preserve">3.1 Vertical 1 — Real Estate Tokenization (RWA)</w:t>
      </w:r>
    </w:p>
    <w:p>
      <w:pPr>
        <w:spacing w:before="80" w:after="80"/>
        <w:jc w:val="both"/>
      </w:pPr>
      <w:r>
        <w:rPr>
          <w:rFonts w:ascii="Arial" w:cs="Arial" w:eastAsia="Arial" w:hAnsi="Arial"/>
          <w:b w:val="false"/>
          <w:bCs w:val="false"/>
          <w:i w:val="false"/>
          <w:iCs w:val="false"/>
          <w:color w:val="1A1A2E"/>
          <w:sz w:val="22"/>
          <w:szCs w:val="22"/>
        </w:rPr>
        <w:t xml:space="preserve">Real World Asset (RWA) tokenization is the process of representing fractional ownership of a real property through blockchain tokens. Each property entering the Systemex platform undergoes a due diligence, valuation, and legal structuring process before being tokenized.</w:t>
      </w:r>
    </w:p>
    <w:p>
      <w:pPr>
        <w:spacing w:before="0" w:after="0"/>
      </w:pPr>
      <w:r>
        <w:rPr>
          <w:sz w:val="22"/>
          <w:szCs w:val="22"/>
        </w:rPr>
        <w:t xml:space="preserve"/>
      </w:r>
    </w:p>
    <w:p>
      <w:pPr>
        <w:spacing w:before="200" w:after="120"/>
      </w:pPr>
      <w:r>
        <w:rPr>
          <w:rFonts w:ascii="Arial" w:cs="Arial" w:eastAsia="Arial" w:hAnsi="Arial"/>
          <w:b/>
          <w:bCs/>
          <w:color w:val="00A86B"/>
          <w:sz w:val="24"/>
          <w:szCs w:val="24"/>
        </w:rPr>
        <w:t xml:space="preserve">Property onboarding flow:</w:t>
      </w:r>
    </w:p>
    <w:p>
      <w:pPr>
        <w:pStyle w:val="ListParagraph"/>
        <w:numPr>
          <w:ilvl w:val="0"/>
          <w:numId w:val="2"/>
        </w:numPr>
        <w:spacing w:before="60" w:after="60"/>
      </w:pPr>
      <w:r>
        <w:rPr>
          <w:rFonts w:ascii="Arial" w:cs="Arial" w:eastAsia="Arial" w:hAnsi="Arial"/>
          <w:color w:val="1A1A2E"/>
          <w:sz w:val="22"/>
          <w:szCs w:val="22"/>
        </w:rPr>
        <w:t xml:space="preserve">The owner contacts Systemex and completes the onboarding form at systemex.com.ar</w:t>
      </w:r>
    </w:p>
    <w:p>
      <w:pPr>
        <w:pStyle w:val="ListParagraph"/>
        <w:numPr>
          <w:ilvl w:val="0"/>
          <w:numId w:val="2"/>
        </w:numPr>
        <w:spacing w:before="60" w:after="60"/>
      </w:pPr>
      <w:r>
        <w:rPr>
          <w:rFonts w:ascii="Arial" w:cs="Arial" w:eastAsia="Arial" w:hAnsi="Arial"/>
          <w:color w:val="1A1A2E"/>
          <w:sz w:val="22"/>
          <w:szCs w:val="22"/>
        </w:rPr>
        <w:t xml:space="preserve">The team evaluates the asset: location, market valuation, legal documentation, rental or appreciation potential</w:t>
      </w:r>
    </w:p>
    <w:p>
      <w:pPr>
        <w:pStyle w:val="ListParagraph"/>
        <w:numPr>
          <w:ilvl w:val="0"/>
          <w:numId w:val="2"/>
        </w:numPr>
        <w:spacing w:before="60" w:after="60"/>
      </w:pPr>
      <w:r>
        <w:rPr>
          <w:rFonts w:ascii="Arial" w:cs="Arial" w:eastAsia="Arial" w:hAnsi="Arial"/>
          <w:color w:val="1A1A2E"/>
          <w:sz w:val="22"/>
          <w:szCs w:val="22"/>
        </w:rPr>
        <w:t xml:space="preserve">The legal vehicle is structured: trust or SAS per asset, as appropriate</w:t>
      </w:r>
    </w:p>
    <w:p>
      <w:pPr>
        <w:pStyle w:val="ListParagraph"/>
        <w:numPr>
          <w:ilvl w:val="0"/>
          <w:numId w:val="2"/>
        </w:numPr>
        <w:spacing w:before="60" w:after="60"/>
      </w:pPr>
      <w:r>
        <w:rPr>
          <w:rFonts w:ascii="Arial" w:cs="Arial" w:eastAsia="Arial" w:hAnsi="Arial"/>
          <w:color w:val="1A1A2E"/>
          <w:sz w:val="22"/>
          <w:szCs w:val="22"/>
        </w:rPr>
        <w:t xml:space="preserve">Systemex issues RWA tokens specific to that asset (subset of the 25% RWA pool)</w:t>
      </w:r>
    </w:p>
    <w:p>
      <w:pPr>
        <w:pStyle w:val="ListParagraph"/>
        <w:numPr>
          <w:ilvl w:val="0"/>
          <w:numId w:val="2"/>
        </w:numPr>
        <w:spacing w:before="60" w:after="60"/>
      </w:pPr>
      <w:r>
        <w:rPr>
          <w:rFonts w:ascii="Arial" w:cs="Arial" w:eastAsia="Arial" w:hAnsi="Arial"/>
          <w:color w:val="1A1A2E"/>
          <w:sz w:val="22"/>
          <w:szCs w:val="22"/>
        </w:rPr>
        <w:t xml:space="preserve">An investment round opens: investors buy fractions with SYSTEMEX or USDC</w:t>
      </w:r>
    </w:p>
    <w:p>
      <w:pPr>
        <w:pStyle w:val="ListParagraph"/>
        <w:numPr>
          <w:ilvl w:val="0"/>
          <w:numId w:val="2"/>
        </w:numPr>
        <w:spacing w:before="60" w:after="60"/>
      </w:pPr>
      <w:r>
        <w:rPr>
          <w:rFonts w:ascii="Arial" w:cs="Arial" w:eastAsia="Arial" w:hAnsi="Arial"/>
          <w:color w:val="1A1A2E"/>
          <w:sz w:val="22"/>
          <w:szCs w:val="22"/>
        </w:rPr>
        <w:t xml:space="preserve">The owner receives capital; investors receive proportional monthly returns in USDC</w:t>
      </w:r>
    </w:p>
    <w:p>
      <w:pPr>
        <w:pStyle w:val="ListParagraph"/>
        <w:numPr>
          <w:ilvl w:val="0"/>
          <w:numId w:val="2"/>
        </w:numPr>
        <w:spacing w:before="60" w:after="60"/>
      </w:pPr>
      <w:r>
        <w:rPr>
          <w:rFonts w:ascii="Arial" w:cs="Arial" w:eastAsia="Arial" w:hAnsi="Arial"/>
          <w:color w:val="1A1A2E"/>
          <w:sz w:val="22"/>
          <w:szCs w:val="22"/>
        </w:rPr>
        <w:t xml:space="preserve">Systemex charges a tokenization fee (2-5%) and an annual management fee (1-2%)</w:t>
      </w:r>
    </w:p>
    <w:p>
      <w:pPr>
        <w:spacing w:before="0" w:after="0"/>
      </w:pPr>
      <w:r>
        <w:rPr>
          <w:sz w:val="44"/>
          <w:szCs w:val="44"/>
        </w:rPr>
        <w:t xml:space="preserve"/>
      </w:r>
    </w:p>
    <w:p>
      <w:pPr>
        <w:spacing w:before="200" w:after="120"/>
      </w:pPr>
      <w:r>
        <w:rPr>
          <w:rFonts w:ascii="Arial" w:cs="Arial" w:eastAsia="Arial" w:hAnsi="Arial"/>
          <w:b/>
          <w:bCs/>
          <w:color w:val="00A86B"/>
          <w:sz w:val="24"/>
          <w:szCs w:val="24"/>
        </w:rPr>
        <w:t xml:space="preserve">Accepted asset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520"/>
        <w:gridCol w:w="2520"/>
        <w:gridCol w:w="1520"/>
      </w:tblGrid>
      <w:tr>
        <w:tc>
          <w:tcPr>
            <w:tcW w:type="dxa" w:w="2800"/>
            <w:tcBorders>
              <w:top w:val="single" w:color="D0D7E3" w:sz="1"/>
              <w:left w:val="single" w:color="D0D7E3" w:sz="1"/>
              <w:bottom w:val="single" w:color="D0D7E3" w:sz="1"/>
              <w:right w:val="single" w:color="D0D7E3" w:sz="1"/>
            </w:tcBorders>
            <w:shd w:fill="1A3C6E" w:val="clear"/>
            <w:tcMar>
              <w:top w:type="dxa" w:w="100"/>
              <w:left w:type="dxa" w:w="140"/>
              <w:bottom w:type="dxa" w:w="100"/>
              <w:right w:type="dxa" w:w="140"/>
            </w:tcMar>
          </w:tcPr>
          <w:p>
            <w:r>
              <w:rPr>
                <w:rFonts w:ascii="Arial" w:cs="Arial" w:eastAsia="Arial" w:hAnsi="Arial"/>
                <w:b/>
                <w:bCs/>
                <w:color w:val="FFFFFF"/>
                <w:sz w:val="20"/>
                <w:szCs w:val="20"/>
              </w:rPr>
              <w:t xml:space="preserve">Asset Type</w:t>
            </w:r>
          </w:p>
        </w:tc>
        <w:tc>
          <w:tcPr>
            <w:tcW w:type="dxa" w:w="2520"/>
            <w:tcBorders>
              <w:top w:val="single" w:color="D0D7E3" w:sz="1"/>
              <w:left w:val="single" w:color="D0D7E3" w:sz="1"/>
              <w:bottom w:val="single" w:color="D0D7E3" w:sz="1"/>
              <w:right w:val="single" w:color="D0D7E3" w:sz="1"/>
            </w:tcBorders>
            <w:shd w:fill="1A3C6E" w:val="clear"/>
            <w:tcMar>
              <w:top w:type="dxa" w:w="100"/>
              <w:left w:type="dxa" w:w="140"/>
              <w:bottom w:type="dxa" w:w="100"/>
              <w:right w:type="dxa" w:w="140"/>
            </w:tcMar>
          </w:tcPr>
          <w:p>
            <w:r>
              <w:rPr>
                <w:rFonts w:ascii="Arial" w:cs="Arial" w:eastAsia="Arial" w:hAnsi="Arial"/>
                <w:b/>
                <w:bCs/>
                <w:color w:val="FFFFFF"/>
                <w:sz w:val="20"/>
                <w:szCs w:val="20"/>
              </w:rPr>
              <w:t xml:space="preserve">Expected Return</w:t>
            </w:r>
          </w:p>
        </w:tc>
        <w:tc>
          <w:tcPr>
            <w:tcW w:type="dxa" w:w="2520"/>
            <w:tcBorders>
              <w:top w:val="single" w:color="D0D7E3" w:sz="1"/>
              <w:left w:val="single" w:color="D0D7E3" w:sz="1"/>
              <w:bottom w:val="single" w:color="D0D7E3" w:sz="1"/>
              <w:right w:val="single" w:color="D0D7E3" w:sz="1"/>
            </w:tcBorders>
            <w:shd w:fill="1A3C6E" w:val="clear"/>
            <w:tcMar>
              <w:top w:type="dxa" w:w="100"/>
              <w:left w:type="dxa" w:w="140"/>
              <w:bottom w:type="dxa" w:w="100"/>
              <w:right w:type="dxa" w:w="140"/>
            </w:tcMar>
          </w:tcPr>
          <w:p>
            <w:r>
              <w:rPr>
                <w:rFonts w:ascii="Arial" w:cs="Arial" w:eastAsia="Arial" w:hAnsi="Arial"/>
                <w:b/>
                <w:bCs/>
                <w:color w:val="FFFFFF"/>
                <w:sz w:val="20"/>
                <w:szCs w:val="20"/>
              </w:rPr>
              <w:t xml:space="preserve">Time Horizon</w:t>
            </w:r>
          </w:p>
        </w:tc>
        <w:tc>
          <w:tcPr>
            <w:tcW w:type="dxa" w:w="1520"/>
            <w:tcBorders>
              <w:top w:val="single" w:color="D0D7E3" w:sz="1"/>
              <w:left w:val="single" w:color="D0D7E3" w:sz="1"/>
              <w:bottom w:val="single" w:color="D0D7E3" w:sz="1"/>
              <w:right w:val="single" w:color="D0D7E3" w:sz="1"/>
            </w:tcBorders>
            <w:shd w:fill="1A3C6E" w:val="clear"/>
            <w:tcMar>
              <w:top w:type="dxa" w:w="100"/>
              <w:left w:type="dxa" w:w="140"/>
              <w:bottom w:type="dxa" w:w="100"/>
              <w:right w:type="dxa" w:w="140"/>
            </w:tcMar>
          </w:tcPr>
          <w:p>
            <w:r>
              <w:rPr>
                <w:rFonts w:ascii="Arial" w:cs="Arial" w:eastAsia="Arial" w:hAnsi="Arial"/>
                <w:b/>
                <w:bCs/>
                <w:color w:val="FFFFFF"/>
                <w:sz w:val="20"/>
                <w:szCs w:val="20"/>
              </w:rPr>
              <w:t xml:space="preserve">Risk</w:t>
            </w:r>
          </w:p>
        </w:tc>
      </w:tr>
      <w:tr>
        <w:tc>
          <w:tcPr>
            <w:tcW w:type="dxa" w:w="280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Rental apartment</w:t>
            </w:r>
          </w:p>
        </w:tc>
        <w:tc>
          <w:tcPr>
            <w:tcW w:type="dxa" w:w="252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4-8% annual in USD</w:t>
            </w:r>
          </w:p>
        </w:tc>
        <w:tc>
          <w:tcPr>
            <w:tcW w:type="dxa" w:w="252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Long term</w:t>
            </w:r>
          </w:p>
        </w:tc>
        <w:tc>
          <w:tcPr>
            <w:tcW w:type="dxa" w:w="152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Low</w:t>
            </w:r>
          </w:p>
        </w:tc>
      </w:tr>
      <w:tr>
        <w:tc>
          <w:tcPr>
            <w:tcW w:type="dxa" w:w="2800"/>
            <w:tcBorders>
              <w:top w:val="single" w:color="D0D7E3" w:sz="1"/>
              <w:left w:val="single" w:color="D0D7E3" w:sz="1"/>
              <w:bottom w:val="single" w:color="D0D7E3" w:sz="1"/>
              <w:right w:val="single" w:color="D0D7E3" w:sz="1"/>
            </w:tcBorders>
            <w:shd w:fill="F2F4F7" w:val="clear"/>
            <w:tcMar>
              <w:top w:type="dxa" w:w="80"/>
              <w:left w:type="dxa" w:w="140"/>
              <w:bottom w:type="dxa" w:w="80"/>
              <w:right w:type="dxa" w:w="140"/>
            </w:tcMar>
          </w:tcPr>
          <w:p>
            <w:r>
              <w:rPr>
                <w:rFonts w:ascii="Arial" w:cs="Arial" w:eastAsia="Arial" w:hAnsi="Arial"/>
                <w:color w:val="1A1A2E"/>
                <w:sz w:val="20"/>
                <w:szCs w:val="20"/>
              </w:rPr>
              <w:t xml:space="preserve">Commercial property</w:t>
            </w:r>
          </w:p>
        </w:tc>
        <w:tc>
          <w:tcPr>
            <w:tcW w:type="dxa" w:w="2520"/>
            <w:tcBorders>
              <w:top w:val="single" w:color="D0D7E3" w:sz="1"/>
              <w:left w:val="single" w:color="D0D7E3" w:sz="1"/>
              <w:bottom w:val="single" w:color="D0D7E3" w:sz="1"/>
              <w:right w:val="single" w:color="D0D7E3" w:sz="1"/>
            </w:tcBorders>
            <w:shd w:fill="F2F4F7" w:val="clear"/>
            <w:tcMar>
              <w:top w:type="dxa" w:w="80"/>
              <w:left w:type="dxa" w:w="140"/>
              <w:bottom w:type="dxa" w:w="80"/>
              <w:right w:type="dxa" w:w="140"/>
            </w:tcMar>
          </w:tcPr>
          <w:p>
            <w:r>
              <w:rPr>
                <w:rFonts w:ascii="Arial" w:cs="Arial" w:eastAsia="Arial" w:hAnsi="Arial"/>
                <w:color w:val="1A1A2E"/>
                <w:sz w:val="20"/>
                <w:szCs w:val="20"/>
              </w:rPr>
              <w:t xml:space="preserve">6-10% annual in USD</w:t>
            </w:r>
          </w:p>
        </w:tc>
        <w:tc>
          <w:tcPr>
            <w:tcW w:type="dxa" w:w="2520"/>
            <w:tcBorders>
              <w:top w:val="single" w:color="D0D7E3" w:sz="1"/>
              <w:left w:val="single" w:color="D0D7E3" w:sz="1"/>
              <w:bottom w:val="single" w:color="D0D7E3" w:sz="1"/>
              <w:right w:val="single" w:color="D0D7E3" w:sz="1"/>
            </w:tcBorders>
            <w:shd w:fill="F2F4F7" w:val="clear"/>
            <w:tcMar>
              <w:top w:type="dxa" w:w="80"/>
              <w:left w:type="dxa" w:w="140"/>
              <w:bottom w:type="dxa" w:w="80"/>
              <w:right w:type="dxa" w:w="140"/>
            </w:tcMar>
          </w:tcPr>
          <w:p>
            <w:r>
              <w:rPr>
                <w:rFonts w:ascii="Arial" w:cs="Arial" w:eastAsia="Arial" w:hAnsi="Arial"/>
                <w:color w:val="1A1A2E"/>
                <w:sz w:val="20"/>
                <w:szCs w:val="20"/>
              </w:rPr>
              <w:t xml:space="preserve">Medium term</w:t>
            </w:r>
          </w:p>
        </w:tc>
        <w:tc>
          <w:tcPr>
            <w:tcW w:type="dxa" w:w="1520"/>
            <w:tcBorders>
              <w:top w:val="single" w:color="D0D7E3" w:sz="1"/>
              <w:left w:val="single" w:color="D0D7E3" w:sz="1"/>
              <w:bottom w:val="single" w:color="D0D7E3" w:sz="1"/>
              <w:right w:val="single" w:color="D0D7E3" w:sz="1"/>
            </w:tcBorders>
            <w:shd w:fill="F2F4F7" w:val="clear"/>
            <w:tcMar>
              <w:top w:type="dxa" w:w="80"/>
              <w:left w:type="dxa" w:w="140"/>
              <w:bottom w:type="dxa" w:w="80"/>
              <w:right w:type="dxa" w:w="140"/>
            </w:tcMar>
          </w:tcPr>
          <w:p>
            <w:r>
              <w:rPr>
                <w:rFonts w:ascii="Arial" w:cs="Arial" w:eastAsia="Arial" w:hAnsi="Arial"/>
                <w:color w:val="1A1A2E"/>
                <w:sz w:val="20"/>
                <w:szCs w:val="20"/>
              </w:rPr>
              <w:t xml:space="preserve">Low-Medium</w:t>
            </w:r>
          </w:p>
        </w:tc>
      </w:tr>
      <w:tr>
        <w:tc>
          <w:tcPr>
            <w:tcW w:type="dxa" w:w="280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Urban land</w:t>
            </w:r>
          </w:p>
        </w:tc>
        <w:tc>
          <w:tcPr>
            <w:tcW w:type="dxa" w:w="252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8-15% appreciation/year</w:t>
            </w:r>
          </w:p>
        </w:tc>
        <w:tc>
          <w:tcPr>
            <w:tcW w:type="dxa" w:w="252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Long term</w:t>
            </w:r>
          </w:p>
        </w:tc>
        <w:tc>
          <w:tcPr>
            <w:tcW w:type="dxa" w:w="152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Medium</w:t>
            </w:r>
          </w:p>
        </w:tc>
      </w:tr>
      <w:tr>
        <w:tc>
          <w:tcPr>
            <w:tcW w:type="dxa" w:w="2800"/>
            <w:tcBorders>
              <w:top w:val="single" w:color="D0D7E3" w:sz="1"/>
              <w:left w:val="single" w:color="D0D7E3" w:sz="1"/>
              <w:bottom w:val="single" w:color="D0D7E3" w:sz="1"/>
              <w:right w:val="single" w:color="D0D7E3" w:sz="1"/>
            </w:tcBorders>
            <w:shd w:fill="F2F4F7" w:val="clear"/>
            <w:tcMar>
              <w:top w:type="dxa" w:w="80"/>
              <w:left w:type="dxa" w:w="140"/>
              <w:bottom w:type="dxa" w:w="80"/>
              <w:right w:type="dxa" w:w="140"/>
            </w:tcMar>
          </w:tcPr>
          <w:p>
            <w:r>
              <w:rPr>
                <w:rFonts w:ascii="Arial" w:cs="Arial" w:eastAsia="Arial" w:hAnsi="Arial"/>
                <w:color w:val="1A1A2E"/>
                <w:sz w:val="20"/>
                <w:szCs w:val="20"/>
              </w:rPr>
              <w:t xml:space="preserve">Pre-construction property</w:t>
            </w:r>
          </w:p>
        </w:tc>
        <w:tc>
          <w:tcPr>
            <w:tcW w:type="dxa" w:w="2520"/>
            <w:tcBorders>
              <w:top w:val="single" w:color="D0D7E3" w:sz="1"/>
              <w:left w:val="single" w:color="D0D7E3" w:sz="1"/>
              <w:bottom w:val="single" w:color="D0D7E3" w:sz="1"/>
              <w:right w:val="single" w:color="D0D7E3" w:sz="1"/>
            </w:tcBorders>
            <w:shd w:fill="F2F4F7" w:val="clear"/>
            <w:tcMar>
              <w:top w:type="dxa" w:w="80"/>
              <w:left w:type="dxa" w:w="140"/>
              <w:bottom w:type="dxa" w:w="80"/>
              <w:right w:type="dxa" w:w="140"/>
            </w:tcMar>
          </w:tcPr>
          <w:p>
            <w:r>
              <w:rPr>
                <w:rFonts w:ascii="Arial" w:cs="Arial" w:eastAsia="Arial" w:hAnsi="Arial"/>
                <w:color w:val="1A1A2E"/>
                <w:sz w:val="20"/>
                <w:szCs w:val="20"/>
              </w:rPr>
              <w:t xml:space="preserve">20-40% upon completion</w:t>
            </w:r>
          </w:p>
        </w:tc>
        <w:tc>
          <w:tcPr>
            <w:tcW w:type="dxa" w:w="2520"/>
            <w:tcBorders>
              <w:top w:val="single" w:color="D0D7E3" w:sz="1"/>
              <w:left w:val="single" w:color="D0D7E3" w:sz="1"/>
              <w:bottom w:val="single" w:color="D0D7E3" w:sz="1"/>
              <w:right w:val="single" w:color="D0D7E3" w:sz="1"/>
            </w:tcBorders>
            <w:shd w:fill="F2F4F7" w:val="clear"/>
            <w:tcMar>
              <w:top w:type="dxa" w:w="80"/>
              <w:left w:type="dxa" w:w="140"/>
              <w:bottom w:type="dxa" w:w="80"/>
              <w:right w:type="dxa" w:w="140"/>
            </w:tcMar>
          </w:tcPr>
          <w:p>
            <w:r>
              <w:rPr>
                <w:rFonts w:ascii="Arial" w:cs="Arial" w:eastAsia="Arial" w:hAnsi="Arial"/>
                <w:color w:val="1A1A2E"/>
                <w:sz w:val="20"/>
                <w:szCs w:val="20"/>
              </w:rPr>
              <w:t xml:space="preserve">18-36 months</w:t>
            </w:r>
          </w:p>
        </w:tc>
        <w:tc>
          <w:tcPr>
            <w:tcW w:type="dxa" w:w="1520"/>
            <w:tcBorders>
              <w:top w:val="single" w:color="D0D7E3" w:sz="1"/>
              <w:left w:val="single" w:color="D0D7E3" w:sz="1"/>
              <w:bottom w:val="single" w:color="D0D7E3" w:sz="1"/>
              <w:right w:val="single" w:color="D0D7E3" w:sz="1"/>
            </w:tcBorders>
            <w:shd w:fill="F2F4F7" w:val="clear"/>
            <w:tcMar>
              <w:top w:type="dxa" w:w="80"/>
              <w:left w:type="dxa" w:w="140"/>
              <w:bottom w:type="dxa" w:w="80"/>
              <w:right w:type="dxa" w:w="140"/>
            </w:tcMar>
          </w:tcPr>
          <w:p>
            <w:r>
              <w:rPr>
                <w:rFonts w:ascii="Arial" w:cs="Arial" w:eastAsia="Arial" w:hAnsi="Arial"/>
                <w:color w:val="1A1A2E"/>
                <w:sz w:val="20"/>
                <w:szCs w:val="20"/>
              </w:rPr>
              <w:t xml:space="preserve">Medium</w:t>
            </w:r>
          </w:p>
        </w:tc>
      </w:tr>
      <w:tr>
        <w:tc>
          <w:tcPr>
            <w:tcW w:type="dxa" w:w="280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Agricultural land</w:t>
            </w:r>
          </w:p>
        </w:tc>
        <w:tc>
          <w:tcPr>
            <w:tcW w:type="dxa" w:w="252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5-12% annual</w:t>
            </w:r>
          </w:p>
        </w:tc>
        <w:tc>
          <w:tcPr>
            <w:tcW w:type="dxa" w:w="252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Long term</w:t>
            </w:r>
          </w:p>
        </w:tc>
        <w:tc>
          <w:tcPr>
            <w:tcW w:type="dxa" w:w="152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Medium</w:t>
            </w:r>
          </w:p>
        </w:tc>
      </w:tr>
    </w:tbl>
    <w:p>
      <w:pPr>
        <w:spacing w:before="0" w:after="0"/>
      </w:pPr>
      <w:r>
        <w:rPr>
          <w:sz w:val="44"/>
          <w:szCs w:val="44"/>
        </w:rPr>
        <w:t xml:space="preserve"/>
      </w:r>
    </w:p>
    <w:p>
      <w:pPr>
        <w:pStyle w:val="Heading2"/>
        <w:spacing w:before="300" w:after="160"/>
      </w:pPr>
      <w:r>
        <w:rPr>
          <w:rFonts w:ascii="Arial" w:cs="Arial" w:eastAsia="Arial" w:hAnsi="Arial"/>
          <w:b/>
          <w:bCs/>
          <w:color w:val="2E75B6"/>
          <w:sz w:val="28"/>
          <w:szCs w:val="28"/>
        </w:rPr>
        <w:t xml:space="preserve">3.2 Vertical 2 — Educational Platform</w:t>
      </w:r>
    </w:p>
    <w:p>
      <w:pPr>
        <w:spacing w:before="80" w:after="80"/>
        <w:jc w:val="both"/>
      </w:pPr>
      <w:r>
        <w:rPr>
          <w:rFonts w:ascii="Arial" w:cs="Arial" w:eastAsia="Arial" w:hAnsi="Arial"/>
          <w:b w:val="false"/>
          <w:bCs w:val="false"/>
          <w:i w:val="false"/>
          <w:iCs w:val="false"/>
          <w:color w:val="1A1A2E"/>
          <w:sz w:val="22"/>
          <w:szCs w:val="22"/>
        </w:rPr>
        <w:t xml:space="preserve">Systemex operates an online course platform focused on technology, artificial intelligence, software development, automation, trading, and entrepreneurship. The SYSTEMEX token is the engine of access and benefits within the educational ecosystem.</w:t>
      </w:r>
    </w:p>
    <w:p>
      <w:pPr>
        <w:spacing w:before="0" w:after="0"/>
      </w:pPr>
      <w:r>
        <w:rPr>
          <w:sz w:val="22"/>
          <w:szCs w:val="22"/>
        </w:rPr>
        <w:t xml:space="preserve"/>
      </w:r>
    </w:p>
    <w:p>
      <w:pPr>
        <w:pStyle w:val="ListParagraph"/>
        <w:numPr>
          <w:ilvl w:val="0"/>
          <w:numId w:val="2"/>
        </w:numPr>
        <w:spacing w:before="60" w:after="60"/>
      </w:pPr>
      <w:r>
        <w:rPr>
          <w:rFonts w:ascii="Arial" w:cs="Arial" w:eastAsia="Arial" w:hAnsi="Arial"/>
          <w:color w:val="1A1A2E"/>
          <w:sz w:val="22"/>
          <w:szCs w:val="22"/>
        </w:rPr>
        <w:t xml:space="preserve">Pay for courses with SYSTEMEX: 30% discount off fiat price</w:t>
      </w:r>
    </w:p>
    <w:p>
      <w:pPr>
        <w:pStyle w:val="ListParagraph"/>
        <w:numPr>
          <w:ilvl w:val="0"/>
          <w:numId w:val="2"/>
        </w:numPr>
        <w:spacing w:before="60" w:after="60"/>
      </w:pPr>
      <w:r>
        <w:rPr>
          <w:rFonts w:ascii="Arial" w:cs="Arial" w:eastAsia="Arial" w:hAnsi="Arial"/>
          <w:color w:val="1A1A2E"/>
          <w:sz w:val="22"/>
          <w:szCs w:val="22"/>
        </w:rPr>
        <w:t xml:space="preserve">Lifetime access to courses by holding X tokens in staking for 12 months</w:t>
      </w:r>
    </w:p>
    <w:p>
      <w:pPr>
        <w:pStyle w:val="ListParagraph"/>
        <w:numPr>
          <w:ilvl w:val="0"/>
          <w:numId w:val="2"/>
        </w:numPr>
        <w:spacing w:before="60" w:after="60"/>
      </w:pPr>
      <w:r>
        <w:rPr>
          <w:rFonts w:ascii="Arial" w:cs="Arial" w:eastAsia="Arial" w:hAnsi="Arial"/>
          <w:color w:val="1A1A2E"/>
          <w:sz w:val="22"/>
          <w:szCs w:val="22"/>
        </w:rPr>
        <w:t xml:space="preserve">Governance system: holders vote on which new courses are developed</w:t>
      </w:r>
    </w:p>
    <w:p>
      <w:pPr>
        <w:pStyle w:val="ListParagraph"/>
        <w:numPr>
          <w:ilvl w:val="0"/>
          <w:numId w:val="2"/>
        </w:numPr>
        <w:spacing w:before="60" w:after="60"/>
      </w:pPr>
      <w:r>
        <w:rPr>
          <w:rFonts w:ascii="Arial" w:cs="Arial" w:eastAsia="Arial" w:hAnsi="Arial"/>
          <w:color w:val="1A1A2E"/>
          <w:sz w:val="22"/>
          <w:szCs w:val="22"/>
        </w:rPr>
        <w:t xml:space="preserve">On-chain referral program: automatic token rewards for each new user</w:t>
      </w:r>
    </w:p>
    <w:p>
      <w:pPr>
        <w:pStyle w:val="ListParagraph"/>
        <w:numPr>
          <w:ilvl w:val="0"/>
          <w:numId w:val="2"/>
        </w:numPr>
        <w:spacing w:before="60" w:after="60"/>
      </w:pPr>
      <w:r>
        <w:rPr>
          <w:rFonts w:ascii="Arial" w:cs="Arial" w:eastAsia="Arial" w:hAnsi="Arial"/>
          <w:color w:val="1A1A2E"/>
          <w:sz w:val="22"/>
          <w:szCs w:val="22"/>
        </w:rPr>
        <w:t xml:space="preserve">Blockchain-stored completion certificates (NFT certification)</w:t>
      </w:r>
    </w:p>
    <w:p>
      <w:pPr>
        <w:spacing w:before="0" w:after="0"/>
      </w:pPr>
      <w:r>
        <w:rPr>
          <w:sz w:val="44"/>
          <w:szCs w:val="44"/>
        </w:rPr>
        <w:t xml:space="preserve"/>
      </w:r>
    </w:p>
    <w:p>
      <w:pPr>
        <w:pStyle w:val="Heading2"/>
        <w:spacing w:before="300" w:after="160"/>
      </w:pPr>
      <w:r>
        <w:rPr>
          <w:rFonts w:ascii="Arial" w:cs="Arial" w:eastAsia="Arial" w:hAnsi="Arial"/>
          <w:b/>
          <w:bCs/>
          <w:color w:val="2E75B6"/>
          <w:sz w:val="28"/>
          <w:szCs w:val="28"/>
        </w:rPr>
        <w:t xml:space="preserve">3.3 Vertical 3 — E-Commerce</w:t>
      </w:r>
    </w:p>
    <w:p>
      <w:pPr>
        <w:spacing w:before="80" w:after="80"/>
        <w:jc w:val="both"/>
      </w:pPr>
      <w:r>
        <w:rPr>
          <w:rFonts w:ascii="Arial" w:cs="Arial" w:eastAsia="Arial" w:hAnsi="Arial"/>
          <w:b w:val="false"/>
          <w:bCs w:val="false"/>
          <w:i w:val="false"/>
          <w:iCs w:val="false"/>
          <w:color w:val="1A1A2E"/>
          <w:sz w:val="22"/>
          <w:szCs w:val="22"/>
        </w:rPr>
        <w:t xml:space="preserve">The Systemex e-commerce ecosystem integrates the token as a loyalty, payment, and membership tool, replacing traditional points programs with an asset that has real market value.</w:t>
      </w:r>
    </w:p>
    <w:p>
      <w:pPr>
        <w:spacing w:before="0" w:after="0"/>
      </w:pPr>
      <w:r>
        <w:rPr>
          <w:sz w:val="22"/>
          <w:szCs w:val="22"/>
        </w:rPr>
        <w:t xml:space="preserve"/>
      </w:r>
    </w:p>
    <w:p>
      <w:pPr>
        <w:pStyle w:val="ListParagraph"/>
        <w:numPr>
          <w:ilvl w:val="0"/>
          <w:numId w:val="2"/>
        </w:numPr>
        <w:spacing w:before="60" w:after="60"/>
      </w:pPr>
      <w:r>
        <w:rPr>
          <w:rFonts w:ascii="Arial" w:cs="Arial" w:eastAsia="Arial" w:hAnsi="Arial"/>
          <w:color w:val="1A1A2E"/>
          <w:sz w:val="22"/>
          <w:szCs w:val="22"/>
        </w:rPr>
        <w:t xml:space="preserve">SYSTEMEX cashback on every purchase (1-5% depending on membership tier)</w:t>
      </w:r>
    </w:p>
    <w:p>
      <w:pPr>
        <w:pStyle w:val="ListParagraph"/>
        <w:numPr>
          <w:ilvl w:val="0"/>
          <w:numId w:val="2"/>
        </w:numPr>
        <w:spacing w:before="60" w:after="60"/>
      </w:pPr>
      <w:r>
        <w:rPr>
          <w:rFonts w:ascii="Arial" w:cs="Arial" w:eastAsia="Arial" w:hAnsi="Arial"/>
          <w:color w:val="1A1A2E"/>
          <w:sz w:val="22"/>
          <w:szCs w:val="22"/>
        </w:rPr>
        <w:t xml:space="preserve">Membership tiers: Bronze / Silver / Gold / Platinum based on token holdings</w:t>
      </w:r>
    </w:p>
    <w:p>
      <w:pPr>
        <w:pStyle w:val="ListParagraph"/>
        <w:numPr>
          <w:ilvl w:val="0"/>
          <w:numId w:val="2"/>
        </w:numPr>
        <w:spacing w:before="60" w:after="60"/>
      </w:pPr>
      <w:r>
        <w:rPr>
          <w:rFonts w:ascii="Arial" w:cs="Arial" w:eastAsia="Arial" w:hAnsi="Arial"/>
          <w:color w:val="1A1A2E"/>
          <w:sz w:val="22"/>
          <w:szCs w:val="22"/>
        </w:rPr>
        <w:t xml:space="preserve">Exclusive discounts for holders on selected products</w:t>
      </w:r>
    </w:p>
    <w:p>
      <w:pPr>
        <w:pStyle w:val="ListParagraph"/>
        <w:numPr>
          <w:ilvl w:val="0"/>
          <w:numId w:val="2"/>
        </w:numPr>
        <w:spacing w:before="60" w:after="60"/>
      </w:pPr>
      <w:r>
        <w:rPr>
          <w:rFonts w:ascii="Arial" w:cs="Arial" w:eastAsia="Arial" w:hAnsi="Arial"/>
          <w:color w:val="1A1A2E"/>
          <w:sz w:val="22"/>
          <w:szCs w:val="22"/>
        </w:rPr>
        <w:t xml:space="preserve">Early access to launches and limited editions</w:t>
      </w:r>
    </w:p>
    <w:p>
      <w:pPr>
        <w:spacing w:before="0" w:after="0"/>
      </w:pPr>
      <w:r>
        <w:rPr>
          <w:sz w:val="44"/>
          <w:szCs w:val="44"/>
        </w:rPr>
        <w:t xml:space="preserve"/>
      </w:r>
    </w:p>
    <w:p>
      <w:r>
        <w:br w:type="page"/>
      </w:r>
    </w:p>
    <w:p>
      <w:pPr>
        <w:pStyle w:val="Heading1"/>
        <w:spacing w:before="400" w:after="200"/>
      </w:pPr>
      <w:r>
        <w:rPr>
          <w:rFonts w:ascii="Arial" w:cs="Arial" w:eastAsia="Arial" w:hAnsi="Arial"/>
          <w:b/>
          <w:bCs/>
          <w:color w:val="1A3C6E"/>
          <w:sz w:val="36"/>
          <w:szCs w:val="36"/>
        </w:rPr>
        <w:t xml:space="preserve">4. Tokenomics</w:t>
      </w:r>
    </w:p>
    <w:p>
      <w:pPr>
        <w:pBdr>
          <w:bottom w:val="single" w:color="2E75B6" w:sz="4" w:space="1"/>
        </w:pBdr>
        <w:spacing w:before="200" w:after="200"/>
      </w:pPr>
      <w:r>
        <w:t xml:space="preserve"/>
      </w:r>
    </w:p>
    <w:p>
      <w:pPr>
        <w:spacing w:before="80" w:after="80"/>
        <w:jc w:val="both"/>
      </w:pPr>
      <w:r>
        <w:rPr>
          <w:rFonts w:ascii="Arial" w:cs="Arial" w:eastAsia="Arial" w:hAnsi="Arial"/>
          <w:b w:val="false"/>
          <w:bCs w:val="false"/>
          <w:i w:val="false"/>
          <w:iCs w:val="false"/>
          <w:color w:val="1A1A2E"/>
          <w:sz w:val="22"/>
          <w:szCs w:val="22"/>
        </w:rPr>
        <w:t xml:space="preserve">The token distribution design was built to guarantee long-term sustainability, align incentives between founders, investors and users, and ensure sufficient liquidity from the first trading day.</w:t>
      </w:r>
    </w:p>
    <w:p>
      <w:pPr>
        <w:spacing w:before="0" w:after="0"/>
      </w:pPr>
      <w:r>
        <w:rPr>
          <w:sz w:val="44"/>
          <w:szCs w:val="44"/>
        </w:rPr>
        <w:t xml:space="preserve"/>
      </w:r>
    </w:p>
    <w:p>
      <w:pPr>
        <w:pStyle w:val="Heading2"/>
        <w:spacing w:before="300" w:after="160"/>
      </w:pPr>
      <w:r>
        <w:rPr>
          <w:rFonts w:ascii="Arial" w:cs="Arial" w:eastAsia="Arial" w:hAnsi="Arial"/>
          <w:b/>
          <w:bCs/>
          <w:color w:val="2E75B6"/>
          <w:sz w:val="28"/>
          <w:szCs w:val="28"/>
        </w:rPr>
        <w:t xml:space="preserve">4.1 Supply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2360"/>
        <w:gridCol w:w="3000"/>
      </w:tblGrid>
      <w:tr>
        <w:tc>
          <w:tcPr>
            <w:tcW w:type="dxa" w:w="2800"/>
            <w:tcBorders>
              <w:top w:val="single" w:color="D0D7E3" w:sz="1"/>
              <w:left w:val="single" w:color="D0D7E3" w:sz="1"/>
              <w:bottom w:val="single" w:color="D0D7E3" w:sz="1"/>
              <w:right w:val="single" w:color="D0D7E3" w:sz="1"/>
            </w:tcBorders>
            <w:shd w:fill="1A3C6E" w:val="clear"/>
            <w:tcMar>
              <w:top w:type="dxa" w:w="100"/>
              <w:left w:type="dxa" w:w="140"/>
              <w:bottom w:type="dxa" w:w="100"/>
              <w:right w:type="dxa" w:w="140"/>
            </w:tcMar>
          </w:tcPr>
          <w:p>
            <w:r>
              <w:rPr>
                <w:rFonts w:ascii="Arial" w:cs="Arial" w:eastAsia="Arial" w:hAnsi="Arial"/>
                <w:b/>
                <w:bCs/>
                <w:color w:val="FFFFFF"/>
                <w:sz w:val="20"/>
                <w:szCs w:val="20"/>
              </w:rPr>
              <w:t xml:space="preserve">Category</w:t>
            </w:r>
          </w:p>
        </w:tc>
        <w:tc>
          <w:tcPr>
            <w:tcW w:type="dxa" w:w="1200"/>
            <w:tcBorders>
              <w:top w:val="single" w:color="D0D7E3" w:sz="1"/>
              <w:left w:val="single" w:color="D0D7E3" w:sz="1"/>
              <w:bottom w:val="single" w:color="D0D7E3" w:sz="1"/>
              <w:right w:val="single" w:color="D0D7E3" w:sz="1"/>
            </w:tcBorders>
            <w:shd w:fill="1A3C6E" w:val="clear"/>
            <w:tcMar>
              <w:top w:type="dxa" w:w="100"/>
              <w:left w:type="dxa" w:w="140"/>
              <w:bottom w:type="dxa" w:w="100"/>
              <w:right w:type="dxa" w:w="140"/>
            </w:tcMar>
          </w:tcPr>
          <w:p>
            <w:r>
              <w:rPr>
                <w:rFonts w:ascii="Arial" w:cs="Arial" w:eastAsia="Arial" w:hAnsi="Arial"/>
                <w:b/>
                <w:bCs/>
                <w:color w:val="FFFFFF"/>
                <w:sz w:val="20"/>
                <w:szCs w:val="20"/>
              </w:rPr>
              <w:t xml:space="preserve">% Supply</w:t>
            </w:r>
          </w:p>
        </w:tc>
        <w:tc>
          <w:tcPr>
            <w:tcW w:type="dxa" w:w="2360"/>
            <w:tcBorders>
              <w:top w:val="single" w:color="D0D7E3" w:sz="1"/>
              <w:left w:val="single" w:color="D0D7E3" w:sz="1"/>
              <w:bottom w:val="single" w:color="D0D7E3" w:sz="1"/>
              <w:right w:val="single" w:color="D0D7E3" w:sz="1"/>
            </w:tcBorders>
            <w:shd w:fill="1A3C6E" w:val="clear"/>
            <w:tcMar>
              <w:top w:type="dxa" w:w="100"/>
              <w:left w:type="dxa" w:w="140"/>
              <w:bottom w:type="dxa" w:w="100"/>
              <w:right w:type="dxa" w:w="140"/>
            </w:tcMar>
          </w:tcPr>
          <w:p>
            <w:r>
              <w:rPr>
                <w:rFonts w:ascii="Arial" w:cs="Arial" w:eastAsia="Arial" w:hAnsi="Arial"/>
                <w:b/>
                <w:bCs/>
                <w:color w:val="FFFFFF"/>
                <w:sz w:val="20"/>
                <w:szCs w:val="20"/>
              </w:rPr>
              <w:t xml:space="preserve">Tokens</w:t>
            </w:r>
          </w:p>
        </w:tc>
        <w:tc>
          <w:tcPr>
            <w:tcW w:type="dxa" w:w="3000"/>
            <w:tcBorders>
              <w:top w:val="single" w:color="D0D7E3" w:sz="1"/>
              <w:left w:val="single" w:color="D0D7E3" w:sz="1"/>
              <w:bottom w:val="single" w:color="D0D7E3" w:sz="1"/>
              <w:right w:val="single" w:color="D0D7E3" w:sz="1"/>
            </w:tcBorders>
            <w:shd w:fill="1A3C6E" w:val="clear"/>
            <w:tcMar>
              <w:top w:type="dxa" w:w="100"/>
              <w:left w:type="dxa" w:w="140"/>
              <w:bottom w:type="dxa" w:w="100"/>
              <w:right w:type="dxa" w:w="140"/>
            </w:tcMar>
          </w:tcPr>
          <w:p>
            <w:r>
              <w:rPr>
                <w:rFonts w:ascii="Arial" w:cs="Arial" w:eastAsia="Arial" w:hAnsi="Arial"/>
                <w:b/>
                <w:bCs/>
                <w:color w:val="FFFFFF"/>
                <w:sz w:val="20"/>
                <w:szCs w:val="20"/>
              </w:rPr>
              <w:t xml:space="preserve">Purpose</w:t>
            </w:r>
          </w:p>
        </w:tc>
      </w:tr>
      <w:tr>
        <w:tc>
          <w:tcPr>
            <w:tcW w:type="dxa" w:w="280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RWA Real Estate</w:t>
            </w:r>
          </w:p>
        </w:tc>
        <w:tc>
          <w:tcPr>
            <w:tcW w:type="dxa" w:w="120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25%</w:t>
            </w:r>
          </w:p>
        </w:tc>
        <w:tc>
          <w:tcPr>
            <w:tcW w:type="dxa" w:w="236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250,000,000</w:t>
            </w:r>
          </w:p>
        </w:tc>
        <w:tc>
          <w:tcPr>
            <w:tcW w:type="dxa" w:w="300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Tokenized assets, released per property</w:t>
            </w:r>
          </w:p>
        </w:tc>
      </w:tr>
      <w:tr>
        <w:tc>
          <w:tcPr>
            <w:tcW w:type="dxa" w:w="2800"/>
            <w:tcBorders>
              <w:top w:val="single" w:color="D0D7E3" w:sz="1"/>
              <w:left w:val="single" w:color="D0D7E3" w:sz="1"/>
              <w:bottom w:val="single" w:color="D0D7E3" w:sz="1"/>
              <w:right w:val="single" w:color="D0D7E3" w:sz="1"/>
            </w:tcBorders>
            <w:shd w:fill="F2F4F7" w:val="clear"/>
            <w:tcMar>
              <w:top w:type="dxa" w:w="80"/>
              <w:left w:type="dxa" w:w="140"/>
              <w:bottom w:type="dxa" w:w="80"/>
              <w:right w:type="dxa" w:w="140"/>
            </w:tcMar>
          </w:tcPr>
          <w:p>
            <w:r>
              <w:rPr>
                <w:rFonts w:ascii="Arial" w:cs="Arial" w:eastAsia="Arial" w:hAnsi="Arial"/>
                <w:color w:val="1A1A2E"/>
                <w:sz w:val="20"/>
                <w:szCs w:val="20"/>
              </w:rPr>
              <w:t xml:space="preserve">Ecosystem / Rewards</w:t>
            </w:r>
          </w:p>
        </w:tc>
        <w:tc>
          <w:tcPr>
            <w:tcW w:type="dxa" w:w="1200"/>
            <w:tcBorders>
              <w:top w:val="single" w:color="D0D7E3" w:sz="1"/>
              <w:left w:val="single" w:color="D0D7E3" w:sz="1"/>
              <w:bottom w:val="single" w:color="D0D7E3" w:sz="1"/>
              <w:right w:val="single" w:color="D0D7E3" w:sz="1"/>
            </w:tcBorders>
            <w:shd w:fill="F2F4F7" w:val="clear"/>
            <w:tcMar>
              <w:top w:type="dxa" w:w="80"/>
              <w:left w:type="dxa" w:w="140"/>
              <w:bottom w:type="dxa" w:w="80"/>
              <w:right w:type="dxa" w:w="140"/>
            </w:tcMar>
          </w:tcPr>
          <w:p>
            <w:r>
              <w:rPr>
                <w:rFonts w:ascii="Arial" w:cs="Arial" w:eastAsia="Arial" w:hAnsi="Arial"/>
                <w:color w:val="1A1A2E"/>
                <w:sz w:val="20"/>
                <w:szCs w:val="20"/>
              </w:rPr>
              <w:t xml:space="preserve">20%</w:t>
            </w:r>
          </w:p>
        </w:tc>
        <w:tc>
          <w:tcPr>
            <w:tcW w:type="dxa" w:w="2360"/>
            <w:tcBorders>
              <w:top w:val="single" w:color="D0D7E3" w:sz="1"/>
              <w:left w:val="single" w:color="D0D7E3" w:sz="1"/>
              <w:bottom w:val="single" w:color="D0D7E3" w:sz="1"/>
              <w:right w:val="single" w:color="D0D7E3" w:sz="1"/>
            </w:tcBorders>
            <w:shd w:fill="F2F4F7" w:val="clear"/>
            <w:tcMar>
              <w:top w:type="dxa" w:w="80"/>
              <w:left w:type="dxa" w:w="140"/>
              <w:bottom w:type="dxa" w:w="80"/>
              <w:right w:type="dxa" w:w="140"/>
            </w:tcMar>
          </w:tcPr>
          <w:p>
            <w:r>
              <w:rPr>
                <w:rFonts w:ascii="Arial" w:cs="Arial" w:eastAsia="Arial" w:hAnsi="Arial"/>
                <w:color w:val="1A1A2E"/>
                <w:sz w:val="20"/>
                <w:szCs w:val="20"/>
              </w:rPr>
              <w:t xml:space="preserve">200,000,000</w:t>
            </w:r>
          </w:p>
        </w:tc>
        <w:tc>
          <w:tcPr>
            <w:tcW w:type="dxa" w:w="3000"/>
            <w:tcBorders>
              <w:top w:val="single" w:color="D0D7E3" w:sz="1"/>
              <w:left w:val="single" w:color="D0D7E3" w:sz="1"/>
              <w:bottom w:val="single" w:color="D0D7E3" w:sz="1"/>
              <w:right w:val="single" w:color="D0D7E3" w:sz="1"/>
            </w:tcBorders>
            <w:shd w:fill="F2F4F7" w:val="clear"/>
            <w:tcMar>
              <w:top w:type="dxa" w:w="80"/>
              <w:left w:type="dxa" w:w="140"/>
              <w:bottom w:type="dxa" w:w="80"/>
              <w:right w:type="dxa" w:w="140"/>
            </w:tcMar>
          </w:tcPr>
          <w:p>
            <w:r>
              <w:rPr>
                <w:rFonts w:ascii="Arial" w:cs="Arial" w:eastAsia="Arial" w:hAnsi="Arial"/>
                <w:color w:val="1A1A2E"/>
                <w:sz w:val="20"/>
                <w:szCs w:val="20"/>
              </w:rPr>
              <w:t xml:space="preserve">Courses, e-commerce, referrals, staking</w:t>
            </w:r>
          </w:p>
        </w:tc>
      </w:tr>
      <w:tr>
        <w:tc>
          <w:tcPr>
            <w:tcW w:type="dxa" w:w="280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DEX Liquidity</w:t>
            </w:r>
          </w:p>
        </w:tc>
        <w:tc>
          <w:tcPr>
            <w:tcW w:type="dxa" w:w="120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15%</w:t>
            </w:r>
          </w:p>
        </w:tc>
        <w:tc>
          <w:tcPr>
            <w:tcW w:type="dxa" w:w="236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150,000,000</w:t>
            </w:r>
          </w:p>
        </w:tc>
        <w:tc>
          <w:tcPr>
            <w:tcW w:type="dxa" w:w="300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Raydium pool, unlocked at listing</w:t>
            </w:r>
          </w:p>
        </w:tc>
      </w:tr>
      <w:tr>
        <w:tc>
          <w:tcPr>
            <w:tcW w:type="dxa" w:w="2800"/>
            <w:tcBorders>
              <w:top w:val="single" w:color="D0D7E3" w:sz="1"/>
              <w:left w:val="single" w:color="D0D7E3" w:sz="1"/>
              <w:bottom w:val="single" w:color="D0D7E3" w:sz="1"/>
              <w:right w:val="single" w:color="D0D7E3" w:sz="1"/>
            </w:tcBorders>
            <w:shd w:fill="F2F4F7" w:val="clear"/>
            <w:tcMar>
              <w:top w:type="dxa" w:w="80"/>
              <w:left w:type="dxa" w:w="140"/>
              <w:bottom w:type="dxa" w:w="80"/>
              <w:right w:type="dxa" w:w="140"/>
            </w:tcMar>
          </w:tcPr>
          <w:p>
            <w:r>
              <w:rPr>
                <w:rFonts w:ascii="Arial" w:cs="Arial" w:eastAsia="Arial" w:hAnsi="Arial"/>
                <w:color w:val="1A1A2E"/>
                <w:sz w:val="20"/>
                <w:szCs w:val="20"/>
              </w:rPr>
              <w:t xml:space="preserve">Founder / Team</w:t>
            </w:r>
          </w:p>
        </w:tc>
        <w:tc>
          <w:tcPr>
            <w:tcW w:type="dxa" w:w="1200"/>
            <w:tcBorders>
              <w:top w:val="single" w:color="D0D7E3" w:sz="1"/>
              <w:left w:val="single" w:color="D0D7E3" w:sz="1"/>
              <w:bottom w:val="single" w:color="D0D7E3" w:sz="1"/>
              <w:right w:val="single" w:color="D0D7E3" w:sz="1"/>
            </w:tcBorders>
            <w:shd w:fill="F2F4F7" w:val="clear"/>
            <w:tcMar>
              <w:top w:type="dxa" w:w="80"/>
              <w:left w:type="dxa" w:w="140"/>
              <w:bottom w:type="dxa" w:w="80"/>
              <w:right w:type="dxa" w:w="140"/>
            </w:tcMar>
          </w:tcPr>
          <w:p>
            <w:r>
              <w:rPr>
                <w:rFonts w:ascii="Arial" w:cs="Arial" w:eastAsia="Arial" w:hAnsi="Arial"/>
                <w:color w:val="1A1A2E"/>
                <w:sz w:val="20"/>
                <w:szCs w:val="20"/>
              </w:rPr>
              <w:t xml:space="preserve">15%</w:t>
            </w:r>
          </w:p>
        </w:tc>
        <w:tc>
          <w:tcPr>
            <w:tcW w:type="dxa" w:w="2360"/>
            <w:tcBorders>
              <w:top w:val="single" w:color="D0D7E3" w:sz="1"/>
              <w:left w:val="single" w:color="D0D7E3" w:sz="1"/>
              <w:bottom w:val="single" w:color="D0D7E3" w:sz="1"/>
              <w:right w:val="single" w:color="D0D7E3" w:sz="1"/>
            </w:tcBorders>
            <w:shd w:fill="F2F4F7" w:val="clear"/>
            <w:tcMar>
              <w:top w:type="dxa" w:w="80"/>
              <w:left w:type="dxa" w:w="140"/>
              <w:bottom w:type="dxa" w:w="80"/>
              <w:right w:type="dxa" w:w="140"/>
            </w:tcMar>
          </w:tcPr>
          <w:p>
            <w:r>
              <w:rPr>
                <w:rFonts w:ascii="Arial" w:cs="Arial" w:eastAsia="Arial" w:hAnsi="Arial"/>
                <w:color w:val="1A1A2E"/>
                <w:sz w:val="20"/>
                <w:szCs w:val="20"/>
              </w:rPr>
              <w:t xml:space="preserve">150,000,000</w:t>
            </w:r>
          </w:p>
        </w:tc>
        <w:tc>
          <w:tcPr>
            <w:tcW w:type="dxa" w:w="3000"/>
            <w:tcBorders>
              <w:top w:val="single" w:color="D0D7E3" w:sz="1"/>
              <w:left w:val="single" w:color="D0D7E3" w:sz="1"/>
              <w:bottom w:val="single" w:color="D0D7E3" w:sz="1"/>
              <w:right w:val="single" w:color="D0D7E3" w:sz="1"/>
            </w:tcBorders>
            <w:shd w:fill="F2F4F7" w:val="clear"/>
            <w:tcMar>
              <w:top w:type="dxa" w:w="80"/>
              <w:left w:type="dxa" w:w="140"/>
              <w:bottom w:type="dxa" w:w="80"/>
              <w:right w:type="dxa" w:w="140"/>
            </w:tcMar>
          </w:tcPr>
          <w:p>
            <w:r>
              <w:rPr>
                <w:rFonts w:ascii="Arial" w:cs="Arial" w:eastAsia="Arial" w:hAnsi="Arial"/>
                <w:color w:val="1A1A2E"/>
                <w:sz w:val="20"/>
                <w:szCs w:val="20"/>
              </w:rPr>
              <w:t xml:space="preserve">24-month vesting, 6-month cliff</w:t>
            </w:r>
          </w:p>
        </w:tc>
      </w:tr>
      <w:tr>
        <w:tc>
          <w:tcPr>
            <w:tcW w:type="dxa" w:w="280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Presale / IDO</w:t>
            </w:r>
          </w:p>
        </w:tc>
        <w:tc>
          <w:tcPr>
            <w:tcW w:type="dxa" w:w="120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15%</w:t>
            </w:r>
          </w:p>
        </w:tc>
        <w:tc>
          <w:tcPr>
            <w:tcW w:type="dxa" w:w="236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150,000,000</w:t>
            </w:r>
          </w:p>
        </w:tc>
        <w:tc>
          <w:tcPr>
            <w:tcW w:type="dxa" w:w="300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Early investors at reduced price</w:t>
            </w:r>
          </w:p>
        </w:tc>
      </w:tr>
      <w:tr>
        <w:tc>
          <w:tcPr>
            <w:tcW w:type="dxa" w:w="2800"/>
            <w:tcBorders>
              <w:top w:val="single" w:color="D0D7E3" w:sz="1"/>
              <w:left w:val="single" w:color="D0D7E3" w:sz="1"/>
              <w:bottom w:val="single" w:color="D0D7E3" w:sz="1"/>
              <w:right w:val="single" w:color="D0D7E3" w:sz="1"/>
            </w:tcBorders>
            <w:shd w:fill="F2F4F7" w:val="clear"/>
            <w:tcMar>
              <w:top w:type="dxa" w:w="80"/>
              <w:left w:type="dxa" w:w="140"/>
              <w:bottom w:type="dxa" w:w="80"/>
              <w:right w:type="dxa" w:w="140"/>
            </w:tcMar>
          </w:tcPr>
          <w:p>
            <w:r>
              <w:rPr>
                <w:rFonts w:ascii="Arial" w:cs="Arial" w:eastAsia="Arial" w:hAnsi="Arial"/>
                <w:color w:val="1A1A2E"/>
                <w:sz w:val="20"/>
                <w:szCs w:val="20"/>
              </w:rPr>
              <w:t xml:space="preserve">Marketing / Partnerships</w:t>
            </w:r>
          </w:p>
        </w:tc>
        <w:tc>
          <w:tcPr>
            <w:tcW w:type="dxa" w:w="1200"/>
            <w:tcBorders>
              <w:top w:val="single" w:color="D0D7E3" w:sz="1"/>
              <w:left w:val="single" w:color="D0D7E3" w:sz="1"/>
              <w:bottom w:val="single" w:color="D0D7E3" w:sz="1"/>
              <w:right w:val="single" w:color="D0D7E3" w:sz="1"/>
            </w:tcBorders>
            <w:shd w:fill="F2F4F7" w:val="clear"/>
            <w:tcMar>
              <w:top w:type="dxa" w:w="80"/>
              <w:left w:type="dxa" w:w="140"/>
              <w:bottom w:type="dxa" w:w="80"/>
              <w:right w:type="dxa" w:w="140"/>
            </w:tcMar>
          </w:tcPr>
          <w:p>
            <w:r>
              <w:rPr>
                <w:rFonts w:ascii="Arial" w:cs="Arial" w:eastAsia="Arial" w:hAnsi="Arial"/>
                <w:color w:val="1A1A2E"/>
                <w:sz w:val="20"/>
                <w:szCs w:val="20"/>
              </w:rPr>
              <w:t xml:space="preserve">5%</w:t>
            </w:r>
          </w:p>
        </w:tc>
        <w:tc>
          <w:tcPr>
            <w:tcW w:type="dxa" w:w="2360"/>
            <w:tcBorders>
              <w:top w:val="single" w:color="D0D7E3" w:sz="1"/>
              <w:left w:val="single" w:color="D0D7E3" w:sz="1"/>
              <w:bottom w:val="single" w:color="D0D7E3" w:sz="1"/>
              <w:right w:val="single" w:color="D0D7E3" w:sz="1"/>
            </w:tcBorders>
            <w:shd w:fill="F2F4F7" w:val="clear"/>
            <w:tcMar>
              <w:top w:type="dxa" w:w="80"/>
              <w:left w:type="dxa" w:w="140"/>
              <w:bottom w:type="dxa" w:w="80"/>
              <w:right w:type="dxa" w:w="140"/>
            </w:tcMar>
          </w:tcPr>
          <w:p>
            <w:r>
              <w:rPr>
                <w:rFonts w:ascii="Arial" w:cs="Arial" w:eastAsia="Arial" w:hAnsi="Arial"/>
                <w:color w:val="1A1A2E"/>
                <w:sz w:val="20"/>
                <w:szCs w:val="20"/>
              </w:rPr>
              <w:t xml:space="preserve">50,000,000</w:t>
            </w:r>
          </w:p>
        </w:tc>
        <w:tc>
          <w:tcPr>
            <w:tcW w:type="dxa" w:w="3000"/>
            <w:tcBorders>
              <w:top w:val="single" w:color="D0D7E3" w:sz="1"/>
              <w:left w:val="single" w:color="D0D7E3" w:sz="1"/>
              <w:bottom w:val="single" w:color="D0D7E3" w:sz="1"/>
              <w:right w:val="single" w:color="D0D7E3" w:sz="1"/>
            </w:tcBorders>
            <w:shd w:fill="F2F4F7" w:val="clear"/>
            <w:tcMar>
              <w:top w:type="dxa" w:w="80"/>
              <w:left w:type="dxa" w:w="140"/>
              <w:bottom w:type="dxa" w:w="80"/>
              <w:right w:type="dxa" w:w="140"/>
            </w:tcMar>
          </w:tcPr>
          <w:p>
            <w:r>
              <w:rPr>
                <w:rFonts w:ascii="Arial" w:cs="Arial" w:eastAsia="Arial" w:hAnsi="Arial"/>
                <w:color w:val="1A1A2E"/>
                <w:sz w:val="20"/>
                <w:szCs w:val="20"/>
              </w:rPr>
              <w:t xml:space="preserve">Influencers, listings, alliances</w:t>
            </w:r>
          </w:p>
        </w:tc>
      </w:tr>
      <w:tr>
        <w:tc>
          <w:tcPr>
            <w:tcW w:type="dxa" w:w="280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Reserve / Treasury</w:t>
            </w:r>
          </w:p>
        </w:tc>
        <w:tc>
          <w:tcPr>
            <w:tcW w:type="dxa" w:w="120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5%</w:t>
            </w:r>
          </w:p>
        </w:tc>
        <w:tc>
          <w:tcPr>
            <w:tcW w:type="dxa" w:w="236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50,000,000</w:t>
            </w:r>
          </w:p>
        </w:tc>
        <w:tc>
          <w:tcPr>
            <w:tcW w:type="dxa" w:w="300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Emergencies and future opportunities</w:t>
            </w:r>
          </w:p>
        </w:tc>
      </w:tr>
      <w:tr>
        <w:tc>
          <w:tcPr>
            <w:tcW w:type="dxa" w:w="2800"/>
            <w:tcBorders>
              <w:top w:val="single" w:color="D0D7E3" w:sz="1"/>
              <w:left w:val="single" w:color="D0D7E3" w:sz="1"/>
              <w:bottom w:val="single" w:color="D0D7E3" w:sz="1"/>
              <w:right w:val="single" w:color="D0D7E3" w:sz="1"/>
            </w:tcBorders>
            <w:shd w:fill="F2F4F7" w:val="clear"/>
            <w:tcMar>
              <w:top w:type="dxa" w:w="80"/>
              <w:left w:type="dxa" w:w="140"/>
              <w:bottom w:type="dxa" w:w="80"/>
              <w:right w:type="dxa" w:w="140"/>
            </w:tcMar>
          </w:tcPr>
          <w:p>
            <w:r>
              <w:rPr>
                <w:rFonts w:ascii="Arial" w:cs="Arial" w:eastAsia="Arial" w:hAnsi="Arial"/>
                <w:color w:val="1A1A2E"/>
                <w:sz w:val="20"/>
                <w:szCs w:val="20"/>
              </w:rPr>
              <w:t xml:space="preserve">TOTAL</w:t>
            </w:r>
          </w:p>
        </w:tc>
        <w:tc>
          <w:tcPr>
            <w:tcW w:type="dxa" w:w="1200"/>
            <w:tcBorders>
              <w:top w:val="single" w:color="D0D7E3" w:sz="1"/>
              <w:left w:val="single" w:color="D0D7E3" w:sz="1"/>
              <w:bottom w:val="single" w:color="D0D7E3" w:sz="1"/>
              <w:right w:val="single" w:color="D0D7E3" w:sz="1"/>
            </w:tcBorders>
            <w:shd w:fill="F2F4F7" w:val="clear"/>
            <w:tcMar>
              <w:top w:type="dxa" w:w="80"/>
              <w:left w:type="dxa" w:w="140"/>
              <w:bottom w:type="dxa" w:w="80"/>
              <w:right w:type="dxa" w:w="140"/>
            </w:tcMar>
          </w:tcPr>
          <w:p>
            <w:r>
              <w:rPr>
                <w:rFonts w:ascii="Arial" w:cs="Arial" w:eastAsia="Arial" w:hAnsi="Arial"/>
                <w:color w:val="1A1A2E"/>
                <w:sz w:val="20"/>
                <w:szCs w:val="20"/>
              </w:rPr>
              <w:t xml:space="preserve">100%</w:t>
            </w:r>
          </w:p>
        </w:tc>
        <w:tc>
          <w:tcPr>
            <w:tcW w:type="dxa" w:w="2360"/>
            <w:tcBorders>
              <w:top w:val="single" w:color="D0D7E3" w:sz="1"/>
              <w:left w:val="single" w:color="D0D7E3" w:sz="1"/>
              <w:bottom w:val="single" w:color="D0D7E3" w:sz="1"/>
              <w:right w:val="single" w:color="D0D7E3" w:sz="1"/>
            </w:tcBorders>
            <w:shd w:fill="F2F4F7" w:val="clear"/>
            <w:tcMar>
              <w:top w:type="dxa" w:w="80"/>
              <w:left w:type="dxa" w:w="140"/>
              <w:bottom w:type="dxa" w:w="80"/>
              <w:right w:type="dxa" w:w="140"/>
            </w:tcMar>
          </w:tcPr>
          <w:p>
            <w:r>
              <w:rPr>
                <w:rFonts w:ascii="Arial" w:cs="Arial" w:eastAsia="Arial" w:hAnsi="Arial"/>
                <w:color w:val="1A1A2E"/>
                <w:sz w:val="20"/>
                <w:szCs w:val="20"/>
              </w:rPr>
              <w:t xml:space="preserve">1,000,000,000</w:t>
            </w:r>
          </w:p>
        </w:tc>
        <w:tc>
          <w:tcPr>
            <w:tcW w:type="dxa" w:w="3000"/>
            <w:tcBorders>
              <w:top w:val="single" w:color="D0D7E3" w:sz="1"/>
              <w:left w:val="single" w:color="D0D7E3" w:sz="1"/>
              <w:bottom w:val="single" w:color="D0D7E3" w:sz="1"/>
              <w:right w:val="single" w:color="D0D7E3" w:sz="1"/>
            </w:tcBorders>
            <w:shd w:fill="F2F4F7" w:val="clear"/>
            <w:tcMar>
              <w:top w:type="dxa" w:w="80"/>
              <w:left w:type="dxa" w:w="140"/>
              <w:bottom w:type="dxa" w:w="80"/>
              <w:right w:type="dxa" w:w="140"/>
            </w:tcMar>
          </w:tcPr>
          <w:p>
            <w:r>
              <w:rPr>
                <w:rFonts w:ascii="Arial" w:cs="Arial" w:eastAsia="Arial" w:hAnsi="Arial"/>
                <w:color w:val="1A1A2E"/>
                <w:sz w:val="20"/>
                <w:szCs w:val="20"/>
              </w:rPr>
              <w:t xml:space="preserve">Fixed supply, no additional issuance</w:t>
            </w:r>
          </w:p>
        </w:tc>
      </w:tr>
    </w:tbl>
    <w:p>
      <w:pPr>
        <w:spacing w:before="0" w:after="0"/>
      </w:pPr>
      <w:r>
        <w:rPr>
          <w:sz w:val="44"/>
          <w:szCs w:val="44"/>
        </w:rPr>
        <w:t xml:space="preserve"/>
      </w:r>
    </w:p>
    <w:p>
      <w:pPr>
        <w:pStyle w:val="Heading2"/>
        <w:spacing w:before="300" w:after="160"/>
      </w:pPr>
      <w:r>
        <w:rPr>
          <w:rFonts w:ascii="Arial" w:cs="Arial" w:eastAsia="Arial" w:hAnsi="Arial"/>
          <w:b/>
          <w:bCs/>
          <w:color w:val="2E75B6"/>
          <w:sz w:val="28"/>
          <w:szCs w:val="28"/>
        </w:rPr>
        <w:t xml:space="preserve">4.2 Investment Round Pricing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0D7E3" w:sz="1"/>
              <w:left w:val="single" w:color="D0D7E3" w:sz="1"/>
              <w:bottom w:val="single" w:color="D0D7E3" w:sz="1"/>
              <w:right w:val="single" w:color="D0D7E3" w:sz="1"/>
            </w:tcBorders>
            <w:shd w:fill="1A3C6E" w:val="clear"/>
            <w:tcMar>
              <w:top w:type="dxa" w:w="100"/>
              <w:left w:type="dxa" w:w="180"/>
              <w:bottom w:type="dxa" w:w="100"/>
              <w:right w:type="dxa" w:w="180"/>
            </w:tcMar>
          </w:tcPr>
          <w:p>
            <w:r>
              <w:rPr>
                <w:rFonts w:ascii="Arial" w:cs="Arial" w:eastAsia="Arial" w:hAnsi="Arial"/>
                <w:b/>
                <w:bCs/>
                <w:color w:val="FFFFFF"/>
                <w:sz w:val="22"/>
                <w:szCs w:val="22"/>
              </w:rPr>
              <w:t xml:space="preserve">Round</w:t>
            </w:r>
          </w:p>
        </w:tc>
        <w:tc>
          <w:tcPr>
            <w:tcW w:type="dxa" w:w="3120"/>
            <w:tcBorders>
              <w:top w:val="single" w:color="D0D7E3" w:sz="1"/>
              <w:left w:val="single" w:color="D0D7E3" w:sz="1"/>
              <w:bottom w:val="single" w:color="D0D7E3" w:sz="1"/>
              <w:right w:val="single" w:color="D0D7E3" w:sz="1"/>
            </w:tcBorders>
            <w:shd w:fill="1A3C6E" w:val="clear"/>
            <w:tcMar>
              <w:top w:type="dxa" w:w="100"/>
              <w:left w:type="dxa" w:w="180"/>
              <w:bottom w:type="dxa" w:w="100"/>
              <w:right w:type="dxa" w:w="180"/>
            </w:tcMar>
          </w:tcPr>
          <w:p>
            <w:r>
              <w:rPr>
                <w:rFonts w:ascii="Arial" w:cs="Arial" w:eastAsia="Arial" w:hAnsi="Arial"/>
                <w:b/>
                <w:bCs/>
                <w:color w:val="FFFFFF"/>
                <w:sz w:val="22"/>
                <w:szCs w:val="22"/>
              </w:rPr>
              <w:t xml:space="preserve">USD Price</w:t>
            </w:r>
          </w:p>
        </w:tc>
        <w:tc>
          <w:tcPr>
            <w:tcW w:type="dxa" w:w="3120"/>
            <w:tcBorders>
              <w:top w:val="single" w:color="D0D7E3" w:sz="1"/>
              <w:left w:val="single" w:color="D0D7E3" w:sz="1"/>
              <w:bottom w:val="single" w:color="D0D7E3" w:sz="1"/>
              <w:right w:val="single" w:color="D0D7E3" w:sz="1"/>
            </w:tcBorders>
            <w:shd w:fill="1A3C6E" w:val="clear"/>
            <w:tcMar>
              <w:top w:type="dxa" w:w="100"/>
              <w:left w:type="dxa" w:w="180"/>
              <w:bottom w:type="dxa" w:w="100"/>
              <w:right w:type="dxa" w:w="180"/>
            </w:tcMar>
          </w:tcPr>
          <w:p>
            <w:r>
              <w:rPr>
                <w:rFonts w:ascii="Arial" w:cs="Arial" w:eastAsia="Arial" w:hAnsi="Arial"/>
                <w:b/>
                <w:bCs/>
                <w:color w:val="FFFFFF"/>
                <w:sz w:val="22"/>
                <w:szCs w:val="22"/>
              </w:rPr>
              <w:t xml:space="preserve">Available Tokens</w:t>
            </w:r>
          </w:p>
        </w:tc>
      </w:tr>
      <w:tr>
        <w:tc>
          <w:tcPr>
            <w:tcW w:type="dxa" w:w="3120"/>
            <w:tcBorders>
              <w:top w:val="single" w:color="D0D7E3" w:sz="1"/>
              <w:left w:val="single" w:color="D0D7E3" w:sz="1"/>
              <w:bottom w:val="single" w:color="D0D7E3" w:sz="1"/>
              <w:right w:val="single" w:color="D0D7E3" w:sz="1"/>
            </w:tcBorders>
            <w:shd w:fill="FFFFFF" w:val="clear"/>
            <w:tcMar>
              <w:top w:type="dxa" w:w="80"/>
              <w:left w:type="dxa" w:w="180"/>
              <w:bottom w:type="dxa" w:w="80"/>
              <w:right w:type="dxa" w:w="180"/>
            </w:tcMar>
          </w:tcPr>
          <w:p>
            <w:r>
              <w:rPr>
                <w:rFonts w:ascii="Arial" w:cs="Arial" w:eastAsia="Arial" w:hAnsi="Arial"/>
                <w:color w:val="1A1A2E"/>
                <w:sz w:val="22"/>
                <w:szCs w:val="22"/>
              </w:rPr>
              <w:t xml:space="preserve">Private Presale (seed)</w:t>
            </w:r>
          </w:p>
        </w:tc>
        <w:tc>
          <w:tcPr>
            <w:tcW w:type="dxa" w:w="3120"/>
            <w:tcBorders>
              <w:top w:val="single" w:color="D0D7E3" w:sz="1"/>
              <w:left w:val="single" w:color="D0D7E3" w:sz="1"/>
              <w:bottom w:val="single" w:color="D0D7E3" w:sz="1"/>
              <w:right w:val="single" w:color="D0D7E3" w:sz="1"/>
            </w:tcBorders>
            <w:shd w:fill="FFFFFF" w:val="clear"/>
            <w:tcMar>
              <w:top w:type="dxa" w:w="80"/>
              <w:left w:type="dxa" w:w="180"/>
              <w:bottom w:type="dxa" w:w="80"/>
              <w:right w:type="dxa" w:w="180"/>
            </w:tcMar>
          </w:tcPr>
          <w:p>
            <w:r>
              <w:rPr>
                <w:rFonts w:ascii="Arial" w:cs="Arial" w:eastAsia="Arial" w:hAnsi="Arial"/>
                <w:color w:val="1A1A2E"/>
                <w:sz w:val="22"/>
                <w:szCs w:val="22"/>
              </w:rPr>
              <w:t xml:space="preserve">USD 0.00005</w:t>
            </w:r>
          </w:p>
        </w:tc>
        <w:tc>
          <w:tcPr>
            <w:tcW w:type="dxa" w:w="3120"/>
            <w:tcBorders>
              <w:top w:val="single" w:color="D0D7E3" w:sz="1"/>
              <w:left w:val="single" w:color="D0D7E3" w:sz="1"/>
              <w:bottom w:val="single" w:color="D0D7E3" w:sz="1"/>
              <w:right w:val="single" w:color="D0D7E3" w:sz="1"/>
            </w:tcBorders>
            <w:shd w:fill="FFFFFF" w:val="clear"/>
            <w:tcMar>
              <w:top w:type="dxa" w:w="80"/>
              <w:left w:type="dxa" w:w="180"/>
              <w:bottom w:type="dxa" w:w="80"/>
              <w:right w:type="dxa" w:w="180"/>
            </w:tcMar>
          </w:tcPr>
          <w:p>
            <w:r>
              <w:rPr>
                <w:rFonts w:ascii="Arial" w:cs="Arial" w:eastAsia="Arial" w:hAnsi="Arial"/>
                <w:color w:val="1A1A2E"/>
                <w:sz w:val="22"/>
                <w:szCs w:val="22"/>
              </w:rPr>
              <w:t xml:space="preserve">75,000,000 SYSTEMEX</w:t>
            </w:r>
          </w:p>
        </w:tc>
      </w:tr>
      <w:tr>
        <w:tc>
          <w:tcPr>
            <w:tcW w:type="dxa" w:w="3120"/>
            <w:tcBorders>
              <w:top w:val="single" w:color="D0D7E3" w:sz="1"/>
              <w:left w:val="single" w:color="D0D7E3" w:sz="1"/>
              <w:bottom w:val="single" w:color="D0D7E3" w:sz="1"/>
              <w:right w:val="single" w:color="D0D7E3" w:sz="1"/>
            </w:tcBorders>
            <w:shd w:fill="F2F4F7" w:val="clear"/>
            <w:tcMar>
              <w:top w:type="dxa" w:w="80"/>
              <w:left w:type="dxa" w:w="180"/>
              <w:bottom w:type="dxa" w:w="80"/>
              <w:right w:type="dxa" w:w="180"/>
            </w:tcMar>
          </w:tcPr>
          <w:p>
            <w:r>
              <w:rPr>
                <w:rFonts w:ascii="Arial" w:cs="Arial" w:eastAsia="Arial" w:hAnsi="Arial"/>
                <w:color w:val="1A1A2E"/>
                <w:sz w:val="22"/>
                <w:szCs w:val="22"/>
              </w:rPr>
              <w:t xml:space="preserve">Public IDO</w:t>
            </w:r>
          </w:p>
        </w:tc>
        <w:tc>
          <w:tcPr>
            <w:tcW w:type="dxa" w:w="3120"/>
            <w:tcBorders>
              <w:top w:val="single" w:color="D0D7E3" w:sz="1"/>
              <w:left w:val="single" w:color="D0D7E3" w:sz="1"/>
              <w:bottom w:val="single" w:color="D0D7E3" w:sz="1"/>
              <w:right w:val="single" w:color="D0D7E3" w:sz="1"/>
            </w:tcBorders>
            <w:shd w:fill="F2F4F7" w:val="clear"/>
            <w:tcMar>
              <w:top w:type="dxa" w:w="80"/>
              <w:left w:type="dxa" w:w="180"/>
              <w:bottom w:type="dxa" w:w="80"/>
              <w:right w:type="dxa" w:w="180"/>
            </w:tcMar>
          </w:tcPr>
          <w:p>
            <w:r>
              <w:rPr>
                <w:rFonts w:ascii="Arial" w:cs="Arial" w:eastAsia="Arial" w:hAnsi="Arial"/>
                <w:color w:val="1A1A2E"/>
                <w:sz w:val="22"/>
                <w:szCs w:val="22"/>
              </w:rPr>
              <w:t xml:space="preserve">USD 0.00008</w:t>
            </w:r>
          </w:p>
        </w:tc>
        <w:tc>
          <w:tcPr>
            <w:tcW w:type="dxa" w:w="3120"/>
            <w:tcBorders>
              <w:top w:val="single" w:color="D0D7E3" w:sz="1"/>
              <w:left w:val="single" w:color="D0D7E3" w:sz="1"/>
              <w:bottom w:val="single" w:color="D0D7E3" w:sz="1"/>
              <w:right w:val="single" w:color="D0D7E3" w:sz="1"/>
            </w:tcBorders>
            <w:shd w:fill="F2F4F7" w:val="clear"/>
            <w:tcMar>
              <w:top w:type="dxa" w:w="80"/>
              <w:left w:type="dxa" w:w="180"/>
              <w:bottom w:type="dxa" w:w="80"/>
              <w:right w:type="dxa" w:w="180"/>
            </w:tcMar>
          </w:tcPr>
          <w:p>
            <w:r>
              <w:rPr>
                <w:rFonts w:ascii="Arial" w:cs="Arial" w:eastAsia="Arial" w:hAnsi="Arial"/>
                <w:color w:val="1A1A2E"/>
                <w:sz w:val="22"/>
                <w:szCs w:val="22"/>
              </w:rPr>
              <w:t xml:space="preserve">75,000,000 SYSTEMEX</w:t>
            </w:r>
          </w:p>
        </w:tc>
      </w:tr>
      <w:tr>
        <w:tc>
          <w:tcPr>
            <w:tcW w:type="dxa" w:w="3120"/>
            <w:tcBorders>
              <w:top w:val="single" w:color="D0D7E3" w:sz="1"/>
              <w:left w:val="single" w:color="D0D7E3" w:sz="1"/>
              <w:bottom w:val="single" w:color="D0D7E3" w:sz="1"/>
              <w:right w:val="single" w:color="D0D7E3" w:sz="1"/>
            </w:tcBorders>
            <w:shd w:fill="FFFFFF" w:val="clear"/>
            <w:tcMar>
              <w:top w:type="dxa" w:w="80"/>
              <w:left w:type="dxa" w:w="180"/>
              <w:bottom w:type="dxa" w:w="80"/>
              <w:right w:type="dxa" w:w="180"/>
            </w:tcMar>
          </w:tcPr>
          <w:p>
            <w:r>
              <w:rPr>
                <w:rFonts w:ascii="Arial" w:cs="Arial" w:eastAsia="Arial" w:hAnsi="Arial"/>
                <w:color w:val="1A1A2E"/>
                <w:sz w:val="22"/>
                <w:szCs w:val="22"/>
              </w:rPr>
              <w:t xml:space="preserve">DEX Listing (Raydium)</w:t>
            </w:r>
          </w:p>
        </w:tc>
        <w:tc>
          <w:tcPr>
            <w:tcW w:type="dxa" w:w="3120"/>
            <w:tcBorders>
              <w:top w:val="single" w:color="D0D7E3" w:sz="1"/>
              <w:left w:val="single" w:color="D0D7E3" w:sz="1"/>
              <w:bottom w:val="single" w:color="D0D7E3" w:sz="1"/>
              <w:right w:val="single" w:color="D0D7E3" w:sz="1"/>
            </w:tcBorders>
            <w:shd w:fill="FFFFFF" w:val="clear"/>
            <w:tcMar>
              <w:top w:type="dxa" w:w="80"/>
              <w:left w:type="dxa" w:w="180"/>
              <w:bottom w:type="dxa" w:w="80"/>
              <w:right w:type="dxa" w:w="180"/>
            </w:tcMar>
          </w:tcPr>
          <w:p>
            <w:r>
              <w:rPr>
                <w:rFonts w:ascii="Arial" w:cs="Arial" w:eastAsia="Arial" w:hAnsi="Arial"/>
                <w:color w:val="1A1A2E"/>
                <w:sz w:val="22"/>
                <w:szCs w:val="22"/>
              </w:rPr>
              <w:t xml:space="preserve">USD 0.0001</w:t>
            </w:r>
          </w:p>
        </w:tc>
        <w:tc>
          <w:tcPr>
            <w:tcW w:type="dxa" w:w="3120"/>
            <w:tcBorders>
              <w:top w:val="single" w:color="D0D7E3" w:sz="1"/>
              <w:left w:val="single" w:color="D0D7E3" w:sz="1"/>
              <w:bottom w:val="single" w:color="D0D7E3" w:sz="1"/>
              <w:right w:val="single" w:color="D0D7E3" w:sz="1"/>
            </w:tcBorders>
            <w:shd w:fill="FFFFFF" w:val="clear"/>
            <w:tcMar>
              <w:top w:type="dxa" w:w="80"/>
              <w:left w:type="dxa" w:w="180"/>
              <w:bottom w:type="dxa" w:w="80"/>
              <w:right w:type="dxa" w:w="180"/>
            </w:tcMar>
          </w:tcPr>
          <w:p>
            <w:r>
              <w:rPr>
                <w:rFonts w:ascii="Arial" w:cs="Arial" w:eastAsia="Arial" w:hAnsi="Arial"/>
                <w:color w:val="1A1A2E"/>
                <w:sz w:val="22"/>
                <w:szCs w:val="22"/>
              </w:rPr>
              <w:t xml:space="preserve">150,000,000 SYSTEMEX</w:t>
            </w:r>
          </w:p>
        </w:tc>
      </w:tr>
      <w:tr>
        <w:tc>
          <w:tcPr>
            <w:tcW w:type="dxa" w:w="3120"/>
            <w:tcBorders>
              <w:top w:val="single" w:color="D0D7E3" w:sz="1"/>
              <w:left w:val="single" w:color="D0D7E3" w:sz="1"/>
              <w:bottom w:val="single" w:color="D0D7E3" w:sz="1"/>
              <w:right w:val="single" w:color="D0D7E3" w:sz="1"/>
            </w:tcBorders>
            <w:shd w:fill="F2F4F7" w:val="clear"/>
            <w:tcMar>
              <w:top w:type="dxa" w:w="80"/>
              <w:left w:type="dxa" w:w="180"/>
              <w:bottom w:type="dxa" w:w="80"/>
              <w:right w:type="dxa" w:w="180"/>
            </w:tcMar>
          </w:tcPr>
          <w:p>
            <w:r>
              <w:rPr>
                <w:rFonts w:ascii="Arial" w:cs="Arial" w:eastAsia="Arial" w:hAnsi="Arial"/>
                <w:color w:val="1A1A2E"/>
                <w:sz w:val="22"/>
                <w:szCs w:val="22"/>
              </w:rPr>
              <w:t xml:space="preserve">Listing Market Cap Target</w:t>
            </w:r>
          </w:p>
        </w:tc>
        <w:tc>
          <w:tcPr>
            <w:tcW w:type="dxa" w:w="3120"/>
            <w:tcBorders>
              <w:top w:val="single" w:color="D0D7E3" w:sz="1"/>
              <w:left w:val="single" w:color="D0D7E3" w:sz="1"/>
              <w:bottom w:val="single" w:color="D0D7E3" w:sz="1"/>
              <w:right w:val="single" w:color="D0D7E3" w:sz="1"/>
            </w:tcBorders>
            <w:shd w:fill="F2F4F7" w:val="clear"/>
            <w:tcMar>
              <w:top w:type="dxa" w:w="80"/>
              <w:left w:type="dxa" w:w="180"/>
              <w:bottom w:type="dxa" w:w="80"/>
              <w:right w:type="dxa" w:w="180"/>
            </w:tcMar>
          </w:tcPr>
          <w:p>
            <w:r>
              <w:rPr>
                <w:rFonts w:ascii="Arial" w:cs="Arial" w:eastAsia="Arial" w:hAnsi="Arial"/>
                <w:color w:val="1A1A2E"/>
                <w:sz w:val="22"/>
                <w:szCs w:val="22"/>
              </w:rPr>
              <w:t xml:space="preserve">~USD 100,000</w:t>
            </w:r>
          </w:p>
        </w:tc>
        <w:tc>
          <w:tcPr>
            <w:tcW w:type="dxa" w:w="3120"/>
            <w:tcBorders>
              <w:top w:val="single" w:color="D0D7E3" w:sz="1"/>
              <w:left w:val="single" w:color="D0D7E3" w:sz="1"/>
              <w:bottom w:val="single" w:color="D0D7E3" w:sz="1"/>
              <w:right w:val="single" w:color="D0D7E3" w:sz="1"/>
            </w:tcBorders>
            <w:shd w:fill="F2F4F7" w:val="clear"/>
            <w:tcMar>
              <w:top w:type="dxa" w:w="80"/>
              <w:left w:type="dxa" w:w="180"/>
              <w:bottom w:type="dxa" w:w="80"/>
              <w:right w:type="dxa" w:w="180"/>
            </w:tcMar>
          </w:tcPr>
          <w:p>
            <w:r>
              <w:rPr>
                <w:rFonts w:ascii="Arial" w:cs="Arial" w:eastAsia="Arial" w:hAnsi="Arial"/>
                <w:color w:val="1A1A2E"/>
                <w:sz w:val="22"/>
                <w:szCs w:val="22"/>
              </w:rPr>
              <w:t xml:space="preserve">Initial circulating supply</w:t>
            </w:r>
          </w:p>
        </w:tc>
      </w:tr>
      <w:tr>
        <w:tc>
          <w:tcPr>
            <w:tcW w:type="dxa" w:w="3120"/>
            <w:tcBorders>
              <w:top w:val="single" w:color="D0D7E3" w:sz="1"/>
              <w:left w:val="single" w:color="D0D7E3" w:sz="1"/>
              <w:bottom w:val="single" w:color="D0D7E3" w:sz="1"/>
              <w:right w:val="single" w:color="D0D7E3" w:sz="1"/>
            </w:tcBorders>
            <w:shd w:fill="FFFFFF" w:val="clear"/>
            <w:tcMar>
              <w:top w:type="dxa" w:w="80"/>
              <w:left w:type="dxa" w:w="180"/>
              <w:bottom w:type="dxa" w:w="80"/>
              <w:right w:type="dxa" w:w="180"/>
            </w:tcMar>
          </w:tcPr>
          <w:p>
            <w:r>
              <w:rPr>
                <w:rFonts w:ascii="Arial" w:cs="Arial" w:eastAsia="Arial" w:hAnsi="Arial"/>
                <w:color w:val="1A1A2E"/>
                <w:sz w:val="22"/>
                <w:szCs w:val="22"/>
              </w:rPr>
              <w:t xml:space="preserve">FDV (Fully Diluted)</w:t>
            </w:r>
          </w:p>
        </w:tc>
        <w:tc>
          <w:tcPr>
            <w:tcW w:type="dxa" w:w="3120"/>
            <w:tcBorders>
              <w:top w:val="single" w:color="D0D7E3" w:sz="1"/>
              <w:left w:val="single" w:color="D0D7E3" w:sz="1"/>
              <w:bottom w:val="single" w:color="D0D7E3" w:sz="1"/>
              <w:right w:val="single" w:color="D0D7E3" w:sz="1"/>
            </w:tcBorders>
            <w:shd w:fill="FFFFFF" w:val="clear"/>
            <w:tcMar>
              <w:top w:type="dxa" w:w="80"/>
              <w:left w:type="dxa" w:w="180"/>
              <w:bottom w:type="dxa" w:w="80"/>
              <w:right w:type="dxa" w:w="180"/>
            </w:tcMar>
          </w:tcPr>
          <w:p>
            <w:r>
              <w:rPr>
                <w:rFonts w:ascii="Arial" w:cs="Arial" w:eastAsia="Arial" w:hAnsi="Arial"/>
                <w:color w:val="1A1A2E"/>
                <w:sz w:val="22"/>
                <w:szCs w:val="22"/>
              </w:rPr>
              <w:t xml:space="preserve">~USD 100,000</w:t>
            </w:r>
          </w:p>
        </w:tc>
        <w:tc>
          <w:tcPr>
            <w:tcW w:type="dxa" w:w="3120"/>
            <w:tcBorders>
              <w:top w:val="single" w:color="D0D7E3" w:sz="1"/>
              <w:left w:val="single" w:color="D0D7E3" w:sz="1"/>
              <w:bottom w:val="single" w:color="D0D7E3" w:sz="1"/>
              <w:right w:val="single" w:color="D0D7E3" w:sz="1"/>
            </w:tcBorders>
            <w:shd w:fill="FFFFFF" w:val="clear"/>
            <w:tcMar>
              <w:top w:type="dxa" w:w="80"/>
              <w:left w:type="dxa" w:w="180"/>
              <w:bottom w:type="dxa" w:w="80"/>
              <w:right w:type="dxa" w:w="180"/>
            </w:tcMar>
          </w:tcPr>
          <w:p>
            <w:r>
              <w:rPr>
                <w:rFonts w:ascii="Arial" w:cs="Arial" w:eastAsia="Arial" w:hAnsi="Arial"/>
                <w:color w:val="1A1A2E"/>
                <w:sz w:val="22"/>
                <w:szCs w:val="22"/>
              </w:rPr>
              <w:t xml:space="preserve">Total supply</w:t>
            </w:r>
          </w:p>
        </w:tc>
      </w:tr>
    </w:tbl>
    <w:p>
      <w:pPr>
        <w:spacing w:before="0" w:after="0"/>
      </w:pPr>
      <w:r>
        <w:rPr>
          <w:sz w:val="44"/>
          <w:szCs w:val="44"/>
        </w:rPr>
        <w:t xml:space="preserve"/>
      </w:r>
    </w:p>
    <w:p>
      <w:pPr>
        <w:pStyle w:val="Heading2"/>
        <w:spacing w:before="300" w:after="160"/>
      </w:pPr>
      <w:r>
        <w:rPr>
          <w:rFonts w:ascii="Arial" w:cs="Arial" w:eastAsia="Arial" w:hAnsi="Arial"/>
          <w:b/>
          <w:bCs/>
          <w:color w:val="2E75B6"/>
          <w:sz w:val="28"/>
          <w:szCs w:val="28"/>
        </w:rPr>
        <w:t xml:space="preserve">4.3 Vesting Schedule</w:t>
      </w:r>
    </w:p>
    <w:p>
      <w:pPr>
        <w:spacing w:before="80" w:after="80"/>
        <w:jc w:val="both"/>
      </w:pPr>
      <w:r>
        <w:rPr>
          <w:rFonts w:ascii="Arial" w:cs="Arial" w:eastAsia="Arial" w:hAnsi="Arial"/>
          <w:b w:val="false"/>
          <w:bCs w:val="false"/>
          <w:i w:val="false"/>
          <w:iCs w:val="false"/>
          <w:color w:val="1A1A2E"/>
          <w:sz w:val="22"/>
          <w:szCs w:val="22"/>
        </w:rPr>
        <w:t xml:space="preserve">Vesting ensures no participant can dump the market in the short term. Founding team tokens carry the strictest restrictions to build trust with the investor community.</w:t>
      </w:r>
    </w:p>
    <w:p>
      <w:pPr>
        <w:spacing w:before="0"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560"/>
        <w:gridCol w:w="1560"/>
        <w:gridCol w:w="3440"/>
      </w:tblGrid>
      <w:tr>
        <w:tc>
          <w:tcPr>
            <w:tcW w:type="dxa" w:w="2800"/>
            <w:tcBorders>
              <w:top w:val="single" w:color="D0D7E3" w:sz="1"/>
              <w:left w:val="single" w:color="D0D7E3" w:sz="1"/>
              <w:bottom w:val="single" w:color="D0D7E3" w:sz="1"/>
              <w:right w:val="single" w:color="D0D7E3" w:sz="1"/>
            </w:tcBorders>
            <w:shd w:fill="1A3C6E" w:val="clear"/>
            <w:tcMar>
              <w:top w:type="dxa" w:w="100"/>
              <w:left w:type="dxa" w:w="140"/>
              <w:bottom w:type="dxa" w:w="100"/>
              <w:right w:type="dxa" w:w="140"/>
            </w:tcMar>
          </w:tcPr>
          <w:p>
            <w:r>
              <w:rPr>
                <w:rFonts w:ascii="Arial" w:cs="Arial" w:eastAsia="Arial" w:hAnsi="Arial"/>
                <w:b/>
                <w:bCs/>
                <w:color w:val="FFFFFF"/>
                <w:sz w:val="20"/>
                <w:szCs w:val="20"/>
              </w:rPr>
              <w:t xml:space="preserve">Category</w:t>
            </w:r>
          </w:p>
        </w:tc>
        <w:tc>
          <w:tcPr>
            <w:tcW w:type="dxa" w:w="1560"/>
            <w:tcBorders>
              <w:top w:val="single" w:color="D0D7E3" w:sz="1"/>
              <w:left w:val="single" w:color="D0D7E3" w:sz="1"/>
              <w:bottom w:val="single" w:color="D0D7E3" w:sz="1"/>
              <w:right w:val="single" w:color="D0D7E3" w:sz="1"/>
            </w:tcBorders>
            <w:shd w:fill="1A3C6E" w:val="clear"/>
            <w:tcMar>
              <w:top w:type="dxa" w:w="100"/>
              <w:left w:type="dxa" w:w="140"/>
              <w:bottom w:type="dxa" w:w="100"/>
              <w:right w:type="dxa" w:w="140"/>
            </w:tcMar>
          </w:tcPr>
          <w:p>
            <w:r>
              <w:rPr>
                <w:rFonts w:ascii="Arial" w:cs="Arial" w:eastAsia="Arial" w:hAnsi="Arial"/>
                <w:b/>
                <w:bCs/>
                <w:color w:val="FFFFFF"/>
                <w:sz w:val="20"/>
                <w:szCs w:val="20"/>
              </w:rPr>
              <w:t xml:space="preserve">Cliff</w:t>
            </w:r>
          </w:p>
        </w:tc>
        <w:tc>
          <w:tcPr>
            <w:tcW w:type="dxa" w:w="1560"/>
            <w:tcBorders>
              <w:top w:val="single" w:color="D0D7E3" w:sz="1"/>
              <w:left w:val="single" w:color="D0D7E3" w:sz="1"/>
              <w:bottom w:val="single" w:color="D0D7E3" w:sz="1"/>
              <w:right w:val="single" w:color="D0D7E3" w:sz="1"/>
            </w:tcBorders>
            <w:shd w:fill="1A3C6E" w:val="clear"/>
            <w:tcMar>
              <w:top w:type="dxa" w:w="100"/>
              <w:left w:type="dxa" w:w="140"/>
              <w:bottom w:type="dxa" w:w="100"/>
              <w:right w:type="dxa" w:w="140"/>
            </w:tcMar>
          </w:tcPr>
          <w:p>
            <w:r>
              <w:rPr>
                <w:rFonts w:ascii="Arial" w:cs="Arial" w:eastAsia="Arial" w:hAnsi="Arial"/>
                <w:b/>
                <w:bCs/>
                <w:color w:val="FFFFFF"/>
                <w:sz w:val="20"/>
                <w:szCs w:val="20"/>
              </w:rPr>
              <w:t xml:space="preserve">Vesting</w:t>
            </w:r>
          </w:p>
        </w:tc>
        <w:tc>
          <w:tcPr>
            <w:tcW w:type="dxa" w:w="3440"/>
            <w:tcBorders>
              <w:top w:val="single" w:color="D0D7E3" w:sz="1"/>
              <w:left w:val="single" w:color="D0D7E3" w:sz="1"/>
              <w:bottom w:val="single" w:color="D0D7E3" w:sz="1"/>
              <w:right w:val="single" w:color="D0D7E3" w:sz="1"/>
            </w:tcBorders>
            <w:shd w:fill="1A3C6E" w:val="clear"/>
            <w:tcMar>
              <w:top w:type="dxa" w:w="100"/>
              <w:left w:type="dxa" w:w="140"/>
              <w:bottom w:type="dxa" w:w="100"/>
              <w:right w:type="dxa" w:w="140"/>
            </w:tcMar>
          </w:tcPr>
          <w:p>
            <w:r>
              <w:rPr>
                <w:rFonts w:ascii="Arial" w:cs="Arial" w:eastAsia="Arial" w:hAnsi="Arial"/>
                <w:b/>
                <w:bCs/>
                <w:color w:val="FFFFFF"/>
                <w:sz w:val="20"/>
                <w:szCs w:val="20"/>
              </w:rPr>
              <w:t xml:space="preserve">Release</w:t>
            </w:r>
          </w:p>
        </w:tc>
      </w:tr>
      <w:tr>
        <w:tc>
          <w:tcPr>
            <w:tcW w:type="dxa" w:w="280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Founder / Team</w:t>
            </w:r>
          </w:p>
        </w:tc>
        <w:tc>
          <w:tcPr>
            <w:tcW w:type="dxa" w:w="156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6 months</w:t>
            </w:r>
          </w:p>
        </w:tc>
        <w:tc>
          <w:tcPr>
            <w:tcW w:type="dxa" w:w="156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24 months linear</w:t>
            </w:r>
          </w:p>
        </w:tc>
        <w:tc>
          <w:tcPr>
            <w:tcW w:type="dxa" w:w="344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~6.25M tokens/month from month 6</w:t>
            </w:r>
          </w:p>
        </w:tc>
      </w:tr>
      <w:tr>
        <w:tc>
          <w:tcPr>
            <w:tcW w:type="dxa" w:w="2800"/>
            <w:tcBorders>
              <w:top w:val="single" w:color="D0D7E3" w:sz="1"/>
              <w:left w:val="single" w:color="D0D7E3" w:sz="1"/>
              <w:bottom w:val="single" w:color="D0D7E3" w:sz="1"/>
              <w:right w:val="single" w:color="D0D7E3" w:sz="1"/>
            </w:tcBorders>
            <w:shd w:fill="F2F4F7" w:val="clear"/>
            <w:tcMar>
              <w:top w:type="dxa" w:w="80"/>
              <w:left w:type="dxa" w:w="140"/>
              <w:bottom w:type="dxa" w:w="80"/>
              <w:right w:type="dxa" w:w="140"/>
            </w:tcMar>
          </w:tcPr>
          <w:p>
            <w:r>
              <w:rPr>
                <w:rFonts w:ascii="Arial" w:cs="Arial" w:eastAsia="Arial" w:hAnsi="Arial"/>
                <w:color w:val="1A1A2E"/>
                <w:sz w:val="20"/>
                <w:szCs w:val="20"/>
              </w:rPr>
              <w:t xml:space="preserve">Private Presale</w:t>
            </w:r>
          </w:p>
        </w:tc>
        <w:tc>
          <w:tcPr>
            <w:tcW w:type="dxa" w:w="1560"/>
            <w:tcBorders>
              <w:top w:val="single" w:color="D0D7E3" w:sz="1"/>
              <w:left w:val="single" w:color="D0D7E3" w:sz="1"/>
              <w:bottom w:val="single" w:color="D0D7E3" w:sz="1"/>
              <w:right w:val="single" w:color="D0D7E3" w:sz="1"/>
            </w:tcBorders>
            <w:shd w:fill="F2F4F7" w:val="clear"/>
            <w:tcMar>
              <w:top w:type="dxa" w:w="80"/>
              <w:left w:type="dxa" w:w="140"/>
              <w:bottom w:type="dxa" w:w="80"/>
              <w:right w:type="dxa" w:w="140"/>
            </w:tcMar>
          </w:tcPr>
          <w:p>
            <w:r>
              <w:rPr>
                <w:rFonts w:ascii="Arial" w:cs="Arial" w:eastAsia="Arial" w:hAnsi="Arial"/>
                <w:color w:val="1A1A2E"/>
                <w:sz w:val="20"/>
                <w:szCs w:val="20"/>
              </w:rPr>
              <w:t xml:space="preserve">1 month</w:t>
            </w:r>
          </w:p>
        </w:tc>
        <w:tc>
          <w:tcPr>
            <w:tcW w:type="dxa" w:w="1560"/>
            <w:tcBorders>
              <w:top w:val="single" w:color="D0D7E3" w:sz="1"/>
              <w:left w:val="single" w:color="D0D7E3" w:sz="1"/>
              <w:bottom w:val="single" w:color="D0D7E3" w:sz="1"/>
              <w:right w:val="single" w:color="D0D7E3" w:sz="1"/>
            </w:tcBorders>
            <w:shd w:fill="F2F4F7" w:val="clear"/>
            <w:tcMar>
              <w:top w:type="dxa" w:w="80"/>
              <w:left w:type="dxa" w:w="140"/>
              <w:bottom w:type="dxa" w:w="80"/>
              <w:right w:type="dxa" w:w="140"/>
            </w:tcMar>
          </w:tcPr>
          <w:p>
            <w:r>
              <w:rPr>
                <w:rFonts w:ascii="Arial" w:cs="Arial" w:eastAsia="Arial" w:hAnsi="Arial"/>
                <w:color w:val="1A1A2E"/>
                <w:sz w:val="20"/>
                <w:szCs w:val="20"/>
              </w:rPr>
              <w:t xml:space="preserve">6 months linear</w:t>
            </w:r>
          </w:p>
        </w:tc>
        <w:tc>
          <w:tcPr>
            <w:tcW w:type="dxa" w:w="3440"/>
            <w:tcBorders>
              <w:top w:val="single" w:color="D0D7E3" w:sz="1"/>
              <w:left w:val="single" w:color="D0D7E3" w:sz="1"/>
              <w:bottom w:val="single" w:color="D0D7E3" w:sz="1"/>
              <w:right w:val="single" w:color="D0D7E3" w:sz="1"/>
            </w:tcBorders>
            <w:shd w:fill="F2F4F7" w:val="clear"/>
            <w:tcMar>
              <w:top w:type="dxa" w:w="80"/>
              <w:left w:type="dxa" w:w="140"/>
              <w:bottom w:type="dxa" w:w="80"/>
              <w:right w:type="dxa" w:w="140"/>
            </w:tcMar>
          </w:tcPr>
          <w:p>
            <w:r>
              <w:rPr>
                <w:rFonts w:ascii="Arial" w:cs="Arial" w:eastAsia="Arial" w:hAnsi="Arial"/>
                <w:color w:val="1A1A2E"/>
                <w:sz w:val="20"/>
                <w:szCs w:val="20"/>
              </w:rPr>
              <w:t xml:space="preserve">~12.5M tokens/month from month 1</w:t>
            </w:r>
          </w:p>
        </w:tc>
      </w:tr>
      <w:tr>
        <w:tc>
          <w:tcPr>
            <w:tcW w:type="dxa" w:w="280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Public IDO</w:t>
            </w:r>
          </w:p>
        </w:tc>
        <w:tc>
          <w:tcPr>
            <w:tcW w:type="dxa" w:w="156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None</w:t>
            </w:r>
          </w:p>
        </w:tc>
        <w:tc>
          <w:tcPr>
            <w:tcW w:type="dxa" w:w="156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3 months linear</w:t>
            </w:r>
          </w:p>
        </w:tc>
        <w:tc>
          <w:tcPr>
            <w:tcW w:type="dxa" w:w="344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~25M tokens/month from listing</w:t>
            </w:r>
          </w:p>
        </w:tc>
      </w:tr>
      <w:tr>
        <w:tc>
          <w:tcPr>
            <w:tcW w:type="dxa" w:w="2800"/>
            <w:tcBorders>
              <w:top w:val="single" w:color="D0D7E3" w:sz="1"/>
              <w:left w:val="single" w:color="D0D7E3" w:sz="1"/>
              <w:bottom w:val="single" w:color="D0D7E3" w:sz="1"/>
              <w:right w:val="single" w:color="D0D7E3" w:sz="1"/>
            </w:tcBorders>
            <w:shd w:fill="F2F4F7" w:val="clear"/>
            <w:tcMar>
              <w:top w:type="dxa" w:w="80"/>
              <w:left w:type="dxa" w:w="140"/>
              <w:bottom w:type="dxa" w:w="80"/>
              <w:right w:type="dxa" w:w="140"/>
            </w:tcMar>
          </w:tcPr>
          <w:p>
            <w:r>
              <w:rPr>
                <w:rFonts w:ascii="Arial" w:cs="Arial" w:eastAsia="Arial" w:hAnsi="Arial"/>
                <w:color w:val="1A1A2E"/>
                <w:sz w:val="20"/>
                <w:szCs w:val="20"/>
              </w:rPr>
              <w:t xml:space="preserve">DEX Liquidity</w:t>
            </w:r>
          </w:p>
        </w:tc>
        <w:tc>
          <w:tcPr>
            <w:tcW w:type="dxa" w:w="1560"/>
            <w:tcBorders>
              <w:top w:val="single" w:color="D0D7E3" w:sz="1"/>
              <w:left w:val="single" w:color="D0D7E3" w:sz="1"/>
              <w:bottom w:val="single" w:color="D0D7E3" w:sz="1"/>
              <w:right w:val="single" w:color="D0D7E3" w:sz="1"/>
            </w:tcBorders>
            <w:shd w:fill="F2F4F7" w:val="clear"/>
            <w:tcMar>
              <w:top w:type="dxa" w:w="80"/>
              <w:left w:type="dxa" w:w="140"/>
              <w:bottom w:type="dxa" w:w="80"/>
              <w:right w:type="dxa" w:w="140"/>
            </w:tcMar>
          </w:tcPr>
          <w:p>
            <w:r>
              <w:rPr>
                <w:rFonts w:ascii="Arial" w:cs="Arial" w:eastAsia="Arial" w:hAnsi="Arial"/>
                <w:color w:val="1A1A2E"/>
                <w:sz w:val="20"/>
                <w:szCs w:val="20"/>
              </w:rPr>
              <w:t xml:space="preserve">None</w:t>
            </w:r>
          </w:p>
        </w:tc>
        <w:tc>
          <w:tcPr>
            <w:tcW w:type="dxa" w:w="1560"/>
            <w:tcBorders>
              <w:top w:val="single" w:color="D0D7E3" w:sz="1"/>
              <w:left w:val="single" w:color="D0D7E3" w:sz="1"/>
              <w:bottom w:val="single" w:color="D0D7E3" w:sz="1"/>
              <w:right w:val="single" w:color="D0D7E3" w:sz="1"/>
            </w:tcBorders>
            <w:shd w:fill="F2F4F7" w:val="clear"/>
            <w:tcMar>
              <w:top w:type="dxa" w:w="80"/>
              <w:left w:type="dxa" w:w="140"/>
              <w:bottom w:type="dxa" w:w="80"/>
              <w:right w:type="dxa" w:w="140"/>
            </w:tcMar>
          </w:tcPr>
          <w:p>
            <w:r>
              <w:rPr>
                <w:rFonts w:ascii="Arial" w:cs="Arial" w:eastAsia="Arial" w:hAnsi="Arial"/>
                <w:color w:val="1A1A2E"/>
                <w:sz w:val="20"/>
                <w:szCs w:val="20"/>
              </w:rPr>
              <w:t xml:space="preserve">Immediate</w:t>
            </w:r>
          </w:p>
        </w:tc>
        <w:tc>
          <w:tcPr>
            <w:tcW w:type="dxa" w:w="3440"/>
            <w:tcBorders>
              <w:top w:val="single" w:color="D0D7E3" w:sz="1"/>
              <w:left w:val="single" w:color="D0D7E3" w:sz="1"/>
              <w:bottom w:val="single" w:color="D0D7E3" w:sz="1"/>
              <w:right w:val="single" w:color="D0D7E3" w:sz="1"/>
            </w:tcBorders>
            <w:shd w:fill="F2F4F7" w:val="clear"/>
            <w:tcMar>
              <w:top w:type="dxa" w:w="80"/>
              <w:left w:type="dxa" w:w="140"/>
              <w:bottom w:type="dxa" w:w="80"/>
              <w:right w:type="dxa" w:w="140"/>
            </w:tcMar>
          </w:tcPr>
          <w:p>
            <w:r>
              <w:rPr>
                <w:rFonts w:ascii="Arial" w:cs="Arial" w:eastAsia="Arial" w:hAnsi="Arial"/>
                <w:color w:val="1A1A2E"/>
                <w:sz w:val="20"/>
                <w:szCs w:val="20"/>
              </w:rPr>
              <w:t xml:space="preserve">Locked in pool (LP locked 12m)</w:t>
            </w:r>
          </w:p>
        </w:tc>
      </w:tr>
      <w:tr>
        <w:tc>
          <w:tcPr>
            <w:tcW w:type="dxa" w:w="280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RWA Real Estate</w:t>
            </w:r>
          </w:p>
        </w:tc>
        <w:tc>
          <w:tcPr>
            <w:tcW w:type="dxa" w:w="156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Per asset</w:t>
            </w:r>
          </w:p>
        </w:tc>
        <w:tc>
          <w:tcPr>
            <w:tcW w:type="dxa" w:w="156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Per asset</w:t>
            </w:r>
          </w:p>
        </w:tc>
        <w:tc>
          <w:tcPr>
            <w:tcW w:type="dxa" w:w="344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Released when each property is tokenized</w:t>
            </w:r>
          </w:p>
        </w:tc>
      </w:tr>
      <w:tr>
        <w:tc>
          <w:tcPr>
            <w:tcW w:type="dxa" w:w="2800"/>
            <w:tcBorders>
              <w:top w:val="single" w:color="D0D7E3" w:sz="1"/>
              <w:left w:val="single" w:color="D0D7E3" w:sz="1"/>
              <w:bottom w:val="single" w:color="D0D7E3" w:sz="1"/>
              <w:right w:val="single" w:color="D0D7E3" w:sz="1"/>
            </w:tcBorders>
            <w:shd w:fill="F2F4F7" w:val="clear"/>
            <w:tcMar>
              <w:top w:type="dxa" w:w="80"/>
              <w:left w:type="dxa" w:w="140"/>
              <w:bottom w:type="dxa" w:w="80"/>
              <w:right w:type="dxa" w:w="140"/>
            </w:tcMar>
          </w:tcPr>
          <w:p>
            <w:r>
              <w:rPr>
                <w:rFonts w:ascii="Arial" w:cs="Arial" w:eastAsia="Arial" w:hAnsi="Arial"/>
                <w:color w:val="1A1A2E"/>
                <w:sz w:val="20"/>
                <w:szCs w:val="20"/>
              </w:rPr>
              <w:t xml:space="preserve">Ecosystem</w:t>
            </w:r>
          </w:p>
        </w:tc>
        <w:tc>
          <w:tcPr>
            <w:tcW w:type="dxa" w:w="1560"/>
            <w:tcBorders>
              <w:top w:val="single" w:color="D0D7E3" w:sz="1"/>
              <w:left w:val="single" w:color="D0D7E3" w:sz="1"/>
              <w:bottom w:val="single" w:color="D0D7E3" w:sz="1"/>
              <w:right w:val="single" w:color="D0D7E3" w:sz="1"/>
            </w:tcBorders>
            <w:shd w:fill="F2F4F7" w:val="clear"/>
            <w:tcMar>
              <w:top w:type="dxa" w:w="80"/>
              <w:left w:type="dxa" w:w="140"/>
              <w:bottom w:type="dxa" w:w="80"/>
              <w:right w:type="dxa" w:w="140"/>
            </w:tcMar>
          </w:tcPr>
          <w:p>
            <w:r>
              <w:rPr>
                <w:rFonts w:ascii="Arial" w:cs="Arial" w:eastAsia="Arial" w:hAnsi="Arial"/>
                <w:color w:val="1A1A2E"/>
                <w:sz w:val="20"/>
                <w:szCs w:val="20"/>
              </w:rPr>
              <w:t xml:space="preserve">None</w:t>
            </w:r>
          </w:p>
        </w:tc>
        <w:tc>
          <w:tcPr>
            <w:tcW w:type="dxa" w:w="1560"/>
            <w:tcBorders>
              <w:top w:val="single" w:color="D0D7E3" w:sz="1"/>
              <w:left w:val="single" w:color="D0D7E3" w:sz="1"/>
              <w:bottom w:val="single" w:color="D0D7E3" w:sz="1"/>
              <w:right w:val="single" w:color="D0D7E3" w:sz="1"/>
            </w:tcBorders>
            <w:shd w:fill="F2F4F7" w:val="clear"/>
            <w:tcMar>
              <w:top w:type="dxa" w:w="80"/>
              <w:left w:type="dxa" w:w="140"/>
              <w:bottom w:type="dxa" w:w="80"/>
              <w:right w:type="dxa" w:w="140"/>
            </w:tcMar>
          </w:tcPr>
          <w:p>
            <w:r>
              <w:rPr>
                <w:rFonts w:ascii="Arial" w:cs="Arial" w:eastAsia="Arial" w:hAnsi="Arial"/>
                <w:color w:val="1A1A2E"/>
                <w:sz w:val="20"/>
                <w:szCs w:val="20"/>
              </w:rPr>
              <w:t xml:space="preserve">36 months linear</w:t>
            </w:r>
          </w:p>
        </w:tc>
        <w:tc>
          <w:tcPr>
            <w:tcW w:type="dxa" w:w="3440"/>
            <w:tcBorders>
              <w:top w:val="single" w:color="D0D7E3" w:sz="1"/>
              <w:left w:val="single" w:color="D0D7E3" w:sz="1"/>
              <w:bottom w:val="single" w:color="D0D7E3" w:sz="1"/>
              <w:right w:val="single" w:color="D0D7E3" w:sz="1"/>
            </w:tcBorders>
            <w:shd w:fill="F2F4F7" w:val="clear"/>
            <w:tcMar>
              <w:top w:type="dxa" w:w="80"/>
              <w:left w:type="dxa" w:w="140"/>
              <w:bottom w:type="dxa" w:w="80"/>
              <w:right w:type="dxa" w:w="140"/>
            </w:tcMar>
          </w:tcPr>
          <w:p>
            <w:r>
              <w:rPr>
                <w:rFonts w:ascii="Arial" w:cs="Arial" w:eastAsia="Arial" w:hAnsi="Arial"/>
                <w:color w:val="1A1A2E"/>
                <w:sz w:val="20"/>
                <w:szCs w:val="20"/>
              </w:rPr>
              <w:t xml:space="preserve">Based on actual platform usage</w:t>
            </w:r>
          </w:p>
        </w:tc>
      </w:tr>
    </w:tbl>
    <w:p>
      <w:pPr>
        <w:spacing w:before="0" w:after="0"/>
      </w:pPr>
      <w:r>
        <w:rPr>
          <w:sz w:val="44"/>
          <w:szCs w:val="44"/>
        </w:rPr>
        <w:t xml:space="preserve"/>
      </w:r>
    </w:p>
    <w:p>
      <w:r>
        <w:br w:type="page"/>
      </w:r>
    </w:p>
    <w:p>
      <w:pPr>
        <w:pStyle w:val="Heading1"/>
        <w:spacing w:before="400" w:after="200"/>
      </w:pPr>
      <w:r>
        <w:rPr>
          <w:rFonts w:ascii="Arial" w:cs="Arial" w:eastAsia="Arial" w:hAnsi="Arial"/>
          <w:b/>
          <w:bCs/>
          <w:color w:val="1A3C6E"/>
          <w:sz w:val="36"/>
          <w:szCs w:val="36"/>
        </w:rPr>
        <w:t xml:space="preserve">5. Business Model and Revenue Streams</w:t>
      </w:r>
    </w:p>
    <w:p>
      <w:pPr>
        <w:pBdr>
          <w:bottom w:val="single" w:color="2E75B6" w:sz="4" w:space="1"/>
        </w:pBdr>
        <w:spacing w:before="200" w:after="200"/>
      </w:pPr>
      <w:r>
        <w:t xml:space="preserve"/>
      </w:r>
    </w:p>
    <w:p>
      <w:pPr>
        <w:spacing w:before="80" w:after="80"/>
        <w:jc w:val="both"/>
      </w:pPr>
      <w:r>
        <w:rPr>
          <w:rFonts w:ascii="Arial" w:cs="Arial" w:eastAsia="Arial" w:hAnsi="Arial"/>
          <w:b w:val="false"/>
          <w:bCs w:val="false"/>
          <w:i w:val="false"/>
          <w:iCs w:val="false"/>
          <w:color w:val="1A1A2E"/>
          <w:sz w:val="22"/>
          <w:szCs w:val="22"/>
        </w:rPr>
        <w:t xml:space="preserve">Systemex generates revenue from multiple sources, reducing dependence on a single vertical and adding resilience to the model. All flows contribute to the ecosystem treasury and sustain token value.</w:t>
      </w:r>
    </w:p>
    <w:p>
      <w:pPr>
        <w:spacing w:before="0" w:after="0"/>
      </w:pPr>
      <w:r>
        <w:rPr>
          <w:sz w:val="44"/>
          <w:szCs w:val="4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0D7E3" w:sz="1"/>
              <w:left w:val="single" w:color="D0D7E3" w:sz="1"/>
              <w:bottom w:val="single" w:color="D0D7E3" w:sz="1"/>
              <w:right w:val="single" w:color="D0D7E3" w:sz="1"/>
            </w:tcBorders>
            <w:shd w:fill="1A3C6E" w:val="clear"/>
            <w:tcMar>
              <w:top w:type="dxa" w:w="100"/>
              <w:left w:type="dxa" w:w="180"/>
              <w:bottom w:type="dxa" w:w="100"/>
              <w:right w:type="dxa" w:w="180"/>
            </w:tcMar>
          </w:tcPr>
          <w:p>
            <w:r>
              <w:rPr>
                <w:rFonts w:ascii="Arial" w:cs="Arial" w:eastAsia="Arial" w:hAnsi="Arial"/>
                <w:b/>
                <w:bCs/>
                <w:color w:val="FFFFFF"/>
                <w:sz w:val="22"/>
                <w:szCs w:val="22"/>
              </w:rPr>
              <w:t xml:space="preserve">Revenue Source</w:t>
            </w:r>
          </w:p>
        </w:tc>
        <w:tc>
          <w:tcPr>
            <w:tcW w:type="dxa" w:w="4680"/>
            <w:tcBorders>
              <w:top w:val="single" w:color="D0D7E3" w:sz="1"/>
              <w:left w:val="single" w:color="D0D7E3" w:sz="1"/>
              <w:bottom w:val="single" w:color="D0D7E3" w:sz="1"/>
              <w:right w:val="single" w:color="D0D7E3" w:sz="1"/>
            </w:tcBorders>
            <w:shd w:fill="1A3C6E" w:val="clear"/>
            <w:tcMar>
              <w:top w:type="dxa" w:w="100"/>
              <w:left w:type="dxa" w:w="180"/>
              <w:bottom w:type="dxa" w:w="100"/>
              <w:right w:type="dxa" w:w="180"/>
            </w:tcMar>
          </w:tcPr>
          <w:p>
            <w:r>
              <w:rPr>
                <w:rFonts w:ascii="Arial" w:cs="Arial" w:eastAsia="Arial" w:hAnsi="Arial"/>
                <w:b/>
                <w:bCs/>
                <w:color w:val="FFFFFF"/>
                <w:sz w:val="22"/>
                <w:szCs w:val="22"/>
              </w:rPr>
              <w:t xml:space="preserve">Details and Estimate</w:t>
            </w:r>
          </w:p>
        </w:tc>
      </w:tr>
      <w:tr>
        <w:tc>
          <w:tcPr>
            <w:tcW w:type="dxa" w:w="4680"/>
            <w:tcBorders>
              <w:top w:val="single" w:color="D0D7E3" w:sz="1"/>
              <w:left w:val="single" w:color="D0D7E3" w:sz="1"/>
              <w:bottom w:val="single" w:color="D0D7E3" w:sz="1"/>
              <w:right w:val="single" w:color="D0D7E3" w:sz="1"/>
            </w:tcBorders>
            <w:shd w:fill="FFFFFF" w:val="clear"/>
            <w:tcMar>
              <w:top w:type="dxa" w:w="80"/>
              <w:left w:type="dxa" w:w="180"/>
              <w:bottom w:type="dxa" w:w="80"/>
              <w:right w:type="dxa" w:w="180"/>
            </w:tcMar>
          </w:tcPr>
          <w:p>
            <w:r>
              <w:rPr>
                <w:rFonts w:ascii="Arial" w:cs="Arial" w:eastAsia="Arial" w:hAnsi="Arial"/>
                <w:color w:val="1A1A2E"/>
                <w:sz w:val="22"/>
                <w:szCs w:val="22"/>
              </w:rPr>
              <w:t xml:space="preserve">RWA tokenization fee</w:t>
            </w:r>
          </w:p>
        </w:tc>
        <w:tc>
          <w:tcPr>
            <w:tcW w:type="dxa" w:w="4680"/>
            <w:tcBorders>
              <w:top w:val="single" w:color="D0D7E3" w:sz="1"/>
              <w:left w:val="single" w:color="D0D7E3" w:sz="1"/>
              <w:bottom w:val="single" w:color="D0D7E3" w:sz="1"/>
              <w:right w:val="single" w:color="D0D7E3" w:sz="1"/>
            </w:tcBorders>
            <w:shd w:fill="FFFFFF" w:val="clear"/>
            <w:tcMar>
              <w:top w:type="dxa" w:w="80"/>
              <w:left w:type="dxa" w:w="180"/>
              <w:bottom w:type="dxa" w:w="80"/>
              <w:right w:type="dxa" w:w="180"/>
            </w:tcMar>
          </w:tcPr>
          <w:p>
            <w:r>
              <w:rPr>
                <w:rFonts w:ascii="Arial" w:cs="Arial" w:eastAsia="Arial" w:hAnsi="Arial"/>
                <w:color w:val="1A1A2E"/>
                <w:sz w:val="22"/>
                <w:szCs w:val="22"/>
              </w:rPr>
              <w:t xml:space="preserve">2-5% of asset value at time of tokenization</w:t>
            </w:r>
          </w:p>
        </w:tc>
      </w:tr>
      <w:tr>
        <w:tc>
          <w:tcPr>
            <w:tcW w:type="dxa" w:w="4680"/>
            <w:tcBorders>
              <w:top w:val="single" w:color="D0D7E3" w:sz="1"/>
              <w:left w:val="single" w:color="D0D7E3" w:sz="1"/>
              <w:bottom w:val="single" w:color="D0D7E3" w:sz="1"/>
              <w:right w:val="single" w:color="D0D7E3" w:sz="1"/>
            </w:tcBorders>
            <w:shd w:fill="F2F4F7" w:val="clear"/>
            <w:tcMar>
              <w:top w:type="dxa" w:w="80"/>
              <w:left w:type="dxa" w:w="180"/>
              <w:bottom w:type="dxa" w:w="80"/>
              <w:right w:type="dxa" w:w="180"/>
            </w:tcMar>
          </w:tcPr>
          <w:p>
            <w:r>
              <w:rPr>
                <w:rFonts w:ascii="Arial" w:cs="Arial" w:eastAsia="Arial" w:hAnsi="Arial"/>
                <w:color w:val="1A1A2E"/>
                <w:sz w:val="22"/>
                <w:szCs w:val="22"/>
              </w:rPr>
              <w:t xml:space="preserve">Annual management fee</w:t>
            </w:r>
          </w:p>
        </w:tc>
        <w:tc>
          <w:tcPr>
            <w:tcW w:type="dxa" w:w="4680"/>
            <w:tcBorders>
              <w:top w:val="single" w:color="D0D7E3" w:sz="1"/>
              <w:left w:val="single" w:color="D0D7E3" w:sz="1"/>
              <w:bottom w:val="single" w:color="D0D7E3" w:sz="1"/>
              <w:right w:val="single" w:color="D0D7E3" w:sz="1"/>
            </w:tcBorders>
            <w:shd w:fill="F2F4F7" w:val="clear"/>
            <w:tcMar>
              <w:top w:type="dxa" w:w="80"/>
              <w:left w:type="dxa" w:w="180"/>
              <w:bottom w:type="dxa" w:w="80"/>
              <w:right w:type="dxa" w:w="180"/>
            </w:tcMar>
          </w:tcPr>
          <w:p>
            <w:r>
              <w:rPr>
                <w:rFonts w:ascii="Arial" w:cs="Arial" w:eastAsia="Arial" w:hAnsi="Arial"/>
                <w:color w:val="1A1A2E"/>
                <w:sz w:val="22"/>
                <w:szCs w:val="22"/>
              </w:rPr>
              <w:t xml:space="preserve">1-2% annually on assets under management</w:t>
            </w:r>
          </w:p>
        </w:tc>
      </w:tr>
      <w:tr>
        <w:tc>
          <w:tcPr>
            <w:tcW w:type="dxa" w:w="4680"/>
            <w:tcBorders>
              <w:top w:val="single" w:color="D0D7E3" w:sz="1"/>
              <w:left w:val="single" w:color="D0D7E3" w:sz="1"/>
              <w:bottom w:val="single" w:color="D0D7E3" w:sz="1"/>
              <w:right w:val="single" w:color="D0D7E3" w:sz="1"/>
            </w:tcBorders>
            <w:shd w:fill="FFFFFF" w:val="clear"/>
            <w:tcMar>
              <w:top w:type="dxa" w:w="80"/>
              <w:left w:type="dxa" w:w="180"/>
              <w:bottom w:type="dxa" w:w="80"/>
              <w:right w:type="dxa" w:w="180"/>
            </w:tcMar>
          </w:tcPr>
          <w:p>
            <w:r>
              <w:rPr>
                <w:rFonts w:ascii="Arial" w:cs="Arial" w:eastAsia="Arial" w:hAnsi="Arial"/>
                <w:color w:val="1A1A2E"/>
                <w:sz w:val="22"/>
                <w:szCs w:val="22"/>
              </w:rPr>
              <w:t xml:space="preserve">Educational platform commissions</w:t>
            </w:r>
          </w:p>
        </w:tc>
        <w:tc>
          <w:tcPr>
            <w:tcW w:type="dxa" w:w="4680"/>
            <w:tcBorders>
              <w:top w:val="single" w:color="D0D7E3" w:sz="1"/>
              <w:left w:val="single" w:color="D0D7E3" w:sz="1"/>
              <w:bottom w:val="single" w:color="D0D7E3" w:sz="1"/>
              <w:right w:val="single" w:color="D0D7E3" w:sz="1"/>
            </w:tcBorders>
            <w:shd w:fill="FFFFFF" w:val="clear"/>
            <w:tcMar>
              <w:top w:type="dxa" w:w="80"/>
              <w:left w:type="dxa" w:w="180"/>
              <w:bottom w:type="dxa" w:w="80"/>
              <w:right w:type="dxa" w:w="180"/>
            </w:tcMar>
          </w:tcPr>
          <w:p>
            <w:r>
              <w:rPr>
                <w:rFonts w:ascii="Arial" w:cs="Arial" w:eastAsia="Arial" w:hAnsi="Arial"/>
                <w:color w:val="1A1A2E"/>
                <w:sz w:val="22"/>
                <w:szCs w:val="22"/>
              </w:rPr>
              <w:t xml:space="preserve">10-15% on fiat course sales</w:t>
            </w:r>
          </w:p>
        </w:tc>
      </w:tr>
      <w:tr>
        <w:tc>
          <w:tcPr>
            <w:tcW w:type="dxa" w:w="4680"/>
            <w:tcBorders>
              <w:top w:val="single" w:color="D0D7E3" w:sz="1"/>
              <w:left w:val="single" w:color="D0D7E3" w:sz="1"/>
              <w:bottom w:val="single" w:color="D0D7E3" w:sz="1"/>
              <w:right w:val="single" w:color="D0D7E3" w:sz="1"/>
            </w:tcBorders>
            <w:shd w:fill="F2F4F7" w:val="clear"/>
            <w:tcMar>
              <w:top w:type="dxa" w:w="80"/>
              <w:left w:type="dxa" w:w="180"/>
              <w:bottom w:type="dxa" w:w="80"/>
              <w:right w:type="dxa" w:w="180"/>
            </w:tcMar>
          </w:tcPr>
          <w:p>
            <w:r>
              <w:rPr>
                <w:rFonts w:ascii="Arial" w:cs="Arial" w:eastAsia="Arial" w:hAnsi="Arial"/>
                <w:color w:val="1A1A2E"/>
                <w:sz w:val="22"/>
                <w:szCs w:val="22"/>
              </w:rPr>
              <w:t xml:space="preserve">E-commerce commissions</w:t>
            </w:r>
          </w:p>
        </w:tc>
        <w:tc>
          <w:tcPr>
            <w:tcW w:type="dxa" w:w="4680"/>
            <w:tcBorders>
              <w:top w:val="single" w:color="D0D7E3" w:sz="1"/>
              <w:left w:val="single" w:color="D0D7E3" w:sz="1"/>
              <w:bottom w:val="single" w:color="D0D7E3" w:sz="1"/>
              <w:right w:val="single" w:color="D0D7E3" w:sz="1"/>
            </w:tcBorders>
            <w:shd w:fill="F2F4F7" w:val="clear"/>
            <w:tcMar>
              <w:top w:type="dxa" w:w="80"/>
              <w:left w:type="dxa" w:w="180"/>
              <w:bottom w:type="dxa" w:w="80"/>
              <w:right w:type="dxa" w:w="180"/>
            </w:tcMar>
          </w:tcPr>
          <w:p>
            <w:r>
              <w:rPr>
                <w:rFonts w:ascii="Arial" w:cs="Arial" w:eastAsia="Arial" w:hAnsi="Arial"/>
                <w:color w:val="1A1A2E"/>
                <w:sz w:val="22"/>
                <w:szCs w:val="22"/>
              </w:rPr>
              <w:t xml:space="preserve">3-8% on store transactions</w:t>
            </w:r>
          </w:p>
        </w:tc>
      </w:tr>
      <w:tr>
        <w:tc>
          <w:tcPr>
            <w:tcW w:type="dxa" w:w="4680"/>
            <w:tcBorders>
              <w:top w:val="single" w:color="D0D7E3" w:sz="1"/>
              <w:left w:val="single" w:color="D0D7E3" w:sz="1"/>
              <w:bottom w:val="single" w:color="D0D7E3" w:sz="1"/>
              <w:right w:val="single" w:color="D0D7E3" w:sz="1"/>
            </w:tcBorders>
            <w:shd w:fill="FFFFFF" w:val="clear"/>
            <w:tcMar>
              <w:top w:type="dxa" w:w="80"/>
              <w:left w:type="dxa" w:w="180"/>
              <w:bottom w:type="dxa" w:w="80"/>
              <w:right w:type="dxa" w:w="180"/>
            </w:tcMar>
          </w:tcPr>
          <w:p>
            <w:r>
              <w:rPr>
                <w:rFonts w:ascii="Arial" w:cs="Arial" w:eastAsia="Arial" w:hAnsi="Arial"/>
                <w:color w:val="1A1A2E"/>
                <w:sz w:val="22"/>
                <w:szCs w:val="22"/>
              </w:rPr>
              <w:t xml:space="preserve">RWA presale spread</w:t>
            </w:r>
          </w:p>
        </w:tc>
        <w:tc>
          <w:tcPr>
            <w:tcW w:type="dxa" w:w="4680"/>
            <w:tcBorders>
              <w:top w:val="single" w:color="D0D7E3" w:sz="1"/>
              <w:left w:val="single" w:color="D0D7E3" w:sz="1"/>
              <w:bottom w:val="single" w:color="D0D7E3" w:sz="1"/>
              <w:right w:val="single" w:color="D0D7E3" w:sz="1"/>
            </w:tcBorders>
            <w:shd w:fill="FFFFFF" w:val="clear"/>
            <w:tcMar>
              <w:top w:type="dxa" w:w="80"/>
              <w:left w:type="dxa" w:w="180"/>
              <w:bottom w:type="dxa" w:w="80"/>
              <w:right w:type="dxa" w:w="180"/>
            </w:tcMar>
          </w:tcPr>
          <w:p>
            <w:r>
              <w:rPr>
                <w:rFonts w:ascii="Arial" w:cs="Arial" w:eastAsia="Arial" w:hAnsi="Arial"/>
                <w:color w:val="1A1A2E"/>
                <w:sz w:val="22"/>
                <w:szCs w:val="22"/>
              </w:rPr>
              <w:t xml:space="preserve">Margin between acquisition price and tokenization</w:t>
            </w:r>
          </w:p>
        </w:tc>
      </w:tr>
      <w:tr>
        <w:tc>
          <w:tcPr>
            <w:tcW w:type="dxa" w:w="4680"/>
            <w:tcBorders>
              <w:top w:val="single" w:color="D0D7E3" w:sz="1"/>
              <w:left w:val="single" w:color="D0D7E3" w:sz="1"/>
              <w:bottom w:val="single" w:color="D0D7E3" w:sz="1"/>
              <w:right w:val="single" w:color="D0D7E3" w:sz="1"/>
            </w:tcBorders>
            <w:shd w:fill="F2F4F7" w:val="clear"/>
            <w:tcMar>
              <w:top w:type="dxa" w:w="80"/>
              <w:left w:type="dxa" w:w="180"/>
              <w:bottom w:type="dxa" w:w="80"/>
              <w:right w:type="dxa" w:w="180"/>
            </w:tcMar>
          </w:tcPr>
          <w:p>
            <w:r>
              <w:rPr>
                <w:rFonts w:ascii="Arial" w:cs="Arial" w:eastAsia="Arial" w:hAnsi="Arial"/>
                <w:color w:val="1A1A2E"/>
                <w:sz w:val="22"/>
                <w:szCs w:val="22"/>
              </w:rPr>
              <w:t xml:space="preserve">Premium services for holders</w:t>
            </w:r>
          </w:p>
        </w:tc>
        <w:tc>
          <w:tcPr>
            <w:tcW w:type="dxa" w:w="4680"/>
            <w:tcBorders>
              <w:top w:val="single" w:color="D0D7E3" w:sz="1"/>
              <w:left w:val="single" w:color="D0D7E3" w:sz="1"/>
              <w:bottom w:val="single" w:color="D0D7E3" w:sz="1"/>
              <w:right w:val="single" w:color="D0D7E3" w:sz="1"/>
            </w:tcBorders>
            <w:shd w:fill="F2F4F7" w:val="clear"/>
            <w:tcMar>
              <w:top w:type="dxa" w:w="80"/>
              <w:left w:type="dxa" w:w="180"/>
              <w:bottom w:type="dxa" w:w="80"/>
              <w:right w:type="dxa" w:w="180"/>
            </w:tcMar>
          </w:tcPr>
          <w:p>
            <w:r>
              <w:rPr>
                <w:rFonts w:ascii="Arial" w:cs="Arial" w:eastAsia="Arial" w:hAnsi="Arial"/>
                <w:color w:val="1A1A2E"/>
                <w:sz w:val="22"/>
                <w:szCs w:val="22"/>
              </w:rPr>
              <w:t xml:space="preserve">Advisory, accelerated due diligence, VIP access</w:t>
            </w:r>
          </w:p>
        </w:tc>
      </w:tr>
    </w:tbl>
    <w:p>
      <w:pPr>
        <w:spacing w:before="0" w:after="0"/>
      </w:pPr>
      <w:r>
        <w:rPr>
          <w:sz w:val="44"/>
          <w:szCs w:val="44"/>
        </w:rPr>
        <w:t xml:space="preserve"/>
      </w:r>
    </w:p>
    <w:p>
      <w:pPr>
        <w:pStyle w:val="Heading2"/>
        <w:spacing w:before="300" w:after="160"/>
      </w:pPr>
      <w:r>
        <w:rPr>
          <w:rFonts w:ascii="Arial" w:cs="Arial" w:eastAsia="Arial" w:hAnsi="Arial"/>
          <w:b/>
          <w:bCs/>
          <w:color w:val="2E75B6"/>
          <w:sz w:val="28"/>
          <w:szCs w:val="28"/>
        </w:rPr>
        <w:t xml:space="preserve">5.1 Conservative Financial Projection (Year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0D7E3" w:sz="1"/>
              <w:left w:val="single" w:color="D0D7E3" w:sz="1"/>
              <w:bottom w:val="single" w:color="D0D7E3" w:sz="1"/>
              <w:right w:val="single" w:color="D0D7E3" w:sz="1"/>
            </w:tcBorders>
            <w:shd w:fill="1A3C6E" w:val="clear"/>
            <w:tcMar>
              <w:top w:type="dxa" w:w="100"/>
              <w:left w:type="dxa" w:w="180"/>
              <w:bottom w:type="dxa" w:w="100"/>
              <w:right w:type="dxa" w:w="180"/>
            </w:tcMar>
          </w:tcPr>
          <w:p>
            <w:r>
              <w:rPr>
                <w:rFonts w:ascii="Arial" w:cs="Arial" w:eastAsia="Arial" w:hAnsi="Arial"/>
                <w:b/>
                <w:bCs/>
                <w:color w:val="FFFFFF"/>
                <w:sz w:val="22"/>
                <w:szCs w:val="22"/>
              </w:rPr>
              <w:t xml:space="preserve">Concept</w:t>
            </w:r>
          </w:p>
        </w:tc>
        <w:tc>
          <w:tcPr>
            <w:tcW w:type="dxa" w:w="4680"/>
            <w:tcBorders>
              <w:top w:val="single" w:color="D0D7E3" w:sz="1"/>
              <w:left w:val="single" w:color="D0D7E3" w:sz="1"/>
              <w:bottom w:val="single" w:color="D0D7E3" w:sz="1"/>
              <w:right w:val="single" w:color="D0D7E3" w:sz="1"/>
            </w:tcBorders>
            <w:shd w:fill="1A3C6E" w:val="clear"/>
            <w:tcMar>
              <w:top w:type="dxa" w:w="100"/>
              <w:left w:type="dxa" w:w="180"/>
              <w:bottom w:type="dxa" w:w="100"/>
              <w:right w:type="dxa" w:w="180"/>
            </w:tcMar>
          </w:tcPr>
          <w:p>
            <w:r>
              <w:rPr>
                <w:rFonts w:ascii="Arial" w:cs="Arial" w:eastAsia="Arial" w:hAnsi="Arial"/>
                <w:b/>
                <w:bCs/>
                <w:color w:val="FFFFFF"/>
                <w:sz w:val="22"/>
                <w:szCs w:val="22"/>
              </w:rPr>
              <w:t xml:space="preserve">USD Estimate</w:t>
            </w:r>
          </w:p>
        </w:tc>
      </w:tr>
      <w:tr>
        <w:tc>
          <w:tcPr>
            <w:tcW w:type="dxa" w:w="4680"/>
            <w:tcBorders>
              <w:top w:val="single" w:color="D0D7E3" w:sz="1"/>
              <w:left w:val="single" w:color="D0D7E3" w:sz="1"/>
              <w:bottom w:val="single" w:color="D0D7E3" w:sz="1"/>
              <w:right w:val="single" w:color="D0D7E3" w:sz="1"/>
            </w:tcBorders>
            <w:shd w:fill="FFFFFF" w:val="clear"/>
            <w:tcMar>
              <w:top w:type="dxa" w:w="80"/>
              <w:left w:type="dxa" w:w="180"/>
              <w:bottom w:type="dxa" w:w="80"/>
              <w:right w:type="dxa" w:w="180"/>
            </w:tcMar>
          </w:tcPr>
          <w:p>
            <w:r>
              <w:rPr>
                <w:rFonts w:ascii="Arial" w:cs="Arial" w:eastAsia="Arial" w:hAnsi="Arial"/>
                <w:color w:val="1A1A2E"/>
                <w:sz w:val="22"/>
                <w:szCs w:val="22"/>
              </w:rPr>
              <w:t xml:space="preserve">Tokenized assets (3-5 properties)</w:t>
            </w:r>
          </w:p>
        </w:tc>
        <w:tc>
          <w:tcPr>
            <w:tcW w:type="dxa" w:w="4680"/>
            <w:tcBorders>
              <w:top w:val="single" w:color="D0D7E3" w:sz="1"/>
              <w:left w:val="single" w:color="D0D7E3" w:sz="1"/>
              <w:bottom w:val="single" w:color="D0D7E3" w:sz="1"/>
              <w:right w:val="single" w:color="D0D7E3" w:sz="1"/>
            </w:tcBorders>
            <w:shd w:fill="FFFFFF" w:val="clear"/>
            <w:tcMar>
              <w:top w:type="dxa" w:w="80"/>
              <w:left w:type="dxa" w:w="180"/>
              <w:bottom w:type="dxa" w:w="80"/>
              <w:right w:type="dxa" w:w="180"/>
            </w:tcMar>
          </w:tcPr>
          <w:p>
            <w:r>
              <w:rPr>
                <w:rFonts w:ascii="Arial" w:cs="Arial" w:eastAsia="Arial" w:hAnsi="Arial"/>
                <w:color w:val="1A1A2E"/>
                <w:sz w:val="22"/>
                <w:szCs w:val="22"/>
              </w:rPr>
              <w:t xml:space="preserve">USD 150,000 - 400,000</w:t>
            </w:r>
          </w:p>
        </w:tc>
      </w:tr>
      <w:tr>
        <w:tc>
          <w:tcPr>
            <w:tcW w:type="dxa" w:w="4680"/>
            <w:tcBorders>
              <w:top w:val="single" w:color="D0D7E3" w:sz="1"/>
              <w:left w:val="single" w:color="D0D7E3" w:sz="1"/>
              <w:bottom w:val="single" w:color="D0D7E3" w:sz="1"/>
              <w:right w:val="single" w:color="D0D7E3" w:sz="1"/>
            </w:tcBorders>
            <w:shd w:fill="F2F4F7" w:val="clear"/>
            <w:tcMar>
              <w:top w:type="dxa" w:w="80"/>
              <w:left w:type="dxa" w:w="180"/>
              <w:bottom w:type="dxa" w:w="80"/>
              <w:right w:type="dxa" w:w="180"/>
            </w:tcMar>
          </w:tcPr>
          <w:p>
            <w:r>
              <w:rPr>
                <w:rFonts w:ascii="Arial" w:cs="Arial" w:eastAsia="Arial" w:hAnsi="Arial"/>
                <w:color w:val="1A1A2E"/>
                <w:sz w:val="22"/>
                <w:szCs w:val="22"/>
              </w:rPr>
              <w:t xml:space="preserve">Tokenization fees generated</w:t>
            </w:r>
          </w:p>
        </w:tc>
        <w:tc>
          <w:tcPr>
            <w:tcW w:type="dxa" w:w="4680"/>
            <w:tcBorders>
              <w:top w:val="single" w:color="D0D7E3" w:sz="1"/>
              <w:left w:val="single" w:color="D0D7E3" w:sz="1"/>
              <w:bottom w:val="single" w:color="D0D7E3" w:sz="1"/>
              <w:right w:val="single" w:color="D0D7E3" w:sz="1"/>
            </w:tcBorders>
            <w:shd w:fill="F2F4F7" w:val="clear"/>
            <w:tcMar>
              <w:top w:type="dxa" w:w="80"/>
              <w:left w:type="dxa" w:w="180"/>
              <w:bottom w:type="dxa" w:w="80"/>
              <w:right w:type="dxa" w:w="180"/>
            </w:tcMar>
          </w:tcPr>
          <w:p>
            <w:r>
              <w:rPr>
                <w:rFonts w:ascii="Arial" w:cs="Arial" w:eastAsia="Arial" w:hAnsi="Arial"/>
                <w:color w:val="1A1A2E"/>
                <w:sz w:val="22"/>
                <w:szCs w:val="22"/>
              </w:rPr>
              <w:t xml:space="preserve">USD 7,500 - 20,000</w:t>
            </w:r>
          </w:p>
        </w:tc>
      </w:tr>
      <w:tr>
        <w:tc>
          <w:tcPr>
            <w:tcW w:type="dxa" w:w="4680"/>
            <w:tcBorders>
              <w:top w:val="single" w:color="D0D7E3" w:sz="1"/>
              <w:left w:val="single" w:color="D0D7E3" w:sz="1"/>
              <w:bottom w:val="single" w:color="D0D7E3" w:sz="1"/>
              <w:right w:val="single" w:color="D0D7E3" w:sz="1"/>
            </w:tcBorders>
            <w:shd w:fill="FFFFFF" w:val="clear"/>
            <w:tcMar>
              <w:top w:type="dxa" w:w="80"/>
              <w:left w:type="dxa" w:w="180"/>
              <w:bottom w:type="dxa" w:w="80"/>
              <w:right w:type="dxa" w:w="180"/>
            </w:tcMar>
          </w:tcPr>
          <w:p>
            <w:r>
              <w:rPr>
                <w:rFonts w:ascii="Arial" w:cs="Arial" w:eastAsia="Arial" w:hAnsi="Arial"/>
                <w:color w:val="1A1A2E"/>
                <w:sz w:val="22"/>
                <w:szCs w:val="22"/>
              </w:rPr>
              <w:t xml:space="preserve">Educational platform revenue</w:t>
            </w:r>
          </w:p>
        </w:tc>
        <w:tc>
          <w:tcPr>
            <w:tcW w:type="dxa" w:w="4680"/>
            <w:tcBorders>
              <w:top w:val="single" w:color="D0D7E3" w:sz="1"/>
              <w:left w:val="single" w:color="D0D7E3" w:sz="1"/>
              <w:bottom w:val="single" w:color="D0D7E3" w:sz="1"/>
              <w:right w:val="single" w:color="D0D7E3" w:sz="1"/>
            </w:tcBorders>
            <w:shd w:fill="FFFFFF" w:val="clear"/>
            <w:tcMar>
              <w:top w:type="dxa" w:w="80"/>
              <w:left w:type="dxa" w:w="180"/>
              <w:bottom w:type="dxa" w:w="80"/>
              <w:right w:type="dxa" w:w="180"/>
            </w:tcMar>
          </w:tcPr>
          <w:p>
            <w:r>
              <w:rPr>
                <w:rFonts w:ascii="Arial" w:cs="Arial" w:eastAsia="Arial" w:hAnsi="Arial"/>
                <w:color w:val="1A1A2E"/>
                <w:sz w:val="22"/>
                <w:szCs w:val="22"/>
              </w:rPr>
              <w:t xml:space="preserve">USD 15,000 - 40,000</w:t>
            </w:r>
          </w:p>
        </w:tc>
      </w:tr>
      <w:tr>
        <w:tc>
          <w:tcPr>
            <w:tcW w:type="dxa" w:w="4680"/>
            <w:tcBorders>
              <w:top w:val="single" w:color="D0D7E3" w:sz="1"/>
              <w:left w:val="single" w:color="D0D7E3" w:sz="1"/>
              <w:bottom w:val="single" w:color="D0D7E3" w:sz="1"/>
              <w:right w:val="single" w:color="D0D7E3" w:sz="1"/>
            </w:tcBorders>
            <w:shd w:fill="F2F4F7" w:val="clear"/>
            <w:tcMar>
              <w:top w:type="dxa" w:w="80"/>
              <w:left w:type="dxa" w:w="180"/>
              <w:bottom w:type="dxa" w:w="80"/>
              <w:right w:type="dxa" w:w="180"/>
            </w:tcMar>
          </w:tcPr>
          <w:p>
            <w:r>
              <w:rPr>
                <w:rFonts w:ascii="Arial" w:cs="Arial" w:eastAsia="Arial" w:hAnsi="Arial"/>
                <w:color w:val="1A1A2E"/>
                <w:sz w:val="22"/>
                <w:szCs w:val="22"/>
              </w:rPr>
              <w:t xml:space="preserve">E-commerce revenue</w:t>
            </w:r>
          </w:p>
        </w:tc>
        <w:tc>
          <w:tcPr>
            <w:tcW w:type="dxa" w:w="4680"/>
            <w:tcBorders>
              <w:top w:val="single" w:color="D0D7E3" w:sz="1"/>
              <w:left w:val="single" w:color="D0D7E3" w:sz="1"/>
              <w:bottom w:val="single" w:color="D0D7E3" w:sz="1"/>
              <w:right w:val="single" w:color="D0D7E3" w:sz="1"/>
            </w:tcBorders>
            <w:shd w:fill="F2F4F7" w:val="clear"/>
            <w:tcMar>
              <w:top w:type="dxa" w:w="80"/>
              <w:left w:type="dxa" w:w="180"/>
              <w:bottom w:type="dxa" w:w="80"/>
              <w:right w:type="dxa" w:w="180"/>
            </w:tcMar>
          </w:tcPr>
          <w:p>
            <w:r>
              <w:rPr>
                <w:rFonts w:ascii="Arial" w:cs="Arial" w:eastAsia="Arial" w:hAnsi="Arial"/>
                <w:color w:val="1A1A2E"/>
                <w:sz w:val="22"/>
                <w:szCs w:val="22"/>
              </w:rPr>
              <w:t xml:space="preserve">USD 5,000 - 20,000</w:t>
            </w:r>
          </w:p>
        </w:tc>
      </w:tr>
      <w:tr>
        <w:tc>
          <w:tcPr>
            <w:tcW w:type="dxa" w:w="4680"/>
            <w:tcBorders>
              <w:top w:val="single" w:color="D0D7E3" w:sz="1"/>
              <w:left w:val="single" w:color="D0D7E3" w:sz="1"/>
              <w:bottom w:val="single" w:color="D0D7E3" w:sz="1"/>
              <w:right w:val="single" w:color="D0D7E3" w:sz="1"/>
            </w:tcBorders>
            <w:shd w:fill="FFFFFF" w:val="clear"/>
            <w:tcMar>
              <w:top w:type="dxa" w:w="80"/>
              <w:left w:type="dxa" w:w="180"/>
              <w:bottom w:type="dxa" w:w="80"/>
              <w:right w:type="dxa" w:w="180"/>
            </w:tcMar>
          </w:tcPr>
          <w:p>
            <w:r>
              <w:rPr>
                <w:rFonts w:ascii="Arial" w:cs="Arial" w:eastAsia="Arial" w:hAnsi="Arial"/>
                <w:color w:val="1A1A2E"/>
                <w:sz w:val="22"/>
                <w:szCs w:val="22"/>
              </w:rPr>
              <w:t xml:space="preserve">TOTAL estimated year 1 revenue</w:t>
            </w:r>
          </w:p>
        </w:tc>
        <w:tc>
          <w:tcPr>
            <w:tcW w:type="dxa" w:w="4680"/>
            <w:tcBorders>
              <w:top w:val="single" w:color="D0D7E3" w:sz="1"/>
              <w:left w:val="single" w:color="D0D7E3" w:sz="1"/>
              <w:bottom w:val="single" w:color="D0D7E3" w:sz="1"/>
              <w:right w:val="single" w:color="D0D7E3" w:sz="1"/>
            </w:tcBorders>
            <w:shd w:fill="FFFFFF" w:val="clear"/>
            <w:tcMar>
              <w:top w:type="dxa" w:w="80"/>
              <w:left w:type="dxa" w:w="180"/>
              <w:bottom w:type="dxa" w:w="80"/>
              <w:right w:type="dxa" w:w="180"/>
            </w:tcMar>
          </w:tcPr>
          <w:p>
            <w:r>
              <w:rPr>
                <w:rFonts w:ascii="Arial" w:cs="Arial" w:eastAsia="Arial" w:hAnsi="Arial"/>
                <w:color w:val="1A1A2E"/>
                <w:sz w:val="22"/>
                <w:szCs w:val="22"/>
              </w:rPr>
              <w:t xml:space="preserve">USD 27,500 - 80,000</w:t>
            </w:r>
          </w:p>
        </w:tc>
      </w:tr>
    </w:tbl>
    <w:p>
      <w:pPr>
        <w:spacing w:before="0" w:after="0"/>
      </w:pPr>
      <w:r>
        <w:rPr>
          <w:sz w:val="44"/>
          <w:szCs w:val="44"/>
        </w:rPr>
        <w:t xml:space="preserve"/>
      </w:r>
    </w:p>
    <w:p>
      <w:r>
        <w:br w:type="page"/>
      </w:r>
    </w:p>
    <w:p>
      <w:pPr>
        <w:pStyle w:val="Heading1"/>
        <w:spacing w:before="400" w:after="200"/>
      </w:pPr>
      <w:r>
        <w:rPr>
          <w:rFonts w:ascii="Arial" w:cs="Arial" w:eastAsia="Arial" w:hAnsi="Arial"/>
          <w:b/>
          <w:bCs/>
          <w:color w:val="1A3C6E"/>
          <w:sz w:val="36"/>
          <w:szCs w:val="36"/>
        </w:rPr>
        <w:t xml:space="preserve">6. Technology</w:t>
      </w:r>
    </w:p>
    <w:p>
      <w:pPr>
        <w:pBdr>
          <w:bottom w:val="single" w:color="2E75B6" w:sz="4" w:space="1"/>
        </w:pBdr>
        <w:spacing w:before="200" w:after="200"/>
      </w:pPr>
      <w:r>
        <w:t xml:space="preserve"/>
      </w:r>
    </w:p>
    <w:p>
      <w:pPr>
        <w:pStyle w:val="Heading2"/>
        <w:spacing w:before="300" w:after="160"/>
      </w:pPr>
      <w:r>
        <w:rPr>
          <w:rFonts w:ascii="Arial" w:cs="Arial" w:eastAsia="Arial" w:hAnsi="Arial"/>
          <w:b/>
          <w:bCs/>
          <w:color w:val="2E75B6"/>
          <w:sz w:val="28"/>
          <w:szCs w:val="28"/>
        </w:rPr>
        <w:t xml:space="preserve">6.1 Why Solana</w:t>
      </w:r>
    </w:p>
    <w:p>
      <w:pPr>
        <w:spacing w:before="80" w:after="80"/>
        <w:jc w:val="both"/>
      </w:pPr>
      <w:r>
        <w:rPr>
          <w:rFonts w:ascii="Arial" w:cs="Arial" w:eastAsia="Arial" w:hAnsi="Arial"/>
          <w:b w:val="false"/>
          <w:bCs w:val="false"/>
          <w:i w:val="false"/>
          <w:iCs w:val="false"/>
          <w:color w:val="1A1A2E"/>
          <w:sz w:val="22"/>
          <w:szCs w:val="22"/>
        </w:rPr>
        <w:t xml:space="preserve">The choice of Solana as the base blockchain responds to concrete technical and economic criteria. Solana processes over 65,000 transactions per second with average fees of $0.00025 USD, making it the ideal network for a daily-use platform with frequent rental distributions.</w:t>
      </w:r>
    </w:p>
    <w:p>
      <w:pPr>
        <w:spacing w:before="0"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0D7E3" w:sz="1"/>
              <w:left w:val="single" w:color="D0D7E3" w:sz="1"/>
              <w:bottom w:val="single" w:color="D0D7E3" w:sz="1"/>
              <w:right w:val="single" w:color="D0D7E3" w:sz="1"/>
            </w:tcBorders>
            <w:shd w:fill="1A3C6E" w:val="clear"/>
            <w:tcMar>
              <w:top w:type="dxa" w:w="100"/>
              <w:left w:type="dxa" w:w="140"/>
              <w:bottom w:type="dxa" w:w="100"/>
              <w:right w:type="dxa" w:w="140"/>
            </w:tcMar>
          </w:tcPr>
          <w:p>
            <w:r>
              <w:rPr>
                <w:rFonts w:ascii="Arial" w:cs="Arial" w:eastAsia="Arial" w:hAnsi="Arial"/>
                <w:b/>
                <w:bCs/>
                <w:color w:val="FFFFFF"/>
                <w:sz w:val="20"/>
                <w:szCs w:val="20"/>
              </w:rPr>
              <w:t xml:space="preserve">Feature</w:t>
            </w:r>
          </w:p>
        </w:tc>
        <w:tc>
          <w:tcPr>
            <w:tcW w:type="dxa" w:w="2340"/>
            <w:tcBorders>
              <w:top w:val="single" w:color="D0D7E3" w:sz="1"/>
              <w:left w:val="single" w:color="D0D7E3" w:sz="1"/>
              <w:bottom w:val="single" w:color="D0D7E3" w:sz="1"/>
              <w:right w:val="single" w:color="D0D7E3" w:sz="1"/>
            </w:tcBorders>
            <w:shd w:fill="1A3C6E" w:val="clear"/>
            <w:tcMar>
              <w:top w:type="dxa" w:w="100"/>
              <w:left w:type="dxa" w:w="140"/>
              <w:bottom w:type="dxa" w:w="100"/>
              <w:right w:type="dxa" w:w="140"/>
            </w:tcMar>
          </w:tcPr>
          <w:p>
            <w:r>
              <w:rPr>
                <w:rFonts w:ascii="Arial" w:cs="Arial" w:eastAsia="Arial" w:hAnsi="Arial"/>
                <w:b/>
                <w:bCs/>
                <w:color w:val="FFFFFF"/>
                <w:sz w:val="20"/>
                <w:szCs w:val="20"/>
              </w:rPr>
              <w:t xml:space="preserve">Solana</w:t>
            </w:r>
          </w:p>
        </w:tc>
        <w:tc>
          <w:tcPr>
            <w:tcW w:type="dxa" w:w="2340"/>
            <w:tcBorders>
              <w:top w:val="single" w:color="D0D7E3" w:sz="1"/>
              <w:left w:val="single" w:color="D0D7E3" w:sz="1"/>
              <w:bottom w:val="single" w:color="D0D7E3" w:sz="1"/>
              <w:right w:val="single" w:color="D0D7E3" w:sz="1"/>
            </w:tcBorders>
            <w:shd w:fill="1A3C6E" w:val="clear"/>
            <w:tcMar>
              <w:top w:type="dxa" w:w="100"/>
              <w:left w:type="dxa" w:w="140"/>
              <w:bottom w:type="dxa" w:w="100"/>
              <w:right w:type="dxa" w:w="140"/>
            </w:tcMar>
          </w:tcPr>
          <w:p>
            <w:r>
              <w:rPr>
                <w:rFonts w:ascii="Arial" w:cs="Arial" w:eastAsia="Arial" w:hAnsi="Arial"/>
                <w:b/>
                <w:bCs/>
                <w:color w:val="FFFFFF"/>
                <w:sz w:val="20"/>
                <w:szCs w:val="20"/>
              </w:rPr>
              <w:t xml:space="preserve">Ethereum</w:t>
            </w:r>
          </w:p>
        </w:tc>
        <w:tc>
          <w:tcPr>
            <w:tcW w:type="dxa" w:w="2340"/>
            <w:tcBorders>
              <w:top w:val="single" w:color="D0D7E3" w:sz="1"/>
              <w:left w:val="single" w:color="D0D7E3" w:sz="1"/>
              <w:bottom w:val="single" w:color="D0D7E3" w:sz="1"/>
              <w:right w:val="single" w:color="D0D7E3" w:sz="1"/>
            </w:tcBorders>
            <w:shd w:fill="1A3C6E" w:val="clear"/>
            <w:tcMar>
              <w:top w:type="dxa" w:w="100"/>
              <w:left w:type="dxa" w:w="140"/>
              <w:bottom w:type="dxa" w:w="100"/>
              <w:right w:type="dxa" w:w="140"/>
            </w:tcMar>
          </w:tcPr>
          <w:p>
            <w:r>
              <w:rPr>
                <w:rFonts w:ascii="Arial" w:cs="Arial" w:eastAsia="Arial" w:hAnsi="Arial"/>
                <w:b/>
                <w:bCs/>
                <w:color w:val="FFFFFF"/>
                <w:sz w:val="20"/>
                <w:szCs w:val="20"/>
              </w:rPr>
              <w:t xml:space="preserve">Polygon</w:t>
            </w:r>
          </w:p>
        </w:tc>
      </w:tr>
      <w:tr>
        <w:tc>
          <w:tcPr>
            <w:tcW w:type="dxa" w:w="234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TPS (transactions/sec)</w:t>
            </w:r>
          </w:p>
        </w:tc>
        <w:tc>
          <w:tcPr>
            <w:tcW w:type="dxa" w:w="234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65,000+</w:t>
            </w:r>
          </w:p>
        </w:tc>
        <w:tc>
          <w:tcPr>
            <w:tcW w:type="dxa" w:w="234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~15</w:t>
            </w:r>
          </w:p>
        </w:tc>
        <w:tc>
          <w:tcPr>
            <w:tcW w:type="dxa" w:w="234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~7,000</w:t>
            </w:r>
          </w:p>
        </w:tc>
      </w:tr>
      <w:tr>
        <w:tc>
          <w:tcPr>
            <w:tcW w:type="dxa" w:w="2340"/>
            <w:tcBorders>
              <w:top w:val="single" w:color="D0D7E3" w:sz="1"/>
              <w:left w:val="single" w:color="D0D7E3" w:sz="1"/>
              <w:bottom w:val="single" w:color="D0D7E3" w:sz="1"/>
              <w:right w:val="single" w:color="D0D7E3" w:sz="1"/>
            </w:tcBorders>
            <w:shd w:fill="F2F4F7" w:val="clear"/>
            <w:tcMar>
              <w:top w:type="dxa" w:w="80"/>
              <w:left w:type="dxa" w:w="140"/>
              <w:bottom w:type="dxa" w:w="80"/>
              <w:right w:type="dxa" w:w="140"/>
            </w:tcMar>
          </w:tcPr>
          <w:p>
            <w:r>
              <w:rPr>
                <w:rFonts w:ascii="Arial" w:cs="Arial" w:eastAsia="Arial" w:hAnsi="Arial"/>
                <w:color w:val="1A1A2E"/>
                <w:sz w:val="20"/>
                <w:szCs w:val="20"/>
              </w:rPr>
              <w:t xml:space="preserve">Average fee</w:t>
            </w:r>
          </w:p>
        </w:tc>
        <w:tc>
          <w:tcPr>
            <w:tcW w:type="dxa" w:w="2340"/>
            <w:tcBorders>
              <w:top w:val="single" w:color="D0D7E3" w:sz="1"/>
              <w:left w:val="single" w:color="D0D7E3" w:sz="1"/>
              <w:bottom w:val="single" w:color="D0D7E3" w:sz="1"/>
              <w:right w:val="single" w:color="D0D7E3" w:sz="1"/>
            </w:tcBorders>
            <w:shd w:fill="F2F4F7" w:val="clear"/>
            <w:tcMar>
              <w:top w:type="dxa" w:w="80"/>
              <w:left w:type="dxa" w:w="140"/>
              <w:bottom w:type="dxa" w:w="80"/>
              <w:right w:type="dxa" w:w="140"/>
            </w:tcMar>
          </w:tcPr>
          <w:p>
            <w:r>
              <w:rPr>
                <w:rFonts w:ascii="Arial" w:cs="Arial" w:eastAsia="Arial" w:hAnsi="Arial"/>
                <w:color w:val="1A1A2E"/>
                <w:sz w:val="20"/>
                <w:szCs w:val="20"/>
              </w:rPr>
              <w:t xml:space="preserve">~$0.00025</w:t>
            </w:r>
          </w:p>
        </w:tc>
        <w:tc>
          <w:tcPr>
            <w:tcW w:type="dxa" w:w="2340"/>
            <w:tcBorders>
              <w:top w:val="single" w:color="D0D7E3" w:sz="1"/>
              <w:left w:val="single" w:color="D0D7E3" w:sz="1"/>
              <w:bottom w:val="single" w:color="D0D7E3" w:sz="1"/>
              <w:right w:val="single" w:color="D0D7E3" w:sz="1"/>
            </w:tcBorders>
            <w:shd w:fill="F2F4F7" w:val="clear"/>
            <w:tcMar>
              <w:top w:type="dxa" w:w="80"/>
              <w:left w:type="dxa" w:w="140"/>
              <w:bottom w:type="dxa" w:w="80"/>
              <w:right w:type="dxa" w:w="140"/>
            </w:tcMar>
          </w:tcPr>
          <w:p>
            <w:r>
              <w:rPr>
                <w:rFonts w:ascii="Arial" w:cs="Arial" w:eastAsia="Arial" w:hAnsi="Arial"/>
                <w:color w:val="1A1A2E"/>
                <w:sz w:val="20"/>
                <w:szCs w:val="20"/>
              </w:rPr>
              <w:t xml:space="preserve">~$5-50</w:t>
            </w:r>
          </w:p>
        </w:tc>
        <w:tc>
          <w:tcPr>
            <w:tcW w:type="dxa" w:w="2340"/>
            <w:tcBorders>
              <w:top w:val="single" w:color="D0D7E3" w:sz="1"/>
              <w:left w:val="single" w:color="D0D7E3" w:sz="1"/>
              <w:bottom w:val="single" w:color="D0D7E3" w:sz="1"/>
              <w:right w:val="single" w:color="D0D7E3" w:sz="1"/>
            </w:tcBorders>
            <w:shd w:fill="F2F4F7" w:val="clear"/>
            <w:tcMar>
              <w:top w:type="dxa" w:w="80"/>
              <w:left w:type="dxa" w:w="140"/>
              <w:bottom w:type="dxa" w:w="80"/>
              <w:right w:type="dxa" w:w="140"/>
            </w:tcMar>
          </w:tcPr>
          <w:p>
            <w:r>
              <w:rPr>
                <w:rFonts w:ascii="Arial" w:cs="Arial" w:eastAsia="Arial" w:hAnsi="Arial"/>
                <w:color w:val="1A1A2E"/>
                <w:sz w:val="20"/>
                <w:szCs w:val="20"/>
              </w:rPr>
              <w:t xml:space="preserve">~$0.01</w:t>
            </w:r>
          </w:p>
        </w:tc>
      </w:tr>
      <w:tr>
        <w:tc>
          <w:tcPr>
            <w:tcW w:type="dxa" w:w="234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Transaction finality</w:t>
            </w:r>
          </w:p>
        </w:tc>
        <w:tc>
          <w:tcPr>
            <w:tcW w:type="dxa" w:w="234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~400ms</w:t>
            </w:r>
          </w:p>
        </w:tc>
        <w:tc>
          <w:tcPr>
            <w:tcW w:type="dxa" w:w="234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~15 sec</w:t>
            </w:r>
          </w:p>
        </w:tc>
        <w:tc>
          <w:tcPr>
            <w:tcW w:type="dxa" w:w="234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~2 sec</w:t>
            </w:r>
          </w:p>
        </w:tc>
      </w:tr>
      <w:tr>
        <w:tc>
          <w:tcPr>
            <w:tcW w:type="dxa" w:w="2340"/>
            <w:tcBorders>
              <w:top w:val="single" w:color="D0D7E3" w:sz="1"/>
              <w:left w:val="single" w:color="D0D7E3" w:sz="1"/>
              <w:bottom w:val="single" w:color="D0D7E3" w:sz="1"/>
              <w:right w:val="single" w:color="D0D7E3" w:sz="1"/>
            </w:tcBorders>
            <w:shd w:fill="F2F4F7" w:val="clear"/>
            <w:tcMar>
              <w:top w:type="dxa" w:w="80"/>
              <w:left w:type="dxa" w:w="140"/>
              <w:bottom w:type="dxa" w:w="80"/>
              <w:right w:type="dxa" w:w="140"/>
            </w:tcMar>
          </w:tcPr>
          <w:p>
            <w:r>
              <w:rPr>
                <w:rFonts w:ascii="Arial" w:cs="Arial" w:eastAsia="Arial" w:hAnsi="Arial"/>
                <w:color w:val="1A1A2E"/>
                <w:sz w:val="20"/>
                <w:szCs w:val="20"/>
              </w:rPr>
              <w:t xml:space="preserve">Token deployment cost</w:t>
            </w:r>
          </w:p>
        </w:tc>
        <w:tc>
          <w:tcPr>
            <w:tcW w:type="dxa" w:w="2340"/>
            <w:tcBorders>
              <w:top w:val="single" w:color="D0D7E3" w:sz="1"/>
              <w:left w:val="single" w:color="D0D7E3" w:sz="1"/>
              <w:bottom w:val="single" w:color="D0D7E3" w:sz="1"/>
              <w:right w:val="single" w:color="D0D7E3" w:sz="1"/>
            </w:tcBorders>
            <w:shd w:fill="F2F4F7" w:val="clear"/>
            <w:tcMar>
              <w:top w:type="dxa" w:w="80"/>
              <w:left w:type="dxa" w:w="140"/>
              <w:bottom w:type="dxa" w:w="80"/>
              <w:right w:type="dxa" w:w="140"/>
            </w:tcMar>
          </w:tcPr>
          <w:p>
            <w:r>
              <w:rPr>
                <w:rFonts w:ascii="Arial" w:cs="Arial" w:eastAsia="Arial" w:hAnsi="Arial"/>
                <w:color w:val="1A1A2E"/>
                <w:sz w:val="20"/>
                <w:szCs w:val="20"/>
              </w:rPr>
              <w:t xml:space="preserve">~$0.05</w:t>
            </w:r>
          </w:p>
        </w:tc>
        <w:tc>
          <w:tcPr>
            <w:tcW w:type="dxa" w:w="2340"/>
            <w:tcBorders>
              <w:top w:val="single" w:color="D0D7E3" w:sz="1"/>
              <w:left w:val="single" w:color="D0D7E3" w:sz="1"/>
              <w:bottom w:val="single" w:color="D0D7E3" w:sz="1"/>
              <w:right w:val="single" w:color="D0D7E3" w:sz="1"/>
            </w:tcBorders>
            <w:shd w:fill="F2F4F7" w:val="clear"/>
            <w:tcMar>
              <w:top w:type="dxa" w:w="80"/>
              <w:left w:type="dxa" w:w="140"/>
              <w:bottom w:type="dxa" w:w="80"/>
              <w:right w:type="dxa" w:w="140"/>
            </w:tcMar>
          </w:tcPr>
          <w:p>
            <w:r>
              <w:rPr>
                <w:rFonts w:ascii="Arial" w:cs="Arial" w:eastAsia="Arial" w:hAnsi="Arial"/>
                <w:color w:val="1A1A2E"/>
                <w:sz w:val="20"/>
                <w:szCs w:val="20"/>
              </w:rPr>
              <w:t xml:space="preserve">~$200-500</w:t>
            </w:r>
          </w:p>
        </w:tc>
        <w:tc>
          <w:tcPr>
            <w:tcW w:type="dxa" w:w="2340"/>
            <w:tcBorders>
              <w:top w:val="single" w:color="D0D7E3" w:sz="1"/>
              <w:left w:val="single" w:color="D0D7E3" w:sz="1"/>
              <w:bottom w:val="single" w:color="D0D7E3" w:sz="1"/>
              <w:right w:val="single" w:color="D0D7E3" w:sz="1"/>
            </w:tcBorders>
            <w:shd w:fill="F2F4F7" w:val="clear"/>
            <w:tcMar>
              <w:top w:type="dxa" w:w="80"/>
              <w:left w:type="dxa" w:w="140"/>
              <w:bottom w:type="dxa" w:w="80"/>
              <w:right w:type="dxa" w:w="140"/>
            </w:tcMar>
          </w:tcPr>
          <w:p>
            <w:r>
              <w:rPr>
                <w:rFonts w:ascii="Arial" w:cs="Arial" w:eastAsia="Arial" w:hAnsi="Arial"/>
                <w:color w:val="1A1A2E"/>
                <w:sz w:val="20"/>
                <w:szCs w:val="20"/>
              </w:rPr>
              <w:t xml:space="preserve">~$5-20</w:t>
            </w:r>
          </w:p>
        </w:tc>
      </w:tr>
    </w:tbl>
    <w:p>
      <w:pPr>
        <w:spacing w:before="0" w:after="0"/>
      </w:pPr>
      <w:r>
        <w:rPr>
          <w:sz w:val="44"/>
          <w:szCs w:val="44"/>
        </w:rPr>
        <w:t xml:space="preserve"/>
      </w:r>
    </w:p>
    <w:p>
      <w:pPr>
        <w:pStyle w:val="Heading2"/>
        <w:spacing w:before="300" w:after="160"/>
      </w:pPr>
      <w:r>
        <w:rPr>
          <w:rFonts w:ascii="Arial" w:cs="Arial" w:eastAsia="Arial" w:hAnsi="Arial"/>
          <w:b/>
          <w:bCs/>
          <w:color w:val="2E75B6"/>
          <w:sz w:val="28"/>
          <w:szCs w:val="28"/>
        </w:rPr>
        <w:t xml:space="preserve">6.2 Ecosystem Infrastructure</w:t>
      </w:r>
    </w:p>
    <w:p>
      <w:pPr>
        <w:pStyle w:val="ListParagraph"/>
        <w:numPr>
          <w:ilvl w:val="0"/>
          <w:numId w:val="2"/>
        </w:numPr>
        <w:spacing w:before="60" w:after="60"/>
      </w:pPr>
      <w:r>
        <w:rPr>
          <w:rFonts w:ascii="Arial" w:cs="Arial" w:eastAsia="Arial" w:hAnsi="Arial"/>
          <w:color w:val="1A1A2E"/>
          <w:sz w:val="22"/>
          <w:szCs w:val="22"/>
        </w:rPr>
        <w:t xml:space="preserve">Native SPL token on Solana with Metaplex metadata (name, symbol, logo, URI)</w:t>
      </w:r>
    </w:p>
    <w:p>
      <w:pPr>
        <w:pStyle w:val="ListParagraph"/>
        <w:numPr>
          <w:ilvl w:val="0"/>
          <w:numId w:val="2"/>
        </w:numPr>
        <w:spacing w:before="60" w:after="60"/>
      </w:pPr>
      <w:r>
        <w:rPr>
          <w:rFonts w:ascii="Arial" w:cs="Arial" w:eastAsia="Arial" w:hAnsi="Arial"/>
          <w:color w:val="1A1A2E"/>
          <w:sz w:val="22"/>
          <w:szCs w:val="22"/>
        </w:rPr>
        <w:t xml:space="preserve">Smart contracts for automatic USDC rental distribution to RWA holders</w:t>
      </w:r>
    </w:p>
    <w:p>
      <w:pPr>
        <w:pStyle w:val="ListParagraph"/>
        <w:numPr>
          <w:ilvl w:val="0"/>
          <w:numId w:val="2"/>
        </w:numPr>
        <w:spacing w:before="60" w:after="60"/>
      </w:pPr>
      <w:r>
        <w:rPr>
          <w:rFonts w:ascii="Arial" w:cs="Arial" w:eastAsia="Arial" w:hAnsi="Arial"/>
          <w:color w:val="1A1A2E"/>
          <w:sz w:val="22"/>
          <w:szCs w:val="22"/>
        </w:rPr>
        <w:t xml:space="preserve">Liquidity pool on Raydium AMM (Automated Market Maker)</w:t>
      </w:r>
    </w:p>
    <w:p>
      <w:pPr>
        <w:pStyle w:val="ListParagraph"/>
        <w:numPr>
          <w:ilvl w:val="0"/>
          <w:numId w:val="2"/>
        </w:numPr>
        <w:spacing w:before="60" w:after="60"/>
      </w:pPr>
      <w:r>
        <w:rPr>
          <w:rFonts w:ascii="Arial" w:cs="Arial" w:eastAsia="Arial" w:hAnsi="Arial"/>
          <w:color w:val="1A1A2E"/>
          <w:sz w:val="22"/>
          <w:szCs w:val="22"/>
        </w:rPr>
        <w:t xml:space="preserve">Future Jupiter integration for native swap on the platform</w:t>
      </w:r>
    </w:p>
    <w:p>
      <w:pPr>
        <w:pStyle w:val="ListParagraph"/>
        <w:numPr>
          <w:ilvl w:val="0"/>
          <w:numId w:val="2"/>
        </w:numPr>
        <w:spacing w:before="60" w:after="60"/>
      </w:pPr>
      <w:r>
        <w:rPr>
          <w:rFonts w:ascii="Arial" w:cs="Arial" w:eastAsia="Arial" w:hAnsi="Arial"/>
          <w:color w:val="1A1A2E"/>
          <w:sz w:val="22"/>
          <w:szCs w:val="22"/>
        </w:rPr>
        <w:t xml:space="preserve">Investor web dashboard: asset visualization, yields, and transactions</w:t>
      </w:r>
    </w:p>
    <w:p>
      <w:pPr>
        <w:pStyle w:val="ListParagraph"/>
        <w:numPr>
          <w:ilvl w:val="0"/>
          <w:numId w:val="2"/>
        </w:numPr>
        <w:spacing w:before="60" w:after="60"/>
      </w:pPr>
      <w:r>
        <w:rPr>
          <w:rFonts w:ascii="Arial" w:cs="Arial" w:eastAsia="Arial" w:hAnsi="Arial"/>
          <w:color w:val="1A1A2E"/>
          <w:sz w:val="22"/>
          <w:szCs w:val="22"/>
        </w:rPr>
        <w:t xml:space="preserve">Rental distribution API: monthly automation without manual intervention</w:t>
      </w:r>
    </w:p>
    <w:p>
      <w:pPr>
        <w:spacing w:before="0" w:after="0"/>
      </w:pPr>
      <w:r>
        <w:rPr>
          <w:sz w:val="44"/>
          <w:szCs w:val="44"/>
        </w:rPr>
        <w:t xml:space="preserve"/>
      </w:r>
    </w:p>
    <w:p>
      <w:pPr>
        <w:pStyle w:val="Heading2"/>
        <w:spacing w:before="300" w:after="160"/>
      </w:pPr>
      <w:r>
        <w:rPr>
          <w:rFonts w:ascii="Arial" w:cs="Arial" w:eastAsia="Arial" w:hAnsi="Arial"/>
          <w:b/>
          <w:bCs/>
          <w:color w:val="2E75B6"/>
          <w:sz w:val="28"/>
          <w:szCs w:val="28"/>
        </w:rPr>
        <w:t xml:space="preserve">6.3 Security</w:t>
      </w:r>
    </w:p>
    <w:p>
      <w:pPr>
        <w:pStyle w:val="ListParagraph"/>
        <w:numPr>
          <w:ilvl w:val="0"/>
          <w:numId w:val="2"/>
        </w:numPr>
        <w:spacing w:before="60" w:after="60"/>
      </w:pPr>
      <w:r>
        <w:rPr>
          <w:rFonts w:ascii="Arial" w:cs="Arial" w:eastAsia="Arial" w:hAnsi="Arial"/>
          <w:color w:val="1A1A2E"/>
          <w:sz w:val="22"/>
          <w:szCs w:val="22"/>
        </w:rPr>
        <w:t xml:space="preserve">Smart contract audit by specialized firm before launch</w:t>
      </w:r>
    </w:p>
    <w:p>
      <w:pPr>
        <w:pStyle w:val="ListParagraph"/>
        <w:numPr>
          <w:ilvl w:val="0"/>
          <w:numId w:val="2"/>
        </w:numPr>
        <w:spacing w:before="60" w:after="60"/>
      </w:pPr>
      <w:r>
        <w:rPr>
          <w:rFonts w:ascii="Arial" w:cs="Arial" w:eastAsia="Arial" w:hAnsi="Arial"/>
          <w:color w:val="1A1A2E"/>
          <w:sz w:val="22"/>
          <w:szCs w:val="22"/>
        </w:rPr>
        <w:t xml:space="preserve">Multisig on treasury and reserve wallets (requires 2/3 signatures to move funds)</w:t>
      </w:r>
    </w:p>
    <w:p>
      <w:pPr>
        <w:pStyle w:val="ListParagraph"/>
        <w:numPr>
          <w:ilvl w:val="0"/>
          <w:numId w:val="2"/>
        </w:numPr>
        <w:spacing w:before="60" w:after="60"/>
      </w:pPr>
      <w:r>
        <w:rPr>
          <w:rFonts w:ascii="Arial" w:cs="Arial" w:eastAsia="Arial" w:hAnsi="Arial"/>
          <w:color w:val="1A1A2E"/>
          <w:sz w:val="22"/>
          <w:szCs w:val="22"/>
        </w:rPr>
        <w:t xml:space="preserve">LP tokens locked for 12 months on lock platform (prevents rug pull)</w:t>
      </w:r>
    </w:p>
    <w:p>
      <w:pPr>
        <w:pStyle w:val="ListParagraph"/>
        <w:numPr>
          <w:ilvl w:val="0"/>
          <w:numId w:val="2"/>
        </w:numPr>
        <w:spacing w:before="60" w:after="60"/>
      </w:pPr>
      <w:r>
        <w:rPr>
          <w:rFonts w:ascii="Arial" w:cs="Arial" w:eastAsia="Arial" w:hAnsi="Arial"/>
          <w:color w:val="1A1A2E"/>
          <w:sz w:val="22"/>
          <w:szCs w:val="22"/>
        </w:rPr>
        <w:t xml:space="preserve">Mint authority renounced or transferred to multisig post-IDO</w:t>
      </w:r>
    </w:p>
    <w:p>
      <w:pPr>
        <w:spacing w:before="0" w:after="0"/>
      </w:pPr>
      <w:r>
        <w:rPr>
          <w:sz w:val="44"/>
          <w:szCs w:val="44"/>
        </w:rPr>
        <w:t xml:space="preserve"/>
      </w:r>
    </w:p>
    <w:p>
      <w:r>
        <w:br w:type="page"/>
      </w:r>
    </w:p>
    <w:p>
      <w:pPr>
        <w:pStyle w:val="Heading1"/>
        <w:spacing w:before="400" w:after="200"/>
      </w:pPr>
      <w:r>
        <w:rPr>
          <w:rFonts w:ascii="Arial" w:cs="Arial" w:eastAsia="Arial" w:hAnsi="Arial"/>
          <w:b/>
          <w:bCs/>
          <w:color w:val="1A3C6E"/>
          <w:sz w:val="36"/>
          <w:szCs w:val="36"/>
        </w:rPr>
        <w:t xml:space="preserve">7. Legal and Regulatory Framework</w:t>
      </w:r>
    </w:p>
    <w:p>
      <w:pPr>
        <w:pBdr>
          <w:bottom w:val="single" w:color="2E75B6" w:sz="4" w:space="1"/>
        </w:pBdr>
        <w:spacing w:before="200" w:after="200"/>
      </w:pPr>
      <w:r>
        <w:t xml:space="preserve"/>
      </w:r>
    </w:p>
    <w:p>
      <w:pPr>
        <w:spacing w:before="80" w:after="80"/>
        <w:jc w:val="both"/>
      </w:pPr>
      <w:r>
        <w:rPr>
          <w:rFonts w:ascii="Arial" w:cs="Arial" w:eastAsia="Arial" w:hAnsi="Arial"/>
          <w:b w:val="false"/>
          <w:bCs w:val="false"/>
          <w:i w:val="false"/>
          <w:iCs w:val="false"/>
          <w:color w:val="1A1A2E"/>
          <w:sz w:val="22"/>
          <w:szCs w:val="22"/>
        </w:rPr>
        <w:t xml:space="preserve">Systemex operates within the asset tokenization regime approved by Argentina's National Securities Commission (CNV) in December 2025. This framework enables the issuance of tokens representing real assets under specific conditions of transparency, custody, and investor disclosure.</w:t>
      </w:r>
    </w:p>
    <w:p>
      <w:pPr>
        <w:spacing w:before="0" w:after="0"/>
      </w:pPr>
      <w:r>
        <w:rPr>
          <w:sz w:val="44"/>
          <w:szCs w:val="44"/>
        </w:rPr>
        <w:t xml:space="preserve"/>
      </w:r>
    </w:p>
    <w:p>
      <w:pPr>
        <w:pStyle w:val="Heading2"/>
        <w:spacing w:before="300" w:after="160"/>
      </w:pPr>
      <w:r>
        <w:rPr>
          <w:rFonts w:ascii="Arial" w:cs="Arial" w:eastAsia="Arial" w:hAnsi="Arial"/>
          <w:b/>
          <w:bCs/>
          <w:color w:val="2E75B6"/>
          <w:sz w:val="28"/>
          <w:szCs w:val="28"/>
        </w:rPr>
        <w:t xml:space="preserve">7.1 Legal Structure Per Asset</w:t>
      </w:r>
    </w:p>
    <w:p>
      <w:pPr>
        <w:pStyle w:val="ListParagraph"/>
        <w:numPr>
          <w:ilvl w:val="0"/>
          <w:numId w:val="2"/>
        </w:numPr>
        <w:spacing w:before="60" w:after="60"/>
      </w:pPr>
      <w:r>
        <w:rPr>
          <w:rFonts w:ascii="Arial" w:cs="Arial" w:eastAsia="Arial" w:hAnsi="Arial"/>
          <w:color w:val="1A1A2E"/>
          <w:sz w:val="22"/>
          <w:szCs w:val="22"/>
        </w:rPr>
        <w:t xml:space="preserve">Each tokenized property operates under an independent legal entity (SAS or trust)</w:t>
      </w:r>
    </w:p>
    <w:p>
      <w:pPr>
        <w:pStyle w:val="ListParagraph"/>
        <w:numPr>
          <w:ilvl w:val="0"/>
          <w:numId w:val="2"/>
        </w:numPr>
        <w:spacing w:before="60" w:after="60"/>
      </w:pPr>
      <w:r>
        <w:rPr>
          <w:rFonts w:ascii="Arial" w:cs="Arial" w:eastAsia="Arial" w:hAnsi="Arial"/>
          <w:color w:val="1A1A2E"/>
          <w:sz w:val="22"/>
          <w:szCs w:val="22"/>
        </w:rPr>
        <w:t xml:space="preserve">Investors sign a participation agreement detailing rights, returns, and exit conditions</w:t>
      </w:r>
    </w:p>
    <w:p>
      <w:pPr>
        <w:pStyle w:val="ListParagraph"/>
        <w:numPr>
          <w:ilvl w:val="0"/>
          <w:numId w:val="2"/>
        </w:numPr>
        <w:spacing w:before="60" w:after="60"/>
      </w:pPr>
      <w:r>
        <w:rPr>
          <w:rFonts w:ascii="Arial" w:cs="Arial" w:eastAsia="Arial" w:hAnsi="Arial"/>
          <w:color w:val="1A1A2E"/>
          <w:sz w:val="22"/>
          <w:szCs w:val="22"/>
        </w:rPr>
        <w:t xml:space="preserve">Systemex acts as administrator and trustee of assets under management</w:t>
      </w:r>
    </w:p>
    <w:p>
      <w:pPr>
        <w:pStyle w:val="ListParagraph"/>
        <w:numPr>
          <w:ilvl w:val="0"/>
          <w:numId w:val="2"/>
        </w:numPr>
        <w:spacing w:before="60" w:after="60"/>
      </w:pPr>
      <w:r>
        <w:rPr>
          <w:rFonts w:ascii="Arial" w:cs="Arial" w:eastAsia="Arial" w:hAnsi="Arial"/>
          <w:color w:val="1A1A2E"/>
          <w:sz w:val="22"/>
          <w:szCs w:val="22"/>
        </w:rPr>
        <w:t xml:space="preserve">Contracts establish exit mechanisms: asset sale, buyback, or token transfer</w:t>
      </w:r>
    </w:p>
    <w:p>
      <w:pPr>
        <w:spacing w:before="0" w:after="0"/>
      </w:pPr>
      <w:r>
        <w:rPr>
          <w:sz w:val="44"/>
          <w:szCs w:val="44"/>
        </w:rPr>
        <w:t xml:space="preserve"/>
      </w:r>
    </w:p>
    <w:p>
      <w:pPr>
        <w:pStyle w:val="Heading2"/>
        <w:spacing w:before="300" w:after="160"/>
      </w:pPr>
      <w:r>
        <w:rPr>
          <w:rFonts w:ascii="Arial" w:cs="Arial" w:eastAsia="Arial" w:hAnsi="Arial"/>
          <w:b/>
          <w:bCs/>
          <w:color w:val="2E75B6"/>
          <w:sz w:val="28"/>
          <w:szCs w:val="28"/>
        </w:rPr>
        <w:t xml:space="preserve">7.2 Disclaimer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E3" w:sz="1"/>
              <w:left w:val="single" w:color="D0D7E3" w:sz="1"/>
              <w:bottom w:val="single" w:color="D0D7E3" w:sz="1"/>
              <w:right w:val="single" w:color="D0D7E3" w:sz="1"/>
            </w:tcBorders>
            <w:shd w:fill="FFF3CD" w:val="clear"/>
            <w:tcMar>
              <w:top w:type="dxa" w:w="160"/>
              <w:left w:type="dxa" w:w="240"/>
              <w:bottom w:type="dxa" w:w="160"/>
              <w:right w:type="dxa" w:w="240"/>
            </w:tcMar>
          </w:tcPr>
          <w:p>
            <w:pPr>
              <w:spacing w:before="60" w:after="80"/>
            </w:pPr>
            <w:r>
              <w:rPr>
                <w:rFonts w:ascii="Arial" w:cs="Arial" w:eastAsia="Arial" w:hAnsi="Arial"/>
                <w:b/>
                <w:bCs/>
                <w:color w:val="1A3C6E"/>
                <w:sz w:val="24"/>
                <w:szCs w:val="24"/>
              </w:rPr>
              <w:t xml:space="preserve">Important Legal Notice</w:t>
            </w:r>
          </w:p>
          <w:p>
            <w:pPr>
              <w:spacing w:before="40" w:after="40"/>
            </w:pPr>
            <w:r>
              <w:rPr>
                <w:rFonts w:ascii="Arial" w:cs="Arial" w:eastAsia="Arial" w:hAnsi="Arial"/>
                <w:color w:val="1A1A2E"/>
                <w:sz w:val="22"/>
                <w:szCs w:val="22"/>
              </w:rPr>
              <w:t xml:space="preserve">This whitepaper is informational in nature and does not constitute a public offering of securities or an invitation to invest under any legislation. The acquisition of SYSTEMEX tokens involves risks that each investor must independently evaluate.</w:t>
            </w:r>
          </w:p>
          <w:p>
            <w:pPr>
              <w:spacing w:before="40" w:after="40"/>
            </w:pPr>
            <w:r>
              <w:rPr>
                <w:rFonts w:ascii="Arial" w:cs="Arial" w:eastAsia="Arial" w:hAnsi="Arial"/>
                <w:color w:val="1A1A2E"/>
                <w:sz w:val="22"/>
                <w:szCs w:val="22"/>
              </w:rPr>
              <w:t xml:space="preserve">Projected returns are estimates based on current market conditions and do not guarantee future results. Investing in crypto assets carries the risk of total capital loss.</w:t>
            </w:r>
          </w:p>
          <w:p>
            <w:pPr>
              <w:spacing w:before="40" w:after="40"/>
            </w:pPr>
            <w:r>
              <w:rPr>
                <w:rFonts w:ascii="Arial" w:cs="Arial" w:eastAsia="Arial" w:hAnsi="Arial"/>
                <w:color w:val="1A1A2E"/>
                <w:sz w:val="22"/>
                <w:szCs w:val="22"/>
              </w:rPr>
              <w:t xml:space="preserve">It is recommended to consult with qualified legal and financial advisors before making investment decisions.</w:t>
            </w:r>
          </w:p>
        </w:tc>
      </w:tr>
    </w:tbl>
    <w:p>
      <w:pPr>
        <w:spacing w:before="0" w:after="0"/>
      </w:pPr>
      <w:r>
        <w:rPr>
          <w:sz w:val="44"/>
          <w:szCs w:val="44"/>
        </w:rPr>
        <w:t xml:space="preserve"/>
      </w:r>
    </w:p>
    <w:p>
      <w:r>
        <w:br w:type="page"/>
      </w:r>
    </w:p>
    <w:p>
      <w:pPr>
        <w:pStyle w:val="Heading1"/>
        <w:spacing w:before="400" w:after="200"/>
      </w:pPr>
      <w:r>
        <w:rPr>
          <w:rFonts w:ascii="Arial" w:cs="Arial" w:eastAsia="Arial" w:hAnsi="Arial"/>
          <w:b/>
          <w:bCs/>
          <w:color w:val="1A3C6E"/>
          <w:sz w:val="36"/>
          <w:szCs w:val="36"/>
        </w:rPr>
        <w:t xml:space="preserve">8. Roadmap</w:t>
      </w:r>
    </w:p>
    <w:p>
      <w:pPr>
        <w:pBdr>
          <w:bottom w:val="single" w:color="2E75B6" w:sz="4" w:space="1"/>
        </w:pBdr>
        <w:spacing w:before="200"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800"/>
        <w:gridCol w:w="4680"/>
        <w:gridCol w:w="1320"/>
      </w:tblGrid>
      <w:tr>
        <w:tc>
          <w:tcPr>
            <w:tcW w:type="dxa" w:w="1560"/>
            <w:tcBorders>
              <w:top w:val="single" w:color="D0D7E3" w:sz="1"/>
              <w:left w:val="single" w:color="D0D7E3" w:sz="1"/>
              <w:bottom w:val="single" w:color="D0D7E3" w:sz="1"/>
              <w:right w:val="single" w:color="D0D7E3" w:sz="1"/>
            </w:tcBorders>
            <w:shd w:fill="1A3C6E" w:val="clear"/>
            <w:tcMar>
              <w:top w:type="dxa" w:w="100"/>
              <w:left w:type="dxa" w:w="140"/>
              <w:bottom w:type="dxa" w:w="100"/>
              <w:right w:type="dxa" w:w="140"/>
            </w:tcMar>
          </w:tcPr>
          <w:p>
            <w:r>
              <w:rPr>
                <w:rFonts w:ascii="Arial" w:cs="Arial" w:eastAsia="Arial" w:hAnsi="Arial"/>
                <w:b/>
                <w:bCs/>
                <w:color w:val="FFFFFF"/>
                <w:sz w:val="20"/>
                <w:szCs w:val="20"/>
              </w:rPr>
              <w:t xml:space="preserve">Phase</w:t>
            </w:r>
          </w:p>
        </w:tc>
        <w:tc>
          <w:tcPr>
            <w:tcW w:type="dxa" w:w="1800"/>
            <w:tcBorders>
              <w:top w:val="single" w:color="D0D7E3" w:sz="1"/>
              <w:left w:val="single" w:color="D0D7E3" w:sz="1"/>
              <w:bottom w:val="single" w:color="D0D7E3" w:sz="1"/>
              <w:right w:val="single" w:color="D0D7E3" w:sz="1"/>
            </w:tcBorders>
            <w:shd w:fill="1A3C6E" w:val="clear"/>
            <w:tcMar>
              <w:top w:type="dxa" w:w="100"/>
              <w:left w:type="dxa" w:w="140"/>
              <w:bottom w:type="dxa" w:w="100"/>
              <w:right w:type="dxa" w:w="140"/>
            </w:tcMar>
          </w:tcPr>
          <w:p>
            <w:r>
              <w:rPr>
                <w:rFonts w:ascii="Arial" w:cs="Arial" w:eastAsia="Arial" w:hAnsi="Arial"/>
                <w:b/>
                <w:bCs/>
                <w:color w:val="FFFFFF"/>
                <w:sz w:val="20"/>
                <w:szCs w:val="20"/>
              </w:rPr>
              <w:t xml:space="preserve">Period</w:t>
            </w:r>
          </w:p>
        </w:tc>
        <w:tc>
          <w:tcPr>
            <w:tcW w:type="dxa" w:w="4680"/>
            <w:tcBorders>
              <w:top w:val="single" w:color="D0D7E3" w:sz="1"/>
              <w:left w:val="single" w:color="D0D7E3" w:sz="1"/>
              <w:bottom w:val="single" w:color="D0D7E3" w:sz="1"/>
              <w:right w:val="single" w:color="D0D7E3" w:sz="1"/>
            </w:tcBorders>
            <w:shd w:fill="1A3C6E" w:val="clear"/>
            <w:tcMar>
              <w:top w:type="dxa" w:w="100"/>
              <w:left w:type="dxa" w:w="140"/>
              <w:bottom w:type="dxa" w:w="100"/>
              <w:right w:type="dxa" w:w="140"/>
            </w:tcMar>
          </w:tcPr>
          <w:p>
            <w:r>
              <w:rPr>
                <w:rFonts w:ascii="Arial" w:cs="Arial" w:eastAsia="Arial" w:hAnsi="Arial"/>
                <w:b/>
                <w:bCs/>
                <w:color w:val="FFFFFF"/>
                <w:sz w:val="20"/>
                <w:szCs w:val="20"/>
              </w:rPr>
              <w:t xml:space="preserve">Milestones</w:t>
            </w:r>
          </w:p>
        </w:tc>
        <w:tc>
          <w:tcPr>
            <w:tcW w:type="dxa" w:w="1320"/>
            <w:tcBorders>
              <w:top w:val="single" w:color="D0D7E3" w:sz="1"/>
              <w:left w:val="single" w:color="D0D7E3" w:sz="1"/>
              <w:bottom w:val="single" w:color="D0D7E3" w:sz="1"/>
              <w:right w:val="single" w:color="D0D7E3" w:sz="1"/>
            </w:tcBorders>
            <w:shd w:fill="1A3C6E" w:val="clear"/>
            <w:tcMar>
              <w:top w:type="dxa" w:w="100"/>
              <w:left w:type="dxa" w:w="140"/>
              <w:bottom w:type="dxa" w:w="100"/>
              <w:right w:type="dxa" w:w="140"/>
            </w:tcMar>
          </w:tcPr>
          <w:p>
            <w:r>
              <w:rPr>
                <w:rFonts w:ascii="Arial" w:cs="Arial" w:eastAsia="Arial" w:hAnsi="Arial"/>
                <w:b/>
                <w:bCs/>
                <w:color w:val="FFFFFF"/>
                <w:sz w:val="20"/>
                <w:szCs w:val="20"/>
              </w:rPr>
              <w:t xml:space="preserve">Status</w:t>
            </w:r>
          </w:p>
        </w:tc>
      </w:tr>
      <w:tr>
        <w:tc>
          <w:tcPr>
            <w:tcW w:type="dxa" w:w="156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Phase 0
Foundations</w:t>
            </w:r>
          </w:p>
        </w:tc>
        <w:tc>
          <w:tcPr>
            <w:tcW w:type="dxa" w:w="180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Q1 2026
(Current)</w:t>
            </w:r>
          </w:p>
        </w:tc>
        <w:tc>
          <w:tcPr>
            <w:tcW w:type="dxa" w:w="468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Token deployed on mainnet · Metaplex metadata configured · Whitepaper published · Initial community</w:t>
            </w:r>
          </w:p>
        </w:tc>
        <w:tc>
          <w:tcPr>
            <w:tcW w:type="dxa" w:w="132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In progress</w:t>
            </w:r>
          </w:p>
        </w:tc>
      </w:tr>
      <w:tr>
        <w:tc>
          <w:tcPr>
            <w:tcW w:type="dxa" w:w="1560"/>
            <w:tcBorders>
              <w:top w:val="single" w:color="D0D7E3" w:sz="1"/>
              <w:left w:val="single" w:color="D0D7E3" w:sz="1"/>
              <w:bottom w:val="single" w:color="D0D7E3" w:sz="1"/>
              <w:right w:val="single" w:color="D0D7E3" w:sz="1"/>
            </w:tcBorders>
            <w:shd w:fill="F2F4F7" w:val="clear"/>
            <w:tcMar>
              <w:top w:type="dxa" w:w="80"/>
              <w:left w:type="dxa" w:w="140"/>
              <w:bottom w:type="dxa" w:w="80"/>
              <w:right w:type="dxa" w:w="140"/>
            </w:tcMar>
          </w:tcPr>
          <w:p>
            <w:r>
              <w:rPr>
                <w:rFonts w:ascii="Arial" w:cs="Arial" w:eastAsia="Arial" w:hAnsi="Arial"/>
                <w:color w:val="1A1A2E"/>
                <w:sz w:val="20"/>
                <w:szCs w:val="20"/>
              </w:rPr>
              <w:t xml:space="preserve">Phase 1
Launch</w:t>
            </w:r>
          </w:p>
        </w:tc>
        <w:tc>
          <w:tcPr>
            <w:tcW w:type="dxa" w:w="1800"/>
            <w:tcBorders>
              <w:top w:val="single" w:color="D0D7E3" w:sz="1"/>
              <w:left w:val="single" w:color="D0D7E3" w:sz="1"/>
              <w:bottom w:val="single" w:color="D0D7E3" w:sz="1"/>
              <w:right w:val="single" w:color="D0D7E3" w:sz="1"/>
            </w:tcBorders>
            <w:shd w:fill="F2F4F7" w:val="clear"/>
            <w:tcMar>
              <w:top w:type="dxa" w:w="80"/>
              <w:left w:type="dxa" w:w="140"/>
              <w:bottom w:type="dxa" w:w="80"/>
              <w:right w:type="dxa" w:w="140"/>
            </w:tcMar>
          </w:tcPr>
          <w:p>
            <w:r>
              <w:rPr>
                <w:rFonts w:ascii="Arial" w:cs="Arial" w:eastAsia="Arial" w:hAnsi="Arial"/>
                <w:color w:val="1A1A2E"/>
                <w:sz w:val="20"/>
                <w:szCs w:val="20"/>
              </w:rPr>
              <w:t xml:space="preserve">Q1-Q2 2026</w:t>
            </w:r>
          </w:p>
        </w:tc>
        <w:tc>
          <w:tcPr>
            <w:tcW w:type="dxa" w:w="4680"/>
            <w:tcBorders>
              <w:top w:val="single" w:color="D0D7E3" w:sz="1"/>
              <w:left w:val="single" w:color="D0D7E3" w:sz="1"/>
              <w:bottom w:val="single" w:color="D0D7E3" w:sz="1"/>
              <w:right w:val="single" w:color="D0D7E3" w:sz="1"/>
            </w:tcBorders>
            <w:shd w:fill="F2F4F7" w:val="clear"/>
            <w:tcMar>
              <w:top w:type="dxa" w:w="80"/>
              <w:left w:type="dxa" w:w="140"/>
              <w:bottom w:type="dxa" w:w="80"/>
              <w:right w:type="dxa" w:w="140"/>
            </w:tcMar>
          </w:tcPr>
          <w:p>
            <w:r>
              <w:rPr>
                <w:rFonts w:ascii="Arial" w:cs="Arial" w:eastAsia="Arial" w:hAnsi="Arial"/>
                <w:color w:val="1A1A2E"/>
                <w:sz w:val="20"/>
                <w:szCs w:val="20"/>
              </w:rPr>
              <w:t xml:space="preserve">Raydium liquidity pool · Jupiter listing · systemex.com.ar landing · Private presale · First tokenized property</w:t>
            </w:r>
          </w:p>
        </w:tc>
        <w:tc>
          <w:tcPr>
            <w:tcW w:type="dxa" w:w="1320"/>
            <w:tcBorders>
              <w:top w:val="single" w:color="D0D7E3" w:sz="1"/>
              <w:left w:val="single" w:color="D0D7E3" w:sz="1"/>
              <w:bottom w:val="single" w:color="D0D7E3" w:sz="1"/>
              <w:right w:val="single" w:color="D0D7E3" w:sz="1"/>
            </w:tcBorders>
            <w:shd w:fill="F2F4F7" w:val="clear"/>
            <w:tcMar>
              <w:top w:type="dxa" w:w="80"/>
              <w:left w:type="dxa" w:w="140"/>
              <w:bottom w:type="dxa" w:w="80"/>
              <w:right w:type="dxa" w:w="140"/>
            </w:tcMar>
          </w:tcPr>
          <w:p>
            <w:r>
              <w:rPr>
                <w:rFonts w:ascii="Arial" w:cs="Arial" w:eastAsia="Arial" w:hAnsi="Arial"/>
                <w:color w:val="1A1A2E"/>
                <w:sz w:val="20"/>
                <w:szCs w:val="20"/>
              </w:rPr>
              <w:t xml:space="preserve">Next</w:t>
            </w:r>
          </w:p>
        </w:tc>
      </w:tr>
      <w:tr>
        <w:tc>
          <w:tcPr>
            <w:tcW w:type="dxa" w:w="156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Phase 2
Growth</w:t>
            </w:r>
          </w:p>
        </w:tc>
        <w:tc>
          <w:tcPr>
            <w:tcW w:type="dxa" w:w="180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Q2-Q3 2026</w:t>
            </w:r>
          </w:p>
        </w:tc>
        <w:tc>
          <w:tcPr>
            <w:tcW w:type="dxa" w:w="468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5+ tokenized properties · Live course platform · Integrated e-commerce · CoinGecko / CMC listing</w:t>
            </w:r>
          </w:p>
        </w:tc>
        <w:tc>
          <w:tcPr>
            <w:tcW w:type="dxa" w:w="132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Planned</w:t>
            </w:r>
          </w:p>
        </w:tc>
      </w:tr>
      <w:tr>
        <w:tc>
          <w:tcPr>
            <w:tcW w:type="dxa" w:w="1560"/>
            <w:tcBorders>
              <w:top w:val="single" w:color="D0D7E3" w:sz="1"/>
              <w:left w:val="single" w:color="D0D7E3" w:sz="1"/>
              <w:bottom w:val="single" w:color="D0D7E3" w:sz="1"/>
              <w:right w:val="single" w:color="D0D7E3" w:sz="1"/>
            </w:tcBorders>
            <w:shd w:fill="F2F4F7" w:val="clear"/>
            <w:tcMar>
              <w:top w:type="dxa" w:w="80"/>
              <w:left w:type="dxa" w:w="140"/>
              <w:bottom w:type="dxa" w:w="80"/>
              <w:right w:type="dxa" w:w="140"/>
            </w:tcMar>
          </w:tcPr>
          <w:p>
            <w:r>
              <w:rPr>
                <w:rFonts w:ascii="Arial" w:cs="Arial" w:eastAsia="Arial" w:hAnsi="Arial"/>
                <w:color w:val="1A1A2E"/>
                <w:sz w:val="20"/>
                <w:szCs w:val="20"/>
              </w:rPr>
              <w:t xml:space="preserve">Phase 3
Scaling</w:t>
            </w:r>
          </w:p>
        </w:tc>
        <w:tc>
          <w:tcPr>
            <w:tcW w:type="dxa" w:w="1800"/>
            <w:tcBorders>
              <w:top w:val="single" w:color="D0D7E3" w:sz="1"/>
              <w:left w:val="single" w:color="D0D7E3" w:sz="1"/>
              <w:bottom w:val="single" w:color="D0D7E3" w:sz="1"/>
              <w:right w:val="single" w:color="D0D7E3" w:sz="1"/>
            </w:tcBorders>
            <w:shd w:fill="F2F4F7" w:val="clear"/>
            <w:tcMar>
              <w:top w:type="dxa" w:w="80"/>
              <w:left w:type="dxa" w:w="140"/>
              <w:bottom w:type="dxa" w:w="80"/>
              <w:right w:type="dxa" w:w="140"/>
            </w:tcMar>
          </w:tcPr>
          <w:p>
            <w:r>
              <w:rPr>
                <w:rFonts w:ascii="Arial" w:cs="Arial" w:eastAsia="Arial" w:hAnsi="Arial"/>
                <w:color w:val="1A1A2E"/>
                <w:sz w:val="20"/>
                <w:szCs w:val="20"/>
              </w:rPr>
              <w:t xml:space="preserve">Q3-Q4 2026</w:t>
            </w:r>
          </w:p>
        </w:tc>
        <w:tc>
          <w:tcPr>
            <w:tcW w:type="dxa" w:w="4680"/>
            <w:tcBorders>
              <w:top w:val="single" w:color="D0D7E3" w:sz="1"/>
              <w:left w:val="single" w:color="D0D7E3" w:sz="1"/>
              <w:bottom w:val="single" w:color="D0D7E3" w:sz="1"/>
              <w:right w:val="single" w:color="D0D7E3" w:sz="1"/>
            </w:tcBorders>
            <w:shd w:fill="F2F4F7" w:val="clear"/>
            <w:tcMar>
              <w:top w:type="dxa" w:w="80"/>
              <w:left w:type="dxa" w:w="140"/>
              <w:bottom w:type="dxa" w:w="80"/>
              <w:right w:type="dxa" w:w="140"/>
            </w:tcMar>
          </w:tcPr>
          <w:p>
            <w:r>
              <w:rPr>
                <w:rFonts w:ascii="Arial" w:cs="Arial" w:eastAsia="Arial" w:hAnsi="Arial"/>
                <w:color w:val="1A1A2E"/>
                <w:sz w:val="20"/>
                <w:szCs w:val="20"/>
              </w:rPr>
              <w:t xml:space="preserve">10+ assets under management · Smart contract audit · Real estate partnerships · Latam expansion</w:t>
            </w:r>
          </w:p>
        </w:tc>
        <w:tc>
          <w:tcPr>
            <w:tcW w:type="dxa" w:w="1320"/>
            <w:tcBorders>
              <w:top w:val="single" w:color="D0D7E3" w:sz="1"/>
              <w:left w:val="single" w:color="D0D7E3" w:sz="1"/>
              <w:bottom w:val="single" w:color="D0D7E3" w:sz="1"/>
              <w:right w:val="single" w:color="D0D7E3" w:sz="1"/>
            </w:tcBorders>
            <w:shd w:fill="F2F4F7" w:val="clear"/>
            <w:tcMar>
              <w:top w:type="dxa" w:w="80"/>
              <w:left w:type="dxa" w:w="140"/>
              <w:bottom w:type="dxa" w:w="80"/>
              <w:right w:type="dxa" w:w="140"/>
            </w:tcMar>
          </w:tcPr>
          <w:p>
            <w:r>
              <w:rPr>
                <w:rFonts w:ascii="Arial" w:cs="Arial" w:eastAsia="Arial" w:hAnsi="Arial"/>
                <w:color w:val="1A1A2E"/>
                <w:sz w:val="20"/>
                <w:szCs w:val="20"/>
              </w:rPr>
              <w:t xml:space="preserve">Planned</w:t>
            </w:r>
          </w:p>
        </w:tc>
      </w:tr>
      <w:tr>
        <w:tc>
          <w:tcPr>
            <w:tcW w:type="dxa" w:w="156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Phase 4
Maturity</w:t>
            </w:r>
          </w:p>
        </w:tc>
        <w:tc>
          <w:tcPr>
            <w:tcW w:type="dxa" w:w="180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2027+</w:t>
            </w:r>
          </w:p>
        </w:tc>
        <w:tc>
          <w:tcPr>
            <w:tcW w:type="dxa" w:w="468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Mobile app · CNV digital integration · RWA secondary market · Real yield staking</w:t>
            </w:r>
          </w:p>
        </w:tc>
        <w:tc>
          <w:tcPr>
            <w:tcW w:type="dxa" w:w="132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Future</w:t>
            </w:r>
          </w:p>
        </w:tc>
      </w:tr>
    </w:tbl>
    <w:p>
      <w:pPr>
        <w:spacing w:before="0" w:after="0"/>
      </w:pPr>
      <w:r>
        <w:rPr>
          <w:sz w:val="44"/>
          <w:szCs w:val="44"/>
        </w:rPr>
        <w:t xml:space="preserve"/>
      </w:r>
    </w:p>
    <w:p>
      <w:r>
        <w:br w:type="page"/>
      </w:r>
    </w:p>
    <w:p>
      <w:pPr>
        <w:pStyle w:val="Heading1"/>
        <w:spacing w:before="400" w:after="200"/>
      </w:pPr>
      <w:r>
        <w:rPr>
          <w:rFonts w:ascii="Arial" w:cs="Arial" w:eastAsia="Arial" w:hAnsi="Arial"/>
          <w:b/>
          <w:bCs/>
          <w:color w:val="1A3C6E"/>
          <w:sz w:val="36"/>
          <w:szCs w:val="36"/>
        </w:rPr>
        <w:t xml:space="preserve">9. Team</w:t>
      </w:r>
    </w:p>
    <w:p>
      <w:pPr>
        <w:pBdr>
          <w:bottom w:val="single" w:color="2E75B6" w:sz="4" w:space="1"/>
        </w:pBdr>
        <w:spacing w:before="200" w:after="200"/>
      </w:pPr>
      <w:r>
        <w:t xml:space="preserve"/>
      </w:r>
    </w:p>
    <w:p>
      <w:pPr>
        <w:spacing w:before="80" w:after="80"/>
        <w:jc w:val="both"/>
      </w:pPr>
      <w:r>
        <w:rPr>
          <w:rFonts w:ascii="Arial" w:cs="Arial" w:eastAsia="Arial" w:hAnsi="Arial"/>
          <w:b w:val="false"/>
          <w:bCs w:val="false"/>
          <w:i w:val="false"/>
          <w:iCs w:val="false"/>
          <w:color w:val="1A1A2E"/>
          <w:sz w:val="22"/>
          <w:szCs w:val="22"/>
        </w:rPr>
        <w:t xml:space="preserve">Systemex is led by a team with hands-on experience in technology, automation, blockchain, and the Argentine real estate market. The combination of technical expertise and local knowledge is the project's key competitive advantage.</w:t>
      </w:r>
    </w:p>
    <w:p>
      <w:pPr>
        <w:spacing w:before="0" w:after="0"/>
      </w:pPr>
      <w:r>
        <w:rPr>
          <w:sz w:val="44"/>
          <w:szCs w:val="4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0D7E3" w:sz="1"/>
              <w:left w:val="single" w:color="D0D7E3" w:sz="1"/>
              <w:bottom w:val="single" w:color="D0D7E3" w:sz="1"/>
              <w:right w:val="single" w:color="D0D7E3" w:sz="1"/>
            </w:tcBorders>
            <w:shd w:fill="1A3C6E" w:val="clear"/>
            <w:tcMar>
              <w:top w:type="dxa" w:w="100"/>
              <w:left w:type="dxa" w:w="180"/>
              <w:bottom w:type="dxa" w:w="100"/>
              <w:right w:type="dxa" w:w="180"/>
            </w:tcMar>
          </w:tcPr>
          <w:p>
            <w:r>
              <w:rPr>
                <w:rFonts w:ascii="Arial" w:cs="Arial" w:eastAsia="Arial" w:hAnsi="Arial"/>
                <w:b/>
                <w:bCs/>
                <w:color w:val="FFFFFF"/>
                <w:sz w:val="22"/>
                <w:szCs w:val="22"/>
              </w:rPr>
              <w:t xml:space="preserve">Role</w:t>
            </w:r>
          </w:p>
        </w:tc>
        <w:tc>
          <w:tcPr>
            <w:tcW w:type="dxa" w:w="4680"/>
            <w:tcBorders>
              <w:top w:val="single" w:color="D0D7E3" w:sz="1"/>
              <w:left w:val="single" w:color="D0D7E3" w:sz="1"/>
              <w:bottom w:val="single" w:color="D0D7E3" w:sz="1"/>
              <w:right w:val="single" w:color="D0D7E3" w:sz="1"/>
            </w:tcBorders>
            <w:shd w:fill="1A3C6E" w:val="clear"/>
            <w:tcMar>
              <w:top w:type="dxa" w:w="100"/>
              <w:left w:type="dxa" w:w="180"/>
              <w:bottom w:type="dxa" w:w="100"/>
              <w:right w:type="dxa" w:w="180"/>
            </w:tcMar>
          </w:tcPr>
          <w:p>
            <w:r>
              <w:rPr>
                <w:rFonts w:ascii="Arial" w:cs="Arial" w:eastAsia="Arial" w:hAnsi="Arial"/>
                <w:b/>
                <w:bCs/>
                <w:color w:val="FFFFFF"/>
                <w:sz w:val="22"/>
                <w:szCs w:val="22"/>
              </w:rPr>
              <w:t xml:space="preserve">Responsibility</w:t>
            </w:r>
          </w:p>
        </w:tc>
      </w:tr>
      <w:tr>
        <w:tc>
          <w:tcPr>
            <w:tcW w:type="dxa" w:w="4680"/>
            <w:tcBorders>
              <w:top w:val="single" w:color="D0D7E3" w:sz="1"/>
              <w:left w:val="single" w:color="D0D7E3" w:sz="1"/>
              <w:bottom w:val="single" w:color="D0D7E3" w:sz="1"/>
              <w:right w:val="single" w:color="D0D7E3" w:sz="1"/>
            </w:tcBorders>
            <w:shd w:fill="FFFFFF" w:val="clear"/>
            <w:tcMar>
              <w:top w:type="dxa" w:w="80"/>
              <w:left w:type="dxa" w:w="180"/>
              <w:bottom w:type="dxa" w:w="80"/>
              <w:right w:type="dxa" w:w="180"/>
            </w:tcMar>
          </w:tcPr>
          <w:p>
            <w:r>
              <w:rPr>
                <w:rFonts w:ascii="Arial" w:cs="Arial" w:eastAsia="Arial" w:hAnsi="Arial"/>
                <w:color w:val="1A1A2E"/>
                <w:sz w:val="22"/>
                <w:szCs w:val="22"/>
              </w:rPr>
              <w:t xml:space="preserve">Founder &amp; CEO — Exe Andino</w:t>
            </w:r>
          </w:p>
        </w:tc>
        <w:tc>
          <w:tcPr>
            <w:tcW w:type="dxa" w:w="4680"/>
            <w:tcBorders>
              <w:top w:val="single" w:color="D0D7E3" w:sz="1"/>
              <w:left w:val="single" w:color="D0D7E3" w:sz="1"/>
              <w:bottom w:val="single" w:color="D0D7E3" w:sz="1"/>
              <w:right w:val="single" w:color="D0D7E3" w:sz="1"/>
            </w:tcBorders>
            <w:shd w:fill="FFFFFF" w:val="clear"/>
            <w:tcMar>
              <w:top w:type="dxa" w:w="80"/>
              <w:left w:type="dxa" w:w="180"/>
              <w:bottom w:type="dxa" w:w="80"/>
              <w:right w:type="dxa" w:w="180"/>
            </w:tcMar>
          </w:tcPr>
          <w:p>
            <w:r>
              <w:rPr>
                <w:rFonts w:ascii="Arial" w:cs="Arial" w:eastAsia="Arial" w:hAnsi="Arial"/>
                <w:color w:val="1A1A2E"/>
                <w:sz w:val="22"/>
                <w:szCs w:val="22"/>
              </w:rPr>
              <w:t xml:space="preserve">Strategic vision, tokenomics, investor and property owner relations, business development</w:t>
            </w:r>
          </w:p>
        </w:tc>
      </w:tr>
      <w:tr>
        <w:tc>
          <w:tcPr>
            <w:tcW w:type="dxa" w:w="4680"/>
            <w:tcBorders>
              <w:top w:val="single" w:color="D0D7E3" w:sz="1"/>
              <w:left w:val="single" w:color="D0D7E3" w:sz="1"/>
              <w:bottom w:val="single" w:color="D0D7E3" w:sz="1"/>
              <w:right w:val="single" w:color="D0D7E3" w:sz="1"/>
            </w:tcBorders>
            <w:shd w:fill="F2F4F7" w:val="clear"/>
            <w:tcMar>
              <w:top w:type="dxa" w:w="80"/>
              <w:left w:type="dxa" w:w="180"/>
              <w:bottom w:type="dxa" w:w="80"/>
              <w:right w:type="dxa" w:w="180"/>
            </w:tcMar>
          </w:tcPr>
          <w:p>
            <w:r>
              <w:rPr>
                <w:rFonts w:ascii="Arial" w:cs="Arial" w:eastAsia="Arial" w:hAnsi="Arial"/>
                <w:color w:val="1A1A2E"/>
                <w:sz w:val="22"/>
                <w:szCs w:val="22"/>
              </w:rPr>
              <w:t xml:space="preserve">Tech Lead (hiring)</w:t>
            </w:r>
          </w:p>
        </w:tc>
        <w:tc>
          <w:tcPr>
            <w:tcW w:type="dxa" w:w="4680"/>
            <w:tcBorders>
              <w:top w:val="single" w:color="D0D7E3" w:sz="1"/>
              <w:left w:val="single" w:color="D0D7E3" w:sz="1"/>
              <w:bottom w:val="single" w:color="D0D7E3" w:sz="1"/>
              <w:right w:val="single" w:color="D0D7E3" w:sz="1"/>
            </w:tcBorders>
            <w:shd w:fill="F2F4F7" w:val="clear"/>
            <w:tcMar>
              <w:top w:type="dxa" w:w="80"/>
              <w:left w:type="dxa" w:w="180"/>
              <w:bottom w:type="dxa" w:w="80"/>
              <w:right w:type="dxa" w:w="180"/>
            </w:tcMar>
          </w:tcPr>
          <w:p>
            <w:r>
              <w:rPr>
                <w:rFonts w:ascii="Arial" w:cs="Arial" w:eastAsia="Arial" w:hAnsi="Arial"/>
                <w:color w:val="1A1A2E"/>
                <w:sz w:val="22"/>
                <w:szCs w:val="22"/>
              </w:rPr>
              <w:t xml:space="preserve">Solana smart contracts, web platform development, API integration</w:t>
            </w:r>
          </w:p>
        </w:tc>
      </w:tr>
      <w:tr>
        <w:tc>
          <w:tcPr>
            <w:tcW w:type="dxa" w:w="4680"/>
            <w:tcBorders>
              <w:top w:val="single" w:color="D0D7E3" w:sz="1"/>
              <w:left w:val="single" w:color="D0D7E3" w:sz="1"/>
              <w:bottom w:val="single" w:color="D0D7E3" w:sz="1"/>
              <w:right w:val="single" w:color="D0D7E3" w:sz="1"/>
            </w:tcBorders>
            <w:shd w:fill="FFFFFF" w:val="clear"/>
            <w:tcMar>
              <w:top w:type="dxa" w:w="80"/>
              <w:left w:type="dxa" w:w="180"/>
              <w:bottom w:type="dxa" w:w="80"/>
              <w:right w:type="dxa" w:w="180"/>
            </w:tcMar>
          </w:tcPr>
          <w:p>
            <w:r>
              <w:rPr>
                <w:rFonts w:ascii="Arial" w:cs="Arial" w:eastAsia="Arial" w:hAnsi="Arial"/>
                <w:color w:val="1A1A2E"/>
                <w:sz w:val="22"/>
                <w:szCs w:val="22"/>
              </w:rPr>
              <w:t xml:space="preserve">Legal Advisor (hiring)</w:t>
            </w:r>
          </w:p>
        </w:tc>
        <w:tc>
          <w:tcPr>
            <w:tcW w:type="dxa" w:w="4680"/>
            <w:tcBorders>
              <w:top w:val="single" w:color="D0D7E3" w:sz="1"/>
              <w:left w:val="single" w:color="D0D7E3" w:sz="1"/>
              <w:bottom w:val="single" w:color="D0D7E3" w:sz="1"/>
              <w:right w:val="single" w:color="D0D7E3" w:sz="1"/>
            </w:tcBorders>
            <w:shd w:fill="FFFFFF" w:val="clear"/>
            <w:tcMar>
              <w:top w:type="dxa" w:w="80"/>
              <w:left w:type="dxa" w:w="180"/>
              <w:bottom w:type="dxa" w:w="80"/>
              <w:right w:type="dxa" w:w="180"/>
            </w:tcMar>
          </w:tcPr>
          <w:p>
            <w:r>
              <w:rPr>
                <w:rFonts w:ascii="Arial" w:cs="Arial" w:eastAsia="Arial" w:hAnsi="Arial"/>
                <w:color w:val="1A1A2E"/>
                <w:sz w:val="22"/>
                <w:szCs w:val="22"/>
              </w:rPr>
              <w:t xml:space="preserve">Trust/SAS structuring, CNV compliance, investment contracts</w:t>
            </w:r>
          </w:p>
        </w:tc>
      </w:tr>
      <w:tr>
        <w:tc>
          <w:tcPr>
            <w:tcW w:type="dxa" w:w="4680"/>
            <w:tcBorders>
              <w:top w:val="single" w:color="D0D7E3" w:sz="1"/>
              <w:left w:val="single" w:color="D0D7E3" w:sz="1"/>
              <w:bottom w:val="single" w:color="D0D7E3" w:sz="1"/>
              <w:right w:val="single" w:color="D0D7E3" w:sz="1"/>
            </w:tcBorders>
            <w:shd w:fill="F2F4F7" w:val="clear"/>
            <w:tcMar>
              <w:top w:type="dxa" w:w="80"/>
              <w:left w:type="dxa" w:w="180"/>
              <w:bottom w:type="dxa" w:w="80"/>
              <w:right w:type="dxa" w:w="180"/>
            </w:tcMar>
          </w:tcPr>
          <w:p>
            <w:r>
              <w:rPr>
                <w:rFonts w:ascii="Arial" w:cs="Arial" w:eastAsia="Arial" w:hAnsi="Arial"/>
                <w:color w:val="1A1A2E"/>
                <w:sz w:val="22"/>
                <w:szCs w:val="22"/>
              </w:rPr>
              <w:t xml:space="preserve">Community Manager (hiring)</w:t>
            </w:r>
          </w:p>
        </w:tc>
        <w:tc>
          <w:tcPr>
            <w:tcW w:type="dxa" w:w="4680"/>
            <w:tcBorders>
              <w:top w:val="single" w:color="D0D7E3" w:sz="1"/>
              <w:left w:val="single" w:color="D0D7E3" w:sz="1"/>
              <w:bottom w:val="single" w:color="D0D7E3" w:sz="1"/>
              <w:right w:val="single" w:color="D0D7E3" w:sz="1"/>
            </w:tcBorders>
            <w:shd w:fill="F2F4F7" w:val="clear"/>
            <w:tcMar>
              <w:top w:type="dxa" w:w="80"/>
              <w:left w:type="dxa" w:w="180"/>
              <w:bottom w:type="dxa" w:w="80"/>
              <w:right w:type="dxa" w:w="180"/>
            </w:tcMar>
          </w:tcPr>
          <w:p>
            <w:r>
              <w:rPr>
                <w:rFonts w:ascii="Arial" w:cs="Arial" w:eastAsia="Arial" w:hAnsi="Arial"/>
                <w:color w:val="1A1A2E"/>
                <w:sz w:val="22"/>
                <w:szCs w:val="22"/>
              </w:rPr>
              <w:t xml:space="preserve">Telegram/Discord community management, marketing, content</w:t>
            </w:r>
          </w:p>
        </w:tc>
      </w:tr>
    </w:tbl>
    <w:p>
      <w:pPr>
        <w:spacing w:before="0" w:after="0"/>
      </w:pPr>
      <w:r>
        <w:rPr>
          <w:sz w:val="44"/>
          <w:szCs w:val="44"/>
        </w:rPr>
        <w:t xml:space="preserve"/>
      </w:r>
    </w:p>
    <w:p>
      <w:pPr>
        <w:spacing w:before="80" w:after="80"/>
        <w:jc w:val="both"/>
      </w:pPr>
      <w:r>
        <w:rPr>
          <w:rFonts w:ascii="Arial" w:cs="Arial" w:eastAsia="Arial" w:hAnsi="Arial"/>
          <w:b w:val="false"/>
          <w:bCs w:val="false"/>
          <w:i/>
          <w:iCs/>
          <w:color w:val="1A1A2E"/>
          <w:sz w:val="22"/>
          <w:szCs w:val="22"/>
        </w:rPr>
        <w:t xml:space="preserve">The team is in the process of onboarding the technical and legal roles needed for the launch phase. Profiles with proven experience in Solana, DeFi, and Argentine capital markets law are prioritized.</w:t>
      </w:r>
    </w:p>
    <w:p>
      <w:pPr>
        <w:spacing w:before="0" w:after="0"/>
      </w:pPr>
      <w:r>
        <w:rPr>
          <w:sz w:val="44"/>
          <w:szCs w:val="44"/>
        </w:rPr>
        <w:t xml:space="preserve"/>
      </w:r>
    </w:p>
    <w:p>
      <w:r>
        <w:br w:type="page"/>
      </w:r>
    </w:p>
    <w:p>
      <w:pPr>
        <w:pStyle w:val="Heading1"/>
        <w:spacing w:before="400" w:after="200"/>
      </w:pPr>
      <w:r>
        <w:rPr>
          <w:rFonts w:ascii="Arial" w:cs="Arial" w:eastAsia="Arial" w:hAnsi="Arial"/>
          <w:b/>
          <w:bCs/>
          <w:color w:val="1A3C6E"/>
          <w:sz w:val="36"/>
          <w:szCs w:val="36"/>
        </w:rPr>
        <w:t xml:space="preserve">10. How to Participate</w:t>
      </w:r>
    </w:p>
    <w:p>
      <w:pPr>
        <w:pBdr>
          <w:bottom w:val="single" w:color="2E75B6" w:sz="4" w:space="1"/>
        </w:pBdr>
        <w:spacing w:before="200" w:after="200"/>
      </w:pPr>
      <w:r>
        <w:t xml:space="preserve"/>
      </w:r>
    </w:p>
    <w:p>
      <w:pPr>
        <w:pStyle w:val="Heading2"/>
        <w:spacing w:before="300" w:after="160"/>
      </w:pPr>
      <w:r>
        <w:rPr>
          <w:rFonts w:ascii="Arial" w:cs="Arial" w:eastAsia="Arial" w:hAnsi="Arial"/>
          <w:b/>
          <w:bCs/>
          <w:color w:val="2E75B6"/>
          <w:sz w:val="28"/>
          <w:szCs w:val="28"/>
        </w:rPr>
        <w:t xml:space="preserve">10.1 Private Presale (Seed Round)</w:t>
      </w:r>
    </w:p>
    <w:p>
      <w:pPr>
        <w:pStyle w:val="ListParagraph"/>
        <w:numPr>
          <w:ilvl w:val="0"/>
          <w:numId w:val="2"/>
        </w:numPr>
        <w:spacing w:before="60" w:after="60"/>
      </w:pPr>
      <w:r>
        <w:rPr>
          <w:rFonts w:ascii="Arial" w:cs="Arial" w:eastAsia="Arial" w:hAnsi="Arial"/>
          <w:color w:val="1A1A2E"/>
          <w:sz w:val="22"/>
          <w:szCs w:val="22"/>
        </w:rPr>
        <w:t xml:space="preserve">Price: USD 0.00005 per SYSTEMEX (50% discount on listing price)</w:t>
      </w:r>
    </w:p>
    <w:p>
      <w:pPr>
        <w:pStyle w:val="ListParagraph"/>
        <w:numPr>
          <w:ilvl w:val="0"/>
          <w:numId w:val="2"/>
        </w:numPr>
        <w:spacing w:before="60" w:after="60"/>
      </w:pPr>
      <w:r>
        <w:rPr>
          <w:rFonts w:ascii="Arial" w:cs="Arial" w:eastAsia="Arial" w:hAnsi="Arial"/>
          <w:color w:val="1A1A2E"/>
          <w:sz w:val="22"/>
          <w:szCs w:val="22"/>
        </w:rPr>
        <w:t xml:space="preserve">Minimum investment: USD 500</w:t>
      </w:r>
    </w:p>
    <w:p>
      <w:pPr>
        <w:pStyle w:val="ListParagraph"/>
        <w:numPr>
          <w:ilvl w:val="0"/>
          <w:numId w:val="2"/>
        </w:numPr>
        <w:spacing w:before="60" w:after="60"/>
      </w:pPr>
      <w:r>
        <w:rPr>
          <w:rFonts w:ascii="Arial" w:cs="Arial" w:eastAsia="Arial" w:hAnsi="Arial"/>
          <w:color w:val="1A1A2E"/>
          <w:sz w:val="22"/>
          <w:szCs w:val="22"/>
        </w:rPr>
        <w:t xml:space="preserve">Maximum per investor: USD 10,000 (for broad distribution)</w:t>
      </w:r>
    </w:p>
    <w:p>
      <w:pPr>
        <w:pStyle w:val="ListParagraph"/>
        <w:numPr>
          <w:ilvl w:val="0"/>
          <w:numId w:val="2"/>
        </w:numPr>
        <w:spacing w:before="60" w:after="60"/>
      </w:pPr>
      <w:r>
        <w:rPr>
          <w:rFonts w:ascii="Arial" w:cs="Arial" w:eastAsia="Arial" w:hAnsi="Arial"/>
          <w:color w:val="1A1A2E"/>
          <w:sz w:val="22"/>
          <w:szCs w:val="22"/>
        </w:rPr>
        <w:t xml:space="preserve">Vesting: 1-month cliff + 6-month linear release</w:t>
      </w:r>
    </w:p>
    <w:p>
      <w:pPr>
        <w:pStyle w:val="ListParagraph"/>
        <w:numPr>
          <w:ilvl w:val="0"/>
          <w:numId w:val="2"/>
        </w:numPr>
        <w:spacing w:before="60" w:after="60"/>
      </w:pPr>
      <w:r>
        <w:rPr>
          <w:rFonts w:ascii="Arial" w:cs="Arial" w:eastAsia="Arial" w:hAnsi="Arial"/>
          <w:color w:val="1A1A2E"/>
          <w:sz w:val="22"/>
          <w:szCs w:val="22"/>
        </w:rPr>
        <w:t xml:space="preserve">Contact: systemex.com.ar or directly via X @ExeAndino</w:t>
      </w:r>
    </w:p>
    <w:p>
      <w:pPr>
        <w:spacing w:before="0" w:after="0"/>
      </w:pPr>
      <w:r>
        <w:rPr>
          <w:sz w:val="44"/>
          <w:szCs w:val="44"/>
        </w:rPr>
        <w:t xml:space="preserve"/>
      </w:r>
    </w:p>
    <w:p>
      <w:pPr>
        <w:pStyle w:val="Heading2"/>
        <w:spacing w:before="300" w:after="160"/>
      </w:pPr>
      <w:r>
        <w:rPr>
          <w:rFonts w:ascii="Arial" w:cs="Arial" w:eastAsia="Arial" w:hAnsi="Arial"/>
          <w:b/>
          <w:bCs/>
          <w:color w:val="2E75B6"/>
          <w:sz w:val="28"/>
          <w:szCs w:val="28"/>
        </w:rPr>
        <w:t xml:space="preserve">10.2 Public IDO</w:t>
      </w:r>
    </w:p>
    <w:p>
      <w:pPr>
        <w:pStyle w:val="ListParagraph"/>
        <w:numPr>
          <w:ilvl w:val="0"/>
          <w:numId w:val="2"/>
        </w:numPr>
        <w:spacing w:before="60" w:after="60"/>
      </w:pPr>
      <w:r>
        <w:rPr>
          <w:rFonts w:ascii="Arial" w:cs="Arial" w:eastAsia="Arial" w:hAnsi="Arial"/>
          <w:color w:val="1A1A2E"/>
          <w:sz w:val="22"/>
          <w:szCs w:val="22"/>
        </w:rPr>
        <w:t xml:space="preserve">Price: USD 0.00008 per SYSTEMEX</w:t>
      </w:r>
    </w:p>
    <w:p>
      <w:pPr>
        <w:pStyle w:val="ListParagraph"/>
        <w:numPr>
          <w:ilvl w:val="0"/>
          <w:numId w:val="2"/>
        </w:numPr>
        <w:spacing w:before="60" w:after="60"/>
      </w:pPr>
      <w:r>
        <w:rPr>
          <w:rFonts w:ascii="Arial" w:cs="Arial" w:eastAsia="Arial" w:hAnsi="Arial"/>
          <w:color w:val="1A1A2E"/>
          <w:sz w:val="22"/>
          <w:szCs w:val="22"/>
        </w:rPr>
        <w:t xml:space="preserve">Platform: Raydium / form at systemex.com.ar</w:t>
      </w:r>
    </w:p>
    <w:p>
      <w:pPr>
        <w:pStyle w:val="ListParagraph"/>
        <w:numPr>
          <w:ilvl w:val="0"/>
          <w:numId w:val="2"/>
        </w:numPr>
        <w:spacing w:before="60" w:after="60"/>
      </w:pPr>
      <w:r>
        <w:rPr>
          <w:rFonts w:ascii="Arial" w:cs="Arial" w:eastAsia="Arial" w:hAnsi="Arial"/>
          <w:color w:val="1A1A2E"/>
          <w:sz w:val="22"/>
          <w:szCs w:val="22"/>
        </w:rPr>
        <w:t xml:space="preserve">No minimum investment</w:t>
      </w:r>
    </w:p>
    <w:p>
      <w:pPr>
        <w:pStyle w:val="ListParagraph"/>
        <w:numPr>
          <w:ilvl w:val="0"/>
          <w:numId w:val="2"/>
        </w:numPr>
        <w:spacing w:before="60" w:after="60"/>
      </w:pPr>
      <w:r>
        <w:rPr>
          <w:rFonts w:ascii="Arial" w:cs="Arial" w:eastAsia="Arial" w:hAnsi="Arial"/>
          <w:color w:val="1A1A2E"/>
          <w:sz w:val="22"/>
          <w:szCs w:val="22"/>
        </w:rPr>
        <w:t xml:space="preserve">Vesting: 3-month linear release</w:t>
      </w:r>
    </w:p>
    <w:p>
      <w:pPr>
        <w:spacing w:before="0" w:after="0"/>
      </w:pPr>
      <w:r>
        <w:rPr>
          <w:sz w:val="44"/>
          <w:szCs w:val="44"/>
        </w:rPr>
        <w:t xml:space="preserve"/>
      </w:r>
    </w:p>
    <w:p>
      <w:pPr>
        <w:pStyle w:val="Heading2"/>
        <w:spacing w:before="300" w:after="160"/>
      </w:pPr>
      <w:r>
        <w:rPr>
          <w:rFonts w:ascii="Arial" w:cs="Arial" w:eastAsia="Arial" w:hAnsi="Arial"/>
          <w:b/>
          <w:bCs/>
          <w:color w:val="2E75B6"/>
          <w:sz w:val="28"/>
          <w:szCs w:val="28"/>
        </w:rPr>
        <w:t xml:space="preserve">10.3 DEX Trading (Post-Listing)</w:t>
      </w:r>
    </w:p>
    <w:p>
      <w:pPr>
        <w:pStyle w:val="ListParagraph"/>
        <w:numPr>
          <w:ilvl w:val="0"/>
          <w:numId w:val="2"/>
        </w:numPr>
        <w:spacing w:before="60" w:after="60"/>
      </w:pPr>
      <w:r>
        <w:rPr>
          <w:rFonts w:ascii="Arial" w:cs="Arial" w:eastAsia="Arial" w:hAnsi="Arial"/>
          <w:color w:val="1A1A2E"/>
          <w:sz w:val="22"/>
          <w:szCs w:val="22"/>
        </w:rPr>
        <w:t xml:space="preserve">Exchange: Raydium (SOL/SYSTEMEX pool)</w:t>
      </w:r>
    </w:p>
    <w:p>
      <w:pPr>
        <w:pStyle w:val="ListParagraph"/>
        <w:numPr>
          <w:ilvl w:val="0"/>
          <w:numId w:val="2"/>
        </w:numPr>
        <w:spacing w:before="60" w:after="60"/>
      </w:pPr>
      <w:r>
        <w:rPr>
          <w:rFonts w:ascii="Arial" w:cs="Arial" w:eastAsia="Arial" w:hAnsi="Arial"/>
          <w:color w:val="1A1A2E"/>
          <w:sz w:val="22"/>
          <w:szCs w:val="22"/>
        </w:rPr>
        <w:t xml:space="preserve">Mint address: FhhS9QQX5t7JEFHg5Egqq8YNU23NJpQdrSyUTMejwGqt</w:t>
      </w:r>
    </w:p>
    <w:p>
      <w:pPr>
        <w:pStyle w:val="ListParagraph"/>
        <w:numPr>
          <w:ilvl w:val="0"/>
          <w:numId w:val="2"/>
        </w:numPr>
        <w:spacing w:before="60" w:after="60"/>
      </w:pPr>
      <w:r>
        <w:rPr>
          <w:rFonts w:ascii="Arial" w:cs="Arial" w:eastAsia="Arial" w:hAnsi="Arial"/>
          <w:color w:val="1A1A2E"/>
          <w:sz w:val="22"/>
          <w:szCs w:val="22"/>
        </w:rPr>
        <w:t xml:space="preserve">Compatible wallets: Phantom, Solflare, Backpack</w:t>
      </w:r>
    </w:p>
    <w:p>
      <w:pPr>
        <w:pStyle w:val="ListParagraph"/>
        <w:numPr>
          <w:ilvl w:val="0"/>
          <w:numId w:val="2"/>
        </w:numPr>
        <w:spacing w:before="60" w:after="60"/>
      </w:pPr>
      <w:r>
        <w:rPr>
          <w:rFonts w:ascii="Arial" w:cs="Arial" w:eastAsia="Arial" w:hAnsi="Arial"/>
          <w:color w:val="1A1A2E"/>
          <w:sz w:val="22"/>
          <w:szCs w:val="22"/>
        </w:rPr>
        <w:t xml:space="preserve">Also available on Jupiter Swap post-indexing</w:t>
      </w:r>
    </w:p>
    <w:p>
      <w:pPr>
        <w:spacing w:before="0" w:after="0"/>
      </w:pPr>
      <w:r>
        <w:rPr>
          <w:sz w:val="44"/>
          <w:szCs w:val="44"/>
        </w:rPr>
        <w:t xml:space="preserve"/>
      </w:r>
    </w:p>
    <w:p>
      <w:pPr>
        <w:pStyle w:val="Heading2"/>
        <w:spacing w:before="300" w:after="160"/>
      </w:pPr>
      <w:r>
        <w:rPr>
          <w:rFonts w:ascii="Arial" w:cs="Arial" w:eastAsia="Arial" w:hAnsi="Arial"/>
          <w:b/>
          <w:bCs/>
          <w:color w:val="2E75B6"/>
          <w:sz w:val="28"/>
          <w:szCs w:val="28"/>
        </w:rPr>
        <w:t xml:space="preserve">10.4 Tokenize Your Property</w:t>
      </w:r>
    </w:p>
    <w:p>
      <w:pPr>
        <w:pStyle w:val="ListParagraph"/>
        <w:numPr>
          <w:ilvl w:val="0"/>
          <w:numId w:val="2"/>
        </w:numPr>
        <w:spacing w:before="60" w:after="60"/>
      </w:pPr>
      <w:r>
        <w:rPr>
          <w:rFonts w:ascii="Arial" w:cs="Arial" w:eastAsia="Arial" w:hAnsi="Arial"/>
          <w:color w:val="1A1A2E"/>
          <w:sz w:val="22"/>
          <w:szCs w:val="22"/>
        </w:rPr>
        <w:t xml:space="preserve">Complete the property owner form at systemex.com.ar</w:t>
      </w:r>
    </w:p>
    <w:p>
      <w:pPr>
        <w:pStyle w:val="ListParagraph"/>
        <w:numPr>
          <w:ilvl w:val="0"/>
          <w:numId w:val="2"/>
        </w:numPr>
        <w:spacing w:before="60" w:after="60"/>
      </w:pPr>
      <w:r>
        <w:rPr>
          <w:rFonts w:ascii="Arial" w:cs="Arial" w:eastAsia="Arial" w:hAnsi="Arial"/>
          <w:color w:val="1A1A2E"/>
          <w:sz w:val="22"/>
          <w:szCs w:val="22"/>
        </w:rPr>
        <w:t xml:space="preserve">The team contacts you within 48-72 business hours</w:t>
      </w:r>
    </w:p>
    <w:p>
      <w:pPr>
        <w:pStyle w:val="ListParagraph"/>
        <w:numPr>
          <w:ilvl w:val="0"/>
          <w:numId w:val="2"/>
        </w:numPr>
        <w:spacing w:before="60" w:after="60"/>
      </w:pPr>
      <w:r>
        <w:rPr>
          <w:rFonts w:ascii="Arial" w:cs="Arial" w:eastAsia="Arial" w:hAnsi="Arial"/>
          <w:color w:val="1A1A2E"/>
          <w:sz w:val="22"/>
          <w:szCs w:val="22"/>
        </w:rPr>
        <w:t xml:space="preserve">Full process: 2-4 weeks from documentation to round launch</w:t>
      </w:r>
    </w:p>
    <w:p>
      <w:pPr>
        <w:spacing w:before="0" w:after="0"/>
      </w:pPr>
      <w:r>
        <w:rPr>
          <w:sz w:val="44"/>
          <w:szCs w:val="44"/>
        </w:rPr>
        <w:t xml:space="preserve"/>
      </w:r>
    </w:p>
    <w:p>
      <w:pPr>
        <w:pStyle w:val="Heading1"/>
        <w:spacing w:before="400" w:after="200"/>
      </w:pPr>
      <w:r>
        <w:rPr>
          <w:rFonts w:ascii="Arial" w:cs="Arial" w:eastAsia="Arial" w:hAnsi="Arial"/>
          <w:b/>
          <w:bCs/>
          <w:color w:val="1A3C6E"/>
          <w:sz w:val="36"/>
          <w:szCs w:val="36"/>
        </w:rPr>
        <w:t xml:space="preserve">11. Contact and Community</w:t>
      </w:r>
    </w:p>
    <w:p>
      <w:pPr>
        <w:pBdr>
          <w:bottom w:val="single" w:color="2E75B6" w:sz="4" w:space="1"/>
        </w:pBdr>
        <w:spacing w:before="200"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0D7E3" w:sz="1"/>
              <w:left w:val="single" w:color="D0D7E3" w:sz="1"/>
              <w:bottom w:val="single" w:color="D0D7E3" w:sz="1"/>
              <w:right w:val="single" w:color="D0D7E3" w:sz="1"/>
            </w:tcBorders>
            <w:shd w:fill="1A3C6E" w:val="clear"/>
            <w:tcMar>
              <w:top w:type="dxa" w:w="100"/>
              <w:left w:type="dxa" w:w="180"/>
              <w:bottom w:type="dxa" w:w="100"/>
              <w:right w:type="dxa" w:w="180"/>
            </w:tcMar>
          </w:tcPr>
          <w:p>
            <w:r>
              <w:rPr>
                <w:rFonts w:ascii="Arial" w:cs="Arial" w:eastAsia="Arial" w:hAnsi="Arial"/>
                <w:b/>
                <w:bCs/>
                <w:color w:val="FFFFFF"/>
                <w:sz w:val="22"/>
                <w:szCs w:val="22"/>
              </w:rPr>
              <w:t xml:space="preserve">Channel</w:t>
            </w:r>
          </w:p>
        </w:tc>
        <w:tc>
          <w:tcPr>
            <w:tcW w:type="dxa" w:w="4680"/>
            <w:tcBorders>
              <w:top w:val="single" w:color="D0D7E3" w:sz="1"/>
              <w:left w:val="single" w:color="D0D7E3" w:sz="1"/>
              <w:bottom w:val="single" w:color="D0D7E3" w:sz="1"/>
              <w:right w:val="single" w:color="D0D7E3" w:sz="1"/>
            </w:tcBorders>
            <w:shd w:fill="1A3C6E" w:val="clear"/>
            <w:tcMar>
              <w:top w:type="dxa" w:w="100"/>
              <w:left w:type="dxa" w:w="180"/>
              <w:bottom w:type="dxa" w:w="100"/>
              <w:right w:type="dxa" w:w="180"/>
            </w:tcMar>
          </w:tcPr>
          <w:p>
            <w:r>
              <w:rPr>
                <w:rFonts w:ascii="Arial" w:cs="Arial" w:eastAsia="Arial" w:hAnsi="Arial"/>
                <w:b/>
                <w:bCs/>
                <w:color w:val="FFFFFF"/>
                <w:sz w:val="22"/>
                <w:szCs w:val="22"/>
              </w:rPr>
              <w:t xml:space="preserve">Link / Info</w:t>
            </w:r>
          </w:p>
        </w:tc>
      </w:tr>
      <w:tr>
        <w:tc>
          <w:tcPr>
            <w:tcW w:type="dxa" w:w="4680"/>
            <w:tcBorders>
              <w:top w:val="single" w:color="D0D7E3" w:sz="1"/>
              <w:left w:val="single" w:color="D0D7E3" w:sz="1"/>
              <w:bottom w:val="single" w:color="D0D7E3" w:sz="1"/>
              <w:right w:val="single" w:color="D0D7E3" w:sz="1"/>
            </w:tcBorders>
            <w:shd w:fill="FFFFFF" w:val="clear"/>
            <w:tcMar>
              <w:top w:type="dxa" w:w="80"/>
              <w:left w:type="dxa" w:w="180"/>
              <w:bottom w:type="dxa" w:w="80"/>
              <w:right w:type="dxa" w:w="180"/>
            </w:tcMar>
          </w:tcPr>
          <w:p>
            <w:r>
              <w:rPr>
                <w:rFonts w:ascii="Arial" w:cs="Arial" w:eastAsia="Arial" w:hAnsi="Arial"/>
                <w:color w:val="1A1A2E"/>
                <w:sz w:val="22"/>
                <w:szCs w:val="22"/>
              </w:rPr>
              <w:t xml:space="preserve">Website</w:t>
            </w:r>
          </w:p>
        </w:tc>
        <w:tc>
          <w:tcPr>
            <w:tcW w:type="dxa" w:w="4680"/>
            <w:tcBorders>
              <w:top w:val="single" w:color="D0D7E3" w:sz="1"/>
              <w:left w:val="single" w:color="D0D7E3" w:sz="1"/>
              <w:bottom w:val="single" w:color="D0D7E3" w:sz="1"/>
              <w:right w:val="single" w:color="D0D7E3" w:sz="1"/>
            </w:tcBorders>
            <w:shd w:fill="FFFFFF" w:val="clear"/>
            <w:tcMar>
              <w:top w:type="dxa" w:w="80"/>
              <w:left w:type="dxa" w:w="180"/>
              <w:bottom w:type="dxa" w:w="80"/>
              <w:right w:type="dxa" w:w="180"/>
            </w:tcMar>
          </w:tcPr>
          <w:p>
            <w:r>
              <w:rPr>
                <w:rFonts w:ascii="Arial" w:cs="Arial" w:eastAsia="Arial" w:hAnsi="Arial"/>
                <w:color w:val="1A1A2E"/>
                <w:sz w:val="22"/>
                <w:szCs w:val="22"/>
              </w:rPr>
              <w:t xml:space="preserve">systemex.com.ar</w:t>
            </w:r>
          </w:p>
        </w:tc>
      </w:tr>
      <w:tr>
        <w:tc>
          <w:tcPr>
            <w:tcW w:type="dxa" w:w="4680"/>
            <w:tcBorders>
              <w:top w:val="single" w:color="D0D7E3" w:sz="1"/>
              <w:left w:val="single" w:color="D0D7E3" w:sz="1"/>
              <w:bottom w:val="single" w:color="D0D7E3" w:sz="1"/>
              <w:right w:val="single" w:color="D0D7E3" w:sz="1"/>
            </w:tcBorders>
            <w:shd w:fill="F2F4F7" w:val="clear"/>
            <w:tcMar>
              <w:top w:type="dxa" w:w="80"/>
              <w:left w:type="dxa" w:w="180"/>
              <w:bottom w:type="dxa" w:w="80"/>
              <w:right w:type="dxa" w:w="180"/>
            </w:tcMar>
          </w:tcPr>
          <w:p>
            <w:r>
              <w:rPr>
                <w:rFonts w:ascii="Arial" w:cs="Arial" w:eastAsia="Arial" w:hAnsi="Arial"/>
                <w:color w:val="1A1A2E"/>
                <w:sz w:val="22"/>
                <w:szCs w:val="22"/>
              </w:rPr>
              <w:t xml:space="preserve">Twitter / X</w:t>
            </w:r>
          </w:p>
        </w:tc>
        <w:tc>
          <w:tcPr>
            <w:tcW w:type="dxa" w:w="4680"/>
            <w:tcBorders>
              <w:top w:val="single" w:color="D0D7E3" w:sz="1"/>
              <w:left w:val="single" w:color="D0D7E3" w:sz="1"/>
              <w:bottom w:val="single" w:color="D0D7E3" w:sz="1"/>
              <w:right w:val="single" w:color="D0D7E3" w:sz="1"/>
            </w:tcBorders>
            <w:shd w:fill="F2F4F7" w:val="clear"/>
            <w:tcMar>
              <w:top w:type="dxa" w:w="80"/>
              <w:left w:type="dxa" w:w="180"/>
              <w:bottom w:type="dxa" w:w="80"/>
              <w:right w:type="dxa" w:w="180"/>
            </w:tcMar>
          </w:tcPr>
          <w:p>
            <w:r>
              <w:rPr>
                <w:rFonts w:ascii="Arial" w:cs="Arial" w:eastAsia="Arial" w:hAnsi="Arial"/>
                <w:color w:val="1A1A2E"/>
                <w:sz w:val="22"/>
                <w:szCs w:val="22"/>
              </w:rPr>
              <w:t xml:space="preserve">@ExeAndino</w:t>
            </w:r>
          </w:p>
        </w:tc>
      </w:tr>
      <w:tr>
        <w:tc>
          <w:tcPr>
            <w:tcW w:type="dxa" w:w="4680"/>
            <w:tcBorders>
              <w:top w:val="single" w:color="D0D7E3" w:sz="1"/>
              <w:left w:val="single" w:color="D0D7E3" w:sz="1"/>
              <w:bottom w:val="single" w:color="D0D7E3" w:sz="1"/>
              <w:right w:val="single" w:color="D0D7E3" w:sz="1"/>
            </w:tcBorders>
            <w:shd w:fill="FFFFFF" w:val="clear"/>
            <w:tcMar>
              <w:top w:type="dxa" w:w="80"/>
              <w:left w:type="dxa" w:w="180"/>
              <w:bottom w:type="dxa" w:w="80"/>
              <w:right w:type="dxa" w:w="180"/>
            </w:tcMar>
          </w:tcPr>
          <w:p>
            <w:r>
              <w:rPr>
                <w:rFonts w:ascii="Arial" w:cs="Arial" w:eastAsia="Arial" w:hAnsi="Arial"/>
                <w:color w:val="1A1A2E"/>
                <w:sz w:val="22"/>
                <w:szCs w:val="22"/>
              </w:rPr>
              <w:t xml:space="preserve">Mint Address (Solana)</w:t>
            </w:r>
          </w:p>
        </w:tc>
        <w:tc>
          <w:tcPr>
            <w:tcW w:type="dxa" w:w="4680"/>
            <w:tcBorders>
              <w:top w:val="single" w:color="D0D7E3" w:sz="1"/>
              <w:left w:val="single" w:color="D0D7E3" w:sz="1"/>
              <w:bottom w:val="single" w:color="D0D7E3" w:sz="1"/>
              <w:right w:val="single" w:color="D0D7E3" w:sz="1"/>
            </w:tcBorders>
            <w:shd w:fill="FFFFFF" w:val="clear"/>
            <w:tcMar>
              <w:top w:type="dxa" w:w="80"/>
              <w:left w:type="dxa" w:w="180"/>
              <w:bottom w:type="dxa" w:w="80"/>
              <w:right w:type="dxa" w:w="180"/>
            </w:tcMar>
          </w:tcPr>
          <w:p>
            <w:r>
              <w:rPr>
                <w:rFonts w:ascii="Arial" w:cs="Arial" w:eastAsia="Arial" w:hAnsi="Arial"/>
                <w:color w:val="1A1A2E"/>
                <w:sz w:val="22"/>
                <w:szCs w:val="22"/>
              </w:rPr>
              <w:t xml:space="preserve">FhhS9QQX5t7JEFHg5Egqq8YNU23NJpQdrSyUTMejwGqt</w:t>
            </w:r>
          </w:p>
        </w:tc>
      </w:tr>
      <w:tr>
        <w:tc>
          <w:tcPr>
            <w:tcW w:type="dxa" w:w="4680"/>
            <w:tcBorders>
              <w:top w:val="single" w:color="D0D7E3" w:sz="1"/>
              <w:left w:val="single" w:color="D0D7E3" w:sz="1"/>
              <w:bottom w:val="single" w:color="D0D7E3" w:sz="1"/>
              <w:right w:val="single" w:color="D0D7E3" w:sz="1"/>
            </w:tcBorders>
            <w:shd w:fill="F2F4F7" w:val="clear"/>
            <w:tcMar>
              <w:top w:type="dxa" w:w="80"/>
              <w:left w:type="dxa" w:w="180"/>
              <w:bottom w:type="dxa" w:w="80"/>
              <w:right w:type="dxa" w:w="180"/>
            </w:tcMar>
          </w:tcPr>
          <w:p>
            <w:r>
              <w:rPr>
                <w:rFonts w:ascii="Arial" w:cs="Arial" w:eastAsia="Arial" w:hAnsi="Arial"/>
                <w:color w:val="1A1A2E"/>
                <w:sz w:val="22"/>
                <w:szCs w:val="22"/>
              </w:rPr>
              <w:t xml:space="preserve">GitHub</w:t>
            </w:r>
          </w:p>
        </w:tc>
        <w:tc>
          <w:tcPr>
            <w:tcW w:type="dxa" w:w="4680"/>
            <w:tcBorders>
              <w:top w:val="single" w:color="D0D7E3" w:sz="1"/>
              <w:left w:val="single" w:color="D0D7E3" w:sz="1"/>
              <w:bottom w:val="single" w:color="D0D7E3" w:sz="1"/>
              <w:right w:val="single" w:color="D0D7E3" w:sz="1"/>
            </w:tcBorders>
            <w:shd w:fill="F2F4F7" w:val="clear"/>
            <w:tcMar>
              <w:top w:type="dxa" w:w="80"/>
              <w:left w:type="dxa" w:w="180"/>
              <w:bottom w:type="dxa" w:w="80"/>
              <w:right w:type="dxa" w:w="180"/>
            </w:tcMar>
          </w:tcPr>
          <w:p>
            <w:r>
              <w:rPr>
                <w:rFonts w:ascii="Arial" w:cs="Arial" w:eastAsia="Arial" w:hAnsi="Arial"/>
                <w:color w:val="1A1A2E"/>
                <w:sz w:val="22"/>
                <w:szCs w:val="22"/>
              </w:rPr>
              <w:t xml:space="preserve">github.com/exeandino/systemex</w:t>
            </w:r>
          </w:p>
        </w:tc>
      </w:tr>
      <w:tr>
        <w:tc>
          <w:tcPr>
            <w:tcW w:type="dxa" w:w="4680"/>
            <w:tcBorders>
              <w:top w:val="single" w:color="D0D7E3" w:sz="1"/>
              <w:left w:val="single" w:color="D0D7E3" w:sz="1"/>
              <w:bottom w:val="single" w:color="D0D7E3" w:sz="1"/>
              <w:right w:val="single" w:color="D0D7E3" w:sz="1"/>
            </w:tcBorders>
            <w:shd w:fill="FFFFFF" w:val="clear"/>
            <w:tcMar>
              <w:top w:type="dxa" w:w="80"/>
              <w:left w:type="dxa" w:w="180"/>
              <w:bottom w:type="dxa" w:w="80"/>
              <w:right w:type="dxa" w:w="180"/>
            </w:tcMar>
          </w:tcPr>
          <w:p>
            <w:r>
              <w:rPr>
                <w:rFonts w:ascii="Arial" w:cs="Arial" w:eastAsia="Arial" w:hAnsi="Arial"/>
                <w:color w:val="1A1A2E"/>
                <w:sz w:val="22"/>
                <w:szCs w:val="22"/>
              </w:rPr>
              <w:t xml:space="preserve">Contact email</w:t>
            </w:r>
          </w:p>
        </w:tc>
        <w:tc>
          <w:tcPr>
            <w:tcW w:type="dxa" w:w="4680"/>
            <w:tcBorders>
              <w:top w:val="single" w:color="D0D7E3" w:sz="1"/>
              <w:left w:val="single" w:color="D0D7E3" w:sz="1"/>
              <w:bottom w:val="single" w:color="D0D7E3" w:sz="1"/>
              <w:right w:val="single" w:color="D0D7E3" w:sz="1"/>
            </w:tcBorders>
            <w:shd w:fill="FFFFFF" w:val="clear"/>
            <w:tcMar>
              <w:top w:type="dxa" w:w="80"/>
              <w:left w:type="dxa" w:w="180"/>
              <w:bottom w:type="dxa" w:w="80"/>
              <w:right w:type="dxa" w:w="180"/>
            </w:tcMar>
          </w:tcPr>
          <w:p>
            <w:r>
              <w:rPr>
                <w:rFonts w:ascii="Arial" w:cs="Arial" w:eastAsia="Arial" w:hAnsi="Arial"/>
                <w:color w:val="1A1A2E"/>
                <w:sz w:val="22"/>
                <w:szCs w:val="22"/>
              </w:rPr>
              <w:t xml:space="preserve">contacto@systemex.com.ar</w:t>
            </w:r>
          </w:p>
        </w:tc>
      </w:tr>
    </w:tbl>
    <w:p>
      <w:pPr>
        <w:spacing w:before="0" w:after="0"/>
      </w:pPr>
      <w:r>
        <w:rPr>
          <w:sz w:val="44"/>
          <w:szCs w:val="44"/>
        </w:rPr>
        <w:t xml:space="preserve"/>
      </w:r>
    </w:p>
    <w:p>
      <w:pPr>
        <w:pBdr>
          <w:bottom w:val="single" w:color="2E75B6" w:sz="4" w:space="1"/>
        </w:pBdr>
        <w:spacing w:before="200" w:after="200"/>
      </w:pPr>
      <w:r>
        <w:t xml:space="preserve"/>
      </w:r>
    </w:p>
    <w:p>
      <w:pPr>
        <w:spacing w:before="300" w:after="100"/>
        <w:jc w:val="center"/>
      </w:pPr>
      <w:r>
        <w:rPr>
          <w:rFonts w:ascii="Arial" w:cs="Arial" w:eastAsia="Arial" w:hAnsi="Arial"/>
          <w:i/>
          <w:iCs/>
          <w:color w:val="888888"/>
          <w:sz w:val="18"/>
          <w:szCs w:val="18"/>
        </w:rPr>
        <w:t xml:space="preserve">SYSTEMEX ECOSYSTEM TOKEN — Whitepaper v1.0 — February 2026</w:t>
      </w:r>
    </w:p>
    <w:p>
      <w:pPr>
        <w:spacing w:before="0" w:after="0"/>
        <w:jc w:val="center"/>
      </w:pPr>
      <w:r>
        <w:rPr>
          <w:rFonts w:ascii="Arial" w:cs="Arial" w:eastAsia="Arial" w:hAnsi="Arial"/>
          <w:i/>
          <w:iCs/>
          <w:color w:val="888888"/>
          <w:sz w:val="16"/>
          <w:szCs w:val="16"/>
        </w:rPr>
        <w:t xml:space="preserve">This document may be updated. Always verify the current version at systemex.com.ar</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7E3" w:sz="4" w:space="4"/>
      </w:pBdr>
      <w:tabs>
        <w:tab w:val="right" w:pos="9026"/>
      </w:tabs>
    </w:pPr>
    <w:r>
      <w:rPr>
        <w:rFonts w:ascii="Arial" w:cs="Arial" w:eastAsia="Arial" w:hAnsi="Arial"/>
        <w:i/>
        <w:iCs/>
        <w:color w:val="888888"/>
        <w:sz w:val="16"/>
        <w:szCs w:val="16"/>
      </w:rPr>
      <w:t xml:space="preserve">Confidential — For qualified investors only</w:t>
    </w:r>
    <w:r>
      <w:rPr>
        <w:rFonts w:ascii="Arial" w:cs="Arial" w:eastAsia="Arial" w:hAnsi="Arial"/>
        <w:color w:val="888888"/>
        <w:sz w:val="16"/>
        <w:szCs w:val="16"/>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026"/>
      </w:tabs>
    </w:pPr>
    <w:r>
      <w:rPr>
        <w:rFonts w:ascii="Arial" w:cs="Arial" w:eastAsia="Arial" w:hAnsi="Arial"/>
        <w:b/>
        <w:bCs/>
        <w:color w:val="2E75B6"/>
        <w:sz w:val="18"/>
        <w:szCs w:val="18"/>
      </w:rPr>
      <w:t xml:space="preserve">SYSTEMEX — Whitepaper v1.0</w:t>
    </w:r>
    <w:r>
      <w:rPr>
        <w:sz w:val="18"/>
        <w:szCs w:val="18"/>
      </w:rPr>
      <w:t xml:space="preserve">	</w:t>
    </w:r>
    <w:r>
      <w:rPr>
        <w:rFonts w:ascii="Arial" w:cs="Arial" w:eastAsia="Arial" w:hAnsi="Arial"/>
        <w:color w:val="2E75B6"/>
        <w:sz w:val="18"/>
        <w:szCs w:val="18"/>
      </w:rPr>
      <w:t xml:space="preserve">systemex.com.ar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3C6E"/>
      <w:sz w:val="36"/>
      <w:szCs w:val="36"/>
    </w:rPr>
  </w:style>
  <w:style w:type="paragraph" w:styleId="Heading2">
    <w:name w:val="Heading 2"/>
    <w:basedOn w:val="Normal"/>
    <w:next w:val="Normal"/>
    <w:qFormat/>
    <w:pPr>
      <w:spacing w:before="300" w:after="16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2026-02-19T09:01:14.152Z</dcterms:created>
  <dcterms:modified xsi:type="dcterms:W3CDTF">2026-02-19T09:01:14.153Z</dcterms:modified>
</cp:coreProperties>
</file>

<file path=docProps/custom.xml><?xml version="1.0" encoding="utf-8"?>
<Properties xmlns="http://schemas.openxmlformats.org/officeDocument/2006/custom-properties" xmlns:vt="http://schemas.openxmlformats.org/officeDocument/2006/docPropsVTypes"/>
</file>