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Arial" w:cs="Arial" w:eastAsia="Arial" w:hAnsi="Arial"/>
          <w:b/>
          <w:bCs/>
          <w:color w:val="1B3A6B"/>
          <w:sz w:val="52"/>
          <w:szCs w:val="52"/>
        </w:rPr>
        <w:t xml:space="preserve">KUNAL S. GANORKAR</w:t>
      </w:r>
    </w:p>
    <w:p>
      <w:pPr>
        <w:spacing w:after="90"/>
        <w:jc w:val="center"/>
      </w:pPr>
      <w:hyperlink w:history="1" r:id="rIdn8ko7xnj0rpoatyfuvf5k">
        <w:r>
          <w:rPr>
            <w:rFonts w:ascii="Arial" w:cs="Arial" w:eastAsia="Arial" w:hAnsi="Arial"/>
            <w:color w:val="1B3A6B"/>
            <w:sz w:val="18"/>
            <w:szCs w:val="18"/>
            <w:u w:val="single"/>
          </w:rPr>
          <w:t xml:space="preserve">LinkedIn</w:t>
        </w:r>
      </w:hyperlink>
      <w:r>
        <w:rPr>
          <w:rFonts w:ascii="Arial" w:cs="Arial" w:eastAsia="Arial" w:hAnsi="Arial"/>
          <w:color w:val="888888"/>
          <w:sz w:val="18"/>
          <w:szCs w:val="18"/>
        </w:rPr>
        <w:t xml:space="preserve">  |  </w:t>
      </w:r>
      <w:hyperlink w:history="1" r:id="rIdat0jwbyqzmp-8xyygl1gy">
        <w:r>
          <w:rPr>
            <w:rFonts w:ascii="Arial" w:cs="Arial" w:eastAsia="Arial" w:hAnsi="Arial"/>
            <w:color w:val="1B3A6B"/>
            <w:sz w:val="18"/>
            <w:szCs w:val="18"/>
            <w:u w:val="single"/>
          </w:rPr>
          <w:t xml:space="preserve">Portfolio</w:t>
        </w:r>
      </w:hyperlink>
      <w:r>
        <w:rPr>
          <w:rFonts w:ascii="Arial" w:cs="Arial" w:eastAsia="Arial" w:hAnsi="Arial"/>
          <w:color w:val="888888"/>
          <w:sz w:val="18"/>
          <w:szCs w:val="18"/>
        </w:rPr>
        <w:t xml:space="preserve">  |  </w:t>
      </w:r>
      <w:hyperlink w:history="1" r:id="rIdtufnee8ngrqiax85aae6k">
        <w:r>
          <w:rPr>
            <w:rFonts w:ascii="Arial" w:cs="Arial" w:eastAsia="Arial" w:hAnsi="Arial"/>
            <w:color w:val="1B3A6B"/>
            <w:sz w:val="18"/>
            <w:szCs w:val="18"/>
            <w:u w:val="single"/>
          </w:rPr>
          <w:t xml:space="preserve">GCP Certifications</w:t>
        </w:r>
      </w:hyperlink>
      <w:r>
        <w:rPr>
          <w:rFonts w:ascii="Arial" w:cs="Arial" w:eastAsia="Arial" w:hAnsi="Arial"/>
          <w:color w:val="888888"/>
          <w:sz w:val="18"/>
          <w:szCs w:val="18"/>
        </w:rPr>
        <w:t xml:space="preserve">  |  </w:t>
      </w:r>
      <w:hyperlink w:history="1" r:id="rId54j3t7x0ywz0m0k09y8id">
        <w:r>
          <w:rPr>
            <w:rFonts w:ascii="Arial" w:cs="Arial" w:eastAsia="Arial" w:hAnsi="Arial"/>
            <w:color w:val="1B3A6B"/>
            <w:sz w:val="18"/>
            <w:szCs w:val="18"/>
            <w:u w:val="single"/>
          </w:rPr>
          <w:t xml:space="preserve">kunal.ganorkar@gmail.com</w:t>
        </w:r>
      </w:hyperlink>
      <w:r>
        <w:rPr>
          <w:rFonts w:ascii="Arial" w:cs="Arial" w:eastAsia="Arial" w:hAnsi="Arial"/>
          <w:color w:val="888888"/>
          <w:sz w:val="18"/>
          <w:szCs w:val="18"/>
        </w:rPr>
        <w:t xml:space="preserve">  |  </w:t>
      </w:r>
      <w:r>
        <w:rPr>
          <w:rFonts w:ascii="Arial" w:cs="Arial" w:eastAsia="Arial" w:hAnsi="Arial"/>
          <w:color w:val="444444"/>
          <w:sz w:val="18"/>
          <w:szCs w:val="18"/>
        </w:rPr>
        <w:t xml:space="preserve">(347) 429-3975</w:t>
      </w:r>
    </w:p>
    <w:p>
      <w:pPr>
        <w:pBdr>
          <w:bottom w:val="single" w:color="1B3A6B" w:sz="6" w:space="1"/>
        </w:pBdr>
        <w:spacing w:after="100" w:before="60"/>
      </w:pPr>
      <w:r>
        <w:rPr>
          <w:sz w:val="2"/>
          <w:szCs w:val="2"/>
        </w:rPr>
        <w:t xml:space="preserve"/>
      </w:r>
    </w:p>
    <w:p>
      <w:pPr>
        <w:pBdr>
          <w:bottom w:val="single" w:color="C6992A" w:sz="4" w:space="2"/>
        </w:pBdr>
        <w:spacing w:after="90" w:before="150"/>
      </w:pPr>
      <w:r>
        <w:rPr>
          <w:rFonts w:ascii="Arial" w:cs="Arial" w:eastAsia="Arial" w:hAnsi="Arial"/>
          <w:b/>
          <w:bCs/>
          <w:color w:val="1B3A6B"/>
          <w:sz w:val="22"/>
          <w:szCs w:val="22"/>
        </w:rPr>
        <w:t xml:space="preserve">EXECUTIVE SUMMARY</w:t>
      </w:r>
    </w:p>
    <w:p>
      <w:pPr>
        <w:spacing w:after="90"/>
      </w:pPr>
      <w:r>
        <w:rPr>
          <w:rFonts w:ascii="Arial" w:cs="Arial" w:eastAsia="Arial" w:hAnsi="Arial"/>
          <w:color w:val="444444"/>
          <w:sz w:val="19"/>
          <w:szCs w:val="19"/>
        </w:rPr>
        <w:t xml:space="preserve">Enterprise AI &amp; Cloud Engineering Leader with 16+ years of experience architecting production AI platforms, intelligent agents, and automated data pipelines for global brands. Currently lead GCP, Vertex AI, and Google ADK agentic systems work within Omnicom Media Group. Proven leader in converting AI potential into measurable business value — building secure, multi-tenant MarTech AI platforms, scaling automation to save 800+ hours annually, and directing cross-functional engineering teams across onshore and offshore delivery. Expert at establishing production-grade engineering standards (MLOps, human-in-the-loop QA, VPC security perimeters) that elevate human judgment and scale across agency accounts.</w:t>
      </w:r>
    </w:p>
    <w:p>
      <w:pPr>
        <w:pBdr>
          <w:bottom w:val="single" w:color="C6992A" w:sz="4" w:space="2"/>
        </w:pBdr>
        <w:spacing w:after="90" w:before="150"/>
      </w:pPr>
      <w:r>
        <w:rPr>
          <w:rFonts w:ascii="Arial" w:cs="Arial" w:eastAsia="Arial" w:hAnsi="Arial"/>
          <w:b/>
          <w:bCs/>
          <w:color w:val="1B3A6B"/>
          <w:sz w:val="22"/>
          <w:szCs w:val="22"/>
        </w:rPr>
        <w:t xml:space="preserve">PROFESSIONAL EXPERIENCE</w:t>
      </w:r>
    </w:p>
    <w:p>
      <w:pPr>
        <w:keepNext/>
        <w:tabs>
          <w:tab w:val="right" w:pos="10080"/>
        </w:tabs>
        <w:spacing w:after="20" w:before="90"/>
      </w:pPr>
      <w:r>
        <w:rPr>
          <w:rFonts w:ascii="Arial" w:cs="Arial" w:eastAsia="Arial" w:hAnsi="Arial"/>
          <w:b/>
          <w:bCs/>
          <w:color w:val="1A1A1A"/>
          <w:sz w:val="21"/>
          <w:szCs w:val="21"/>
        </w:rPr>
        <w:t xml:space="preserve">Associate Director, Data &amp; Cloud Engineering</w:t>
      </w:r>
      <w:r>
        <w:rPr>
          <w:rFonts w:ascii="Arial" w:cs="Arial" w:eastAsia="Arial" w:hAnsi="Arial"/>
          <w:i/>
          <w:iCs/>
          <w:color w:val="444444"/>
          <w:sz w:val="19"/>
          <w:szCs w:val="19"/>
        </w:rPr>
        <w:t xml:space="preserve">	Nov 2024 – Present</w:t>
      </w:r>
    </w:p>
    <w:p>
      <w:pPr>
        <w:keepNext/>
        <w:spacing w:after="50" w:before="0"/>
      </w:pPr>
      <w:hyperlink w:history="1" r:id="rIdhdpflejd_qnc560ysnzur">
        <w:r>
          <w:rPr>
            <w:rFonts w:ascii="Arial" w:cs="Arial" w:eastAsia="Arial" w:hAnsi="Arial"/>
            <w:b/>
            <w:bCs/>
            <w:color w:val="1B3A6B"/>
            <w:sz w:val="19"/>
            <w:szCs w:val="19"/>
            <w:u w:val="single"/>
          </w:rPr>
          <w:t xml:space="preserve">Omnicom Media Group</w:t>
        </w:r>
      </w:hyperlink>
      <w:r>
        <w:rPr>
          <w:rFonts w:ascii="Arial" w:cs="Arial" w:eastAsia="Arial" w:hAnsi="Arial"/>
          <w:i/>
          <w:iCs/>
          <w:color w:val="888888"/>
          <w:sz w:val="19"/>
          <w:szCs w:val="19"/>
        </w:rPr>
        <w:t xml:space="preserve">  —  New York, NY</w:t>
      </w:r>
    </w:p>
    <w:p>
      <w:pPr>
        <w:pStyle w:val="ListParagraph"/>
        <w:numPr>
          <w:ilvl w:val="0"/>
          <w:numId w:val="1"/>
        </w:numPr>
        <w:spacing w:after="70" w:before="0"/>
        <w:ind w:left="270" w:hanging="270"/>
      </w:pPr>
      <w:r>
        <w:rPr>
          <w:rFonts w:ascii="Arial" w:cs="Arial" w:eastAsia="Arial" w:hAnsi="Arial"/>
          <w:b/>
          <w:bCs/>
          <w:color w:val="1A1A1A"/>
          <w:sz w:val="19"/>
          <w:szCs w:val="19"/>
        </w:rPr>
        <w:t xml:space="preserve">AI &amp; Automation Portfolio Leadership: </w:t>
      </w:r>
      <w:r>
        <w:rPr>
          <w:rFonts w:ascii="Arial" w:cs="Arial" w:eastAsia="Arial" w:hAnsi="Arial"/>
          <w:color w:val="1A1A1A"/>
          <w:sz w:val="19"/>
          <w:szCs w:val="19"/>
        </w:rPr>
        <w:t xml:space="preserve">Set technical vision and direct end-to-end execution for high-value AI solutions across Omnicom client accounts. Drive build-vs-reuse decisions, technical definitions, and engineering briefs with strict acceptance criteria and performance KPIs.</w:t>
      </w:r>
    </w:p>
    <w:p>
      <w:pPr>
        <w:pStyle w:val="ListParagraph"/>
        <w:numPr>
          <w:ilvl w:val="0"/>
          <w:numId w:val="1"/>
        </w:numPr>
        <w:spacing w:after="70" w:before="0"/>
        <w:ind w:left="270" w:hanging="270"/>
      </w:pPr>
      <w:r>
        <w:rPr>
          <w:rFonts w:ascii="Arial" w:cs="Arial" w:eastAsia="Arial" w:hAnsi="Arial"/>
          <w:b/>
          <w:bCs/>
          <w:color w:val="1A1A1A"/>
          <w:sz w:val="19"/>
          <w:szCs w:val="19"/>
        </w:rPr>
        <w:t xml:space="preserve">Agentic MarTech Platform: </w:t>
      </w:r>
      <w:r>
        <w:rPr>
          <w:rFonts w:ascii="Arial" w:cs="Arial" w:eastAsia="Arial" w:hAnsi="Arial"/>
          <w:color w:val="1A1A1A"/>
          <w:sz w:val="19"/>
          <w:szCs w:val="19"/>
        </w:rPr>
        <w:t xml:space="preserve">Architected and deployed an enterprise multi-tenant AI platform on GCP (currently in alpha with three clients). Integrated Google ADK agents (validators, developers, orchestrators) on Vertex AI Gemini with Airflow orchestration, outputting propensity scores into BigQuery and activating directly to GA4 and Google Marketing Platform.</w:t>
      </w:r>
    </w:p>
    <w:p>
      <w:pPr>
        <w:pStyle w:val="ListParagraph"/>
        <w:numPr>
          <w:ilvl w:val="0"/>
          <w:numId w:val="1"/>
        </w:numPr>
        <w:spacing w:after="70" w:before="0"/>
        <w:ind w:left="270" w:hanging="270"/>
      </w:pPr>
      <w:r>
        <w:rPr>
          <w:rFonts w:ascii="Arial" w:cs="Arial" w:eastAsia="Arial" w:hAnsi="Arial"/>
          <w:b/>
          <w:bCs/>
          <w:color w:val="1A1A1A"/>
          <w:sz w:val="19"/>
          <w:szCs w:val="19"/>
        </w:rPr>
        <w:t xml:space="preserve">Production-Grade MLOps &amp; Release Controls: </w:t>
      </w:r>
      <w:r>
        <w:rPr>
          <w:rFonts w:ascii="Arial" w:cs="Arial" w:eastAsia="Arial" w:hAnsi="Arial"/>
          <w:color w:val="1A1A1A"/>
          <w:sz w:val="19"/>
          <w:szCs w:val="19"/>
        </w:rPr>
        <w:t xml:space="preserve">Engineered Vertex AI Pipelines featuring a 95% data-quality gate, automated model evaluation against the production model, human-in-the-loop validation checkpoints, canary deployments with rollback, and continuous drift monitoring that triggers retraining.</w:t>
      </w:r>
    </w:p>
    <w:p>
      <w:pPr>
        <w:pStyle w:val="ListParagraph"/>
        <w:numPr>
          <w:ilvl w:val="0"/>
          <w:numId w:val="1"/>
        </w:numPr>
        <w:spacing w:after="70" w:before="0"/>
        <w:ind w:left="270" w:hanging="270"/>
      </w:pPr>
      <w:r>
        <w:rPr>
          <w:rFonts w:ascii="Arial" w:cs="Arial" w:eastAsia="Arial" w:hAnsi="Arial"/>
          <w:b/>
          <w:bCs/>
          <w:color w:val="1A1A1A"/>
          <w:sz w:val="19"/>
          <w:szCs w:val="19"/>
        </w:rPr>
        <w:t xml:space="preserve">Enterprise Security, Isolation &amp; Compliance: </w:t>
      </w:r>
      <w:r>
        <w:rPr>
          <w:rFonts w:ascii="Arial" w:cs="Arial" w:eastAsia="Arial" w:hAnsi="Arial"/>
          <w:color w:val="1A1A1A"/>
          <w:sz w:val="19"/>
          <w:szCs w:val="19"/>
        </w:rPr>
        <w:t xml:space="preserve">Designed secure multi-tenant perimeter controls including VPC Service Controls, customer-managed encryption keys (CMEK) per client, EU data residency compliance, keyless CI/CD, and a Terraform project factory for rapid, policy-driven client onboarding via pull-request reviews.</w:t>
      </w:r>
    </w:p>
    <w:p>
      <w:pPr>
        <w:pStyle w:val="ListParagraph"/>
        <w:numPr>
          <w:ilvl w:val="0"/>
          <w:numId w:val="1"/>
        </w:numPr>
        <w:spacing w:after="70" w:before="0"/>
        <w:ind w:left="270" w:hanging="270"/>
      </w:pPr>
      <w:r>
        <w:rPr>
          <w:rFonts w:ascii="Arial" w:cs="Arial" w:eastAsia="Arial" w:hAnsi="Arial"/>
          <w:b/>
          <w:bCs/>
          <w:color w:val="1A1A1A"/>
          <w:sz w:val="19"/>
          <w:szCs w:val="19"/>
        </w:rPr>
        <w:t xml:space="preserve">Global Client Delivery &amp; Workflow Augmentation (L'Oréal): </w:t>
      </w:r>
      <w:r>
        <w:rPr>
          <w:rFonts w:ascii="Arial" w:cs="Arial" w:eastAsia="Arial" w:hAnsi="Arial"/>
          <w:color w:val="1A1A1A"/>
          <w:sz w:val="19"/>
          <w:szCs w:val="19"/>
        </w:rPr>
        <w:t xml:space="preserve">Direct the client-embedded engineering team on L'Oréal's 100TB+ BigQuery global data platform. Streamlined cross-time-zone dev-to-QA handoffs, increasing ticket completion rates and sprint capacity.</w:t>
      </w:r>
    </w:p>
    <w:p>
      <w:pPr>
        <w:pStyle w:val="ListParagraph"/>
        <w:numPr>
          <w:ilvl w:val="0"/>
          <w:numId w:val="1"/>
        </w:numPr>
        <w:spacing w:after="70" w:before="0"/>
        <w:ind w:left="270" w:hanging="270"/>
      </w:pPr>
      <w:r>
        <w:rPr>
          <w:rFonts w:ascii="Arial" w:cs="Arial" w:eastAsia="Arial" w:hAnsi="Arial"/>
          <w:b/>
          <w:bCs/>
          <w:color w:val="1A1A1A"/>
          <w:sz w:val="19"/>
          <w:szCs w:val="19"/>
        </w:rPr>
        <w:t xml:space="preserve">LLM Integration &amp; Operational Efficiency: </w:t>
      </w:r>
      <w:r>
        <w:rPr>
          <w:rFonts w:ascii="Arial" w:cs="Arial" w:eastAsia="Arial" w:hAnsi="Arial"/>
          <w:color w:val="1A1A1A"/>
          <w:sz w:val="19"/>
          <w:szCs w:val="19"/>
        </w:rPr>
        <w:t xml:space="preserve">Delivered LLM-powered enterprise analytics that automate complex reporting workflows, returning 800+ hours annually to strategy and planning teams. Modernized Teradata/SQL Server legacy stacks to BigQuery, accelerating query performance by 5× and slashing compute costs by 35%.</w:t>
      </w:r>
    </w:p>
    <w:p>
      <w:pPr>
        <w:pStyle w:val="ListParagraph"/>
        <w:numPr>
          <w:ilvl w:val="0"/>
          <w:numId w:val="1"/>
        </w:numPr>
        <w:spacing w:after="70" w:before="0"/>
        <w:ind w:left="270" w:hanging="270"/>
      </w:pPr>
      <w:r>
        <w:rPr>
          <w:rFonts w:ascii="Arial" w:cs="Arial" w:eastAsia="Arial" w:hAnsi="Arial"/>
          <w:b/>
          <w:bCs/>
          <w:color w:val="1A1A1A"/>
          <w:sz w:val="19"/>
          <w:szCs w:val="19"/>
        </w:rPr>
        <w:t xml:space="preserve">In-Housing QA &amp; Native GCP Ingestion: </w:t>
      </w:r>
      <w:r>
        <w:rPr>
          <w:rFonts w:ascii="Arial" w:cs="Arial" w:eastAsia="Arial" w:hAnsi="Arial"/>
          <w:color w:val="1A1A1A"/>
          <w:sz w:val="19"/>
          <w:szCs w:val="19"/>
        </w:rPr>
        <w:t xml:space="preserve">Built an internal QA engineering practice to replace a third-party vendor for data variance reporting. Cleared major roadblocks for EU data migrations by replacing Fivetran with 100% native GCP ingestion pipelines across all dependent client platforms.</w:t>
      </w:r>
    </w:p>
    <w:p>
      <w:pPr>
        <w:pStyle w:val="ListParagraph"/>
        <w:numPr>
          <w:ilvl w:val="0"/>
          <w:numId w:val="1"/>
        </w:numPr>
        <w:spacing w:after="70" w:before="0"/>
        <w:ind w:left="270" w:hanging="270"/>
      </w:pPr>
      <w:r>
        <w:rPr>
          <w:rFonts w:ascii="Arial" w:cs="Arial" w:eastAsia="Arial" w:hAnsi="Arial"/>
          <w:b/>
          <w:bCs/>
          <w:color w:val="1A1A1A"/>
          <w:sz w:val="19"/>
          <w:szCs w:val="19"/>
        </w:rPr>
        <w:t xml:space="preserve">Cross-Agency Execution: </w:t>
      </w:r>
      <w:r>
        <w:rPr>
          <w:rFonts w:ascii="Arial" w:cs="Arial" w:eastAsia="Arial" w:hAnsi="Arial"/>
          <w:color w:val="1A1A1A"/>
          <w:sz w:val="19"/>
          <w:szCs w:val="19"/>
        </w:rPr>
        <w:t xml:space="preserve">Owned delivery and go-live of production integrations with Google engineering and multi-agency stakeholders, including Clorox's Amazon Attribution API to Google Ads Smart Bidding pipeline, the SA 360 application, and the GAP solution.</w:t>
      </w:r>
    </w:p>
    <w:p>
      <w:pPr>
        <w:keepNext/>
        <w:tabs>
          <w:tab w:val="right" w:pos="10080"/>
        </w:tabs>
        <w:spacing w:after="20" w:before="90"/>
      </w:pPr>
      <w:r>
        <w:rPr>
          <w:rFonts w:ascii="Arial" w:cs="Arial" w:eastAsia="Arial" w:hAnsi="Arial"/>
          <w:b/>
          <w:bCs/>
          <w:color w:val="1A1A1A"/>
          <w:sz w:val="21"/>
          <w:szCs w:val="21"/>
        </w:rPr>
        <w:t xml:space="preserve">Lead Cloud Solutions Architect – Data Engineering</w:t>
      </w:r>
      <w:r>
        <w:rPr>
          <w:rFonts w:ascii="Arial" w:cs="Arial" w:eastAsia="Arial" w:hAnsi="Arial"/>
          <w:i/>
          <w:iCs/>
          <w:color w:val="444444"/>
          <w:sz w:val="19"/>
          <w:szCs w:val="19"/>
        </w:rPr>
        <w:t xml:space="preserve">	Mar 2021 – Sep 2024</w:t>
      </w:r>
    </w:p>
    <w:p>
      <w:pPr>
        <w:keepNext/>
        <w:spacing w:after="50" w:before="0"/>
      </w:pPr>
      <w:hyperlink w:history="1" r:id="rId9elrcqgct93zgcyfcfzpg">
        <w:r>
          <w:rPr>
            <w:rFonts w:ascii="Arial" w:cs="Arial" w:eastAsia="Arial" w:hAnsi="Arial"/>
            <w:b/>
            <w:bCs/>
            <w:color w:val="1B3A6B"/>
            <w:sz w:val="19"/>
            <w:szCs w:val="19"/>
            <w:u w:val="single"/>
          </w:rPr>
          <w:t xml:space="preserve">SADA Systems</w:t>
        </w:r>
      </w:hyperlink>
      <w:r>
        <w:rPr>
          <w:rFonts w:ascii="Arial" w:cs="Arial" w:eastAsia="Arial" w:hAnsi="Arial"/>
          <w:i/>
          <w:iCs/>
          <w:color w:val="888888"/>
          <w:sz w:val="19"/>
          <w:szCs w:val="19"/>
        </w:rPr>
        <w:t xml:space="preserve">  —  New York, NY</w:t>
      </w:r>
    </w:p>
    <w:p>
      <w:pPr>
        <w:pStyle w:val="ListParagraph"/>
        <w:numPr>
          <w:ilvl w:val="0"/>
          <w:numId w:val="1"/>
        </w:numPr>
        <w:spacing w:after="70" w:before="0"/>
        <w:ind w:left="270" w:hanging="270"/>
      </w:pPr>
      <w:r>
        <w:rPr>
          <w:rFonts w:ascii="Arial" w:cs="Arial" w:eastAsia="Arial" w:hAnsi="Arial"/>
          <w:b/>
          <w:bCs/>
          <w:color w:val="1A1A1A"/>
          <w:sz w:val="19"/>
          <w:szCs w:val="19"/>
        </w:rPr>
        <w:t xml:space="preserve">Practice Building &amp; Agentic AI Scaling: </w:t>
      </w:r>
      <w:r>
        <w:rPr>
          <w:rFonts w:ascii="Arial" w:cs="Arial" w:eastAsia="Arial" w:hAnsi="Arial"/>
          <w:color w:val="1A1A1A"/>
          <w:sz w:val="19"/>
          <w:szCs w:val="19"/>
        </w:rPr>
        <w:t xml:space="preserve">Built and expanded SADA's AI/ML and GenAI practice from inception. Authored Vertex AI reference architectures and enabled 20+ client engineering teams to transition generative and agentic AI proofs-of-concept into reliable production platforms.</w:t>
      </w:r>
    </w:p>
    <w:p>
      <w:pPr>
        <w:pStyle w:val="ListParagraph"/>
        <w:numPr>
          <w:ilvl w:val="0"/>
          <w:numId w:val="1"/>
        </w:numPr>
        <w:spacing w:after="70" w:before="0"/>
        <w:ind w:left="270" w:hanging="270"/>
      </w:pPr>
      <w:r>
        <w:rPr>
          <w:rFonts w:ascii="Arial" w:cs="Arial" w:eastAsia="Arial" w:hAnsi="Arial"/>
          <w:b/>
          <w:bCs/>
          <w:color w:val="1A1A1A"/>
          <w:sz w:val="19"/>
          <w:szCs w:val="19"/>
        </w:rPr>
        <w:t xml:space="preserve">Strategic GenAI Partnerships: </w:t>
      </w:r>
      <w:r>
        <w:rPr>
          <w:rFonts w:ascii="Arial" w:cs="Arial" w:eastAsia="Arial" w:hAnsi="Arial"/>
          <w:color w:val="1A1A1A"/>
          <w:sz w:val="19"/>
          <w:szCs w:val="19"/>
        </w:rPr>
        <w:t xml:space="preserve">Served as a Principal Architect on the </w:t>
      </w:r>
      <w:hyperlink w:history="1" r:id="rIdtt8gaewwnhhwtqcmnmjrr">
        <w:r>
          <w:rPr>
            <w:rFonts w:ascii="Arial" w:cs="Arial" w:eastAsia="Arial" w:hAnsi="Arial"/>
            <w:color w:val="1B3A6B"/>
            <w:sz w:val="19"/>
            <w:szCs w:val="19"/>
            <w:u w:val="single"/>
          </w:rPr>
          <w:t xml:space="preserve">Stagwell × Google Cloud × SADA partnership</w:t>
        </w:r>
      </w:hyperlink>
      <w:r>
        <w:rPr>
          <w:rFonts w:ascii="Arial" w:cs="Arial" w:eastAsia="Arial" w:hAnsi="Arial"/>
          <w:color w:val="1A1A1A"/>
          <w:sz w:val="19"/>
          <w:szCs w:val="19"/>
        </w:rPr>
        <w:t xml:space="preserve"> (announced Nov 2023), architecting marketing-focused GenAI capabilities on Vertex AI for the Stagwell Marketing Cloud.</w:t>
      </w:r>
    </w:p>
    <w:p>
      <w:pPr>
        <w:pStyle w:val="ListParagraph"/>
        <w:numPr>
          <w:ilvl w:val="0"/>
          <w:numId w:val="1"/>
        </w:numPr>
        <w:spacing w:after="70" w:before="0"/>
        <w:ind w:left="270" w:hanging="270"/>
      </w:pPr>
      <w:r>
        <w:rPr>
          <w:rFonts w:ascii="Arial" w:cs="Arial" w:eastAsia="Arial" w:hAnsi="Arial"/>
          <w:b/>
          <w:bCs/>
          <w:color w:val="1A1A1A"/>
          <w:sz w:val="19"/>
          <w:szCs w:val="19"/>
        </w:rPr>
        <w:t xml:space="preserve">Strategic Growth &amp; Deal Execution: </w:t>
      </w:r>
      <w:r>
        <w:rPr>
          <w:rFonts w:ascii="Arial" w:cs="Arial" w:eastAsia="Arial" w:hAnsi="Arial"/>
          <w:color w:val="1A1A1A"/>
          <w:sz w:val="19"/>
          <w:szCs w:val="19"/>
        </w:rPr>
        <w:t xml:space="preserve">Co-led executive engagements and defined a multi-year GCP/GenAI transformation roadmap that secured a $60M+ enterprise deal with a Fortune 500 advertising holding company.</w:t>
      </w:r>
    </w:p>
    <w:p>
      <w:pPr>
        <w:pStyle w:val="ListParagraph"/>
        <w:numPr>
          <w:ilvl w:val="0"/>
          <w:numId w:val="1"/>
        </w:numPr>
        <w:spacing w:after="70" w:before="0"/>
        <w:ind w:left="270" w:hanging="270"/>
      </w:pPr>
      <w:r>
        <w:rPr>
          <w:rFonts w:ascii="Arial" w:cs="Arial" w:eastAsia="Arial" w:hAnsi="Arial"/>
          <w:b/>
          <w:bCs/>
          <w:color w:val="1A1A1A"/>
          <w:sz w:val="19"/>
          <w:szCs w:val="19"/>
        </w:rPr>
        <w:t xml:space="preserve">Migration Frameworks &amp; Architecture Standards: </w:t>
      </w:r>
      <w:r>
        <w:rPr>
          <w:rFonts w:ascii="Arial" w:cs="Arial" w:eastAsia="Arial" w:hAnsi="Arial"/>
          <w:color w:val="1A1A1A"/>
          <w:sz w:val="19"/>
          <w:szCs w:val="19"/>
        </w:rPr>
        <w:t xml:space="preserve">Player-coach across 15+ large-scale cloud migrations; authored enterprise GCP architecture standards that reduced architecture review cycles by 40% and standardized IaC/validation frameworks, cutting migration effort by 30% with 98% CSAT.</w:t>
      </w:r>
    </w:p>
    <w:p>
      <w:pPr>
        <w:keepNext/>
        <w:tabs>
          <w:tab w:val="right" w:pos="10080"/>
        </w:tabs>
        <w:spacing w:after="20" w:before="90"/>
      </w:pPr>
      <w:r>
        <w:rPr>
          <w:rFonts w:ascii="Arial" w:cs="Arial" w:eastAsia="Arial" w:hAnsi="Arial"/>
          <w:b/>
          <w:bCs/>
          <w:color w:val="1A1A1A"/>
          <w:sz w:val="21"/>
          <w:szCs w:val="21"/>
        </w:rPr>
        <w:t xml:space="preserve">Enterprise Solutions Architect – Data Engineering</w:t>
      </w:r>
      <w:r>
        <w:rPr>
          <w:rFonts w:ascii="Arial" w:cs="Arial" w:eastAsia="Arial" w:hAnsi="Arial"/>
          <w:i/>
          <w:iCs/>
          <w:color w:val="444444"/>
          <w:sz w:val="19"/>
          <w:szCs w:val="19"/>
        </w:rPr>
        <w:t xml:space="preserve">	Jun 2018 – Nov 2020</w:t>
      </w:r>
    </w:p>
    <w:p>
      <w:pPr>
        <w:keepNext/>
        <w:spacing w:after="50" w:before="0"/>
      </w:pPr>
      <w:hyperlink w:history="1" r:id="rIdeof4cnik_weu-x1pl9fl1">
        <w:r>
          <w:rPr>
            <w:rFonts w:ascii="Arial" w:cs="Arial" w:eastAsia="Arial" w:hAnsi="Arial"/>
            <w:b/>
            <w:bCs/>
            <w:color w:val="1B3A6B"/>
            <w:sz w:val="19"/>
            <w:szCs w:val="19"/>
            <w:u w:val="single"/>
          </w:rPr>
          <w:t xml:space="preserve">Qlik</w:t>
        </w:r>
      </w:hyperlink>
      <w:r>
        <w:rPr>
          <w:rFonts w:ascii="Arial" w:cs="Arial" w:eastAsia="Arial" w:hAnsi="Arial"/>
          <w:i/>
          <w:iCs/>
          <w:color w:val="888888"/>
          <w:sz w:val="19"/>
          <w:szCs w:val="19"/>
        </w:rPr>
        <w:t xml:space="preserve">  —  New York, NY</w:t>
      </w:r>
    </w:p>
    <w:p>
      <w:pPr>
        <w:pStyle w:val="ListParagraph"/>
        <w:numPr>
          <w:ilvl w:val="0"/>
          <w:numId w:val="1"/>
        </w:numPr>
        <w:spacing w:after="70" w:before="0"/>
        <w:ind w:left="270" w:hanging="270"/>
      </w:pPr>
      <w:r>
        <w:rPr>
          <w:rFonts w:ascii="Arial" w:cs="Arial" w:eastAsia="Arial" w:hAnsi="Arial"/>
          <w:b/>
          <w:bCs/>
          <w:color w:val="1A1A1A"/>
          <w:sz w:val="19"/>
          <w:szCs w:val="19"/>
        </w:rPr>
        <w:t xml:space="preserve">Technical Strategy &amp; Value Realization: </w:t>
      </w:r>
      <w:r>
        <w:rPr>
          <w:rFonts w:ascii="Arial" w:cs="Arial" w:eastAsia="Arial" w:hAnsi="Arial"/>
          <w:color w:val="1A1A1A"/>
          <w:sz w:val="19"/>
          <w:szCs w:val="19"/>
        </w:rPr>
        <w:t xml:space="preserve">Led technical evaluation strategies, solution design, and architectural demonstrations for 10+ Fortune 500 clients, driving $15M+ in ARR by proving clear operational outcomes.</w:t>
      </w:r>
    </w:p>
    <w:p>
      <w:pPr>
        <w:pStyle w:val="ListParagraph"/>
        <w:numPr>
          <w:ilvl w:val="0"/>
          <w:numId w:val="1"/>
        </w:numPr>
        <w:spacing w:after="70" w:before="0"/>
        <w:ind w:left="270" w:hanging="270"/>
      </w:pPr>
      <w:r>
        <w:rPr>
          <w:rFonts w:ascii="Arial" w:cs="Arial" w:eastAsia="Arial" w:hAnsi="Arial"/>
          <w:b/>
          <w:bCs/>
          <w:color w:val="1A1A1A"/>
          <w:sz w:val="19"/>
          <w:szCs w:val="19"/>
        </w:rPr>
        <w:t xml:space="preserve">Automated Analytics Architecture: </w:t>
      </w:r>
      <w:r>
        <w:rPr>
          <w:rFonts w:ascii="Arial" w:cs="Arial" w:eastAsia="Arial" w:hAnsi="Arial"/>
          <w:color w:val="1A1A1A"/>
          <w:sz w:val="19"/>
          <w:szCs w:val="19"/>
        </w:rPr>
        <w:t xml:space="preserve">Designed production data lake and warehouse solutions (AWS S3, Azure), automating provisioning workflows to reduce deployment timelines from weeks to hours at 99.9% uptime.</w:t>
      </w:r>
    </w:p>
    <w:p>
      <w:pPr>
        <w:keepNext/>
        <w:tabs>
          <w:tab w:val="right" w:pos="10080"/>
        </w:tabs>
        <w:spacing w:after="20" w:before="90"/>
      </w:pPr>
      <w:r>
        <w:rPr>
          <w:rFonts w:ascii="Arial" w:cs="Arial" w:eastAsia="Arial" w:hAnsi="Arial"/>
          <w:b/>
          <w:bCs/>
          <w:color w:val="1A1A1A"/>
          <w:sz w:val="21"/>
          <w:szCs w:val="21"/>
        </w:rPr>
        <w:t xml:space="preserve">Lead Application Developer</w:t>
      </w:r>
      <w:r>
        <w:rPr>
          <w:rFonts w:ascii="Arial" w:cs="Arial" w:eastAsia="Arial" w:hAnsi="Arial"/>
          <w:i/>
          <w:iCs/>
          <w:color w:val="444444"/>
          <w:sz w:val="19"/>
          <w:szCs w:val="19"/>
        </w:rPr>
        <w:t xml:space="preserve">	Aug 2014 – Apr 2018</w:t>
      </w:r>
    </w:p>
    <w:p>
      <w:pPr>
        <w:keepNext/>
        <w:spacing w:after="50" w:before="0"/>
      </w:pPr>
      <w:hyperlink w:history="1" r:id="rId7arevsfgsgfeu6ib4hxdz">
        <w:r>
          <w:rPr>
            <w:rFonts w:ascii="Arial" w:cs="Arial" w:eastAsia="Arial" w:hAnsi="Arial"/>
            <w:b/>
            <w:bCs/>
            <w:color w:val="1B3A6B"/>
            <w:sz w:val="19"/>
            <w:szCs w:val="19"/>
            <w:u w:val="single"/>
          </w:rPr>
          <w:t xml:space="preserve">ADP</w:t>
        </w:r>
      </w:hyperlink>
      <w:r>
        <w:rPr>
          <w:rFonts w:ascii="Arial" w:cs="Arial" w:eastAsia="Arial" w:hAnsi="Arial"/>
          <w:i/>
          <w:iCs/>
          <w:color w:val="888888"/>
          <w:sz w:val="19"/>
          <w:szCs w:val="19"/>
        </w:rPr>
        <w:t xml:space="preserve">  —  New York, NY</w:t>
      </w:r>
    </w:p>
    <w:p>
      <w:pPr>
        <w:pStyle w:val="ListParagraph"/>
        <w:numPr>
          <w:ilvl w:val="0"/>
          <w:numId w:val="1"/>
        </w:numPr>
        <w:spacing w:after="70" w:before="0"/>
        <w:ind w:left="270" w:hanging="270"/>
      </w:pPr>
      <w:r>
        <w:rPr>
          <w:rFonts w:ascii="Arial" w:cs="Arial" w:eastAsia="Arial" w:hAnsi="Arial"/>
          <w:b/>
          <w:bCs/>
          <w:color w:val="1A1A1A"/>
          <w:sz w:val="19"/>
          <w:szCs w:val="19"/>
        </w:rPr>
        <w:t xml:space="preserve">Microservices &amp; CI/CD Pipeline Leadership: </w:t>
      </w:r>
      <w:r>
        <w:rPr>
          <w:rFonts w:ascii="Arial" w:cs="Arial" w:eastAsia="Arial" w:hAnsi="Arial"/>
          <w:color w:val="1A1A1A"/>
          <w:sz w:val="19"/>
          <w:szCs w:val="19"/>
        </w:rPr>
        <w:t xml:space="preserve">Directed two development teams integrating cloud microservices into ADP's core platform, establishing modern CI/CD release controls, automated testing, and agile delivery standards.</w:t>
      </w:r>
    </w:p>
    <w:p>
      <w:pPr>
        <w:keepNext/>
        <w:tabs>
          <w:tab w:val="right" w:pos="10080"/>
        </w:tabs>
        <w:spacing w:after="20" w:before="90"/>
      </w:pPr>
      <w:r>
        <w:rPr>
          <w:rFonts w:ascii="Arial" w:cs="Arial" w:eastAsia="Arial" w:hAnsi="Arial"/>
          <w:b/>
          <w:bCs/>
          <w:color w:val="1A1A1A"/>
          <w:sz w:val="21"/>
          <w:szCs w:val="21"/>
        </w:rPr>
        <w:t xml:space="preserve">Technology Consultant – Data and Analytics</w:t>
      </w:r>
      <w:r>
        <w:rPr>
          <w:rFonts w:ascii="Arial" w:cs="Arial" w:eastAsia="Arial" w:hAnsi="Arial"/>
          <w:i/>
          <w:iCs/>
          <w:color w:val="444444"/>
          <w:sz w:val="19"/>
          <w:szCs w:val="19"/>
        </w:rPr>
        <w:t xml:space="preserve">	Oct 2011 – Aug 2014</w:t>
      </w:r>
    </w:p>
    <w:p>
      <w:pPr>
        <w:keepNext/>
        <w:spacing w:after="50" w:before="0"/>
      </w:pPr>
      <w:hyperlink w:history="1" r:id="rId7-njufryghwlpghmv3irr">
        <w:r>
          <w:rPr>
            <w:rFonts w:ascii="Arial" w:cs="Arial" w:eastAsia="Arial" w:hAnsi="Arial"/>
            <w:b/>
            <w:bCs/>
            <w:color w:val="1B3A6B"/>
            <w:sz w:val="19"/>
            <w:szCs w:val="19"/>
            <w:u w:val="single"/>
          </w:rPr>
          <w:t xml:space="preserve">EY (UMT Consulting Group)</w:t>
        </w:r>
      </w:hyperlink>
      <w:r>
        <w:rPr>
          <w:rFonts w:ascii="Arial" w:cs="Arial" w:eastAsia="Arial" w:hAnsi="Arial"/>
          <w:i/>
          <w:iCs/>
          <w:color w:val="888888"/>
          <w:sz w:val="19"/>
          <w:szCs w:val="19"/>
        </w:rPr>
        <w:t xml:space="preserve">  —  New York, NY</w:t>
      </w:r>
    </w:p>
    <w:p>
      <w:pPr>
        <w:pStyle w:val="ListParagraph"/>
        <w:numPr>
          <w:ilvl w:val="0"/>
          <w:numId w:val="1"/>
        </w:numPr>
        <w:spacing w:after="70" w:before="0"/>
        <w:ind w:left="270" w:hanging="270"/>
      </w:pPr>
      <w:r>
        <w:rPr>
          <w:rFonts w:ascii="Arial" w:cs="Arial" w:eastAsia="Arial" w:hAnsi="Arial"/>
          <w:b/>
          <w:bCs/>
          <w:color w:val="1A1A1A"/>
          <w:sz w:val="19"/>
          <w:szCs w:val="19"/>
        </w:rPr>
        <w:t xml:space="preserve">Enterprise Advisory (Healthcare &amp; Life Sciences): </w:t>
      </w:r>
      <w:r>
        <w:rPr>
          <w:rFonts w:ascii="Arial" w:cs="Arial" w:eastAsia="Arial" w:hAnsi="Arial"/>
          <w:color w:val="1A1A1A"/>
          <w:sz w:val="19"/>
          <w:szCs w:val="19"/>
        </w:rPr>
        <w:t xml:space="preserve">Led complex data and analytics advisory engagements for Fortune 500 Healthcare and Life Sciences clients, delivering audited, compliant solutions in high-rigor environments.</w:t>
      </w:r>
    </w:p>
    <w:p>
      <w:pPr>
        <w:spacing w:after="40" w:before="80"/>
      </w:pPr>
      <w:r>
        <w:rPr>
          <w:rFonts w:ascii="Arial" w:cs="Arial" w:eastAsia="Arial" w:hAnsi="Arial"/>
          <w:i/>
          <w:iCs/>
          <w:color w:val="888888"/>
          <w:sz w:val="18"/>
          <w:szCs w:val="18"/>
        </w:rPr>
        <w:t xml:space="preserve">Earlier Career: Target Health Care, Microsoft, Info Edge Technology — software development and production engineering roles.</w:t>
      </w:r>
    </w:p>
    <w:p>
      <w:pPr>
        <w:pBdr>
          <w:bottom w:val="single" w:color="C6992A" w:sz="4" w:space="2"/>
        </w:pBdr>
        <w:spacing w:after="90" w:before="150"/>
      </w:pPr>
      <w:r>
        <w:rPr>
          <w:rFonts w:ascii="Arial" w:cs="Arial" w:eastAsia="Arial" w:hAnsi="Arial"/>
          <w:b/>
          <w:bCs/>
          <w:color w:val="1B3A6B"/>
          <w:sz w:val="22"/>
          <w:szCs w:val="22"/>
        </w:rPr>
        <w:t xml:space="preserve">EDUCATION &amp; CERTIFICATIONS</w:t>
      </w:r>
    </w:p>
    <w:p>
      <w:pPr>
        <w:spacing w:after="30" w:before="50"/>
      </w:pPr>
      <w:r>
        <w:rPr>
          <w:rFonts w:ascii="Arial" w:cs="Arial" w:eastAsia="Arial" w:hAnsi="Arial"/>
          <w:b/>
          <w:bCs/>
          <w:color w:val="1A1A1A"/>
          <w:sz w:val="20"/>
          <w:szCs w:val="20"/>
        </w:rPr>
        <w:t xml:space="preserve">Google Cloud Professional Certifications (3)</w:t>
      </w:r>
    </w:p>
    <w:p>
      <w:pPr>
        <w:spacing w:after="50" w:before="0"/>
      </w:pPr>
      <w:r>
        <w:rPr>
          <w:rFonts w:ascii="Arial" w:cs="Arial" w:eastAsia="Arial" w:hAnsi="Arial"/>
          <w:color w:val="444444"/>
          <w:sz w:val="18"/>
          <w:szCs w:val="18"/>
        </w:rPr>
        <w:t xml:space="preserve">Professional Cloud Architect  ·  Generative AI Leader  ·  Cloud Digital Leader</w:t>
      </w:r>
    </w:p>
    <w:p>
      <w:pPr>
        <w:spacing w:after="30" w:before="30"/>
      </w:pPr>
      <w:r>
        <w:rPr>
          <w:rFonts w:ascii="Arial" w:cs="Arial" w:eastAsia="Arial" w:hAnsi="Arial"/>
          <w:b/>
          <w:bCs/>
          <w:color w:val="1A1A1A"/>
          <w:sz w:val="20"/>
          <w:szCs w:val="20"/>
        </w:rPr>
        <w:t xml:space="preserve">Google Cloud Partner Specialist Certifications (2)</w:t>
      </w:r>
    </w:p>
    <w:p>
      <w:pPr>
        <w:spacing w:after="50" w:before="0"/>
      </w:pPr>
      <w:r>
        <w:rPr>
          <w:rFonts w:ascii="Arial" w:cs="Arial" w:eastAsia="Arial" w:hAnsi="Arial"/>
          <w:color w:val="444444"/>
          <w:sz w:val="18"/>
          <w:szCs w:val="18"/>
        </w:rPr>
        <w:t xml:space="preserve">Gemini Enterprise Agent Development  ·  Gemini Enterprise Deployment</w:t>
      </w:r>
    </w:p>
    <w:p>
      <w:pPr>
        <w:spacing w:after="30" w:before="30"/>
      </w:pPr>
      <w:r>
        <w:rPr>
          <w:rFonts w:ascii="Arial" w:cs="Arial" w:eastAsia="Arial" w:hAnsi="Arial"/>
          <w:b/>
          <w:bCs/>
          <w:color w:val="1A1A1A"/>
          <w:sz w:val="20"/>
          <w:szCs w:val="20"/>
        </w:rPr>
        <w:t xml:space="preserve">Google Cloud Technical Expert Badges (4)</w:t>
      </w:r>
    </w:p>
    <w:p>
      <w:pPr>
        <w:spacing w:after="70" w:before="0"/>
      </w:pPr>
      <w:r>
        <w:rPr>
          <w:rFonts w:ascii="Arial" w:cs="Arial" w:eastAsia="Arial" w:hAnsi="Arial"/>
          <w:color w:val="444444"/>
          <w:sz w:val="18"/>
          <w:szCs w:val="18"/>
        </w:rPr>
        <w:t xml:space="preserve">Build with Vertex AI  ·  AI/ML Pre-sales  ·  Data Analytics Pre-sales  ·  Infrastructure Modernization Pre-sales</w:t>
      </w:r>
    </w:p>
    <w:p>
      <w:pPr>
        <w:spacing w:after="20" w:before="30"/>
      </w:pPr>
      <w:r>
        <w:rPr>
          <w:rFonts w:ascii="Arial" w:cs="Arial" w:eastAsia="Arial" w:hAnsi="Arial"/>
          <w:color w:val="1A1A1A"/>
          <w:sz w:val="19"/>
          <w:szCs w:val="19"/>
        </w:rPr>
        <w:t xml:space="preserve">Master of Science, Electronics &amp; Computer Science — Polytechnic Institute of NYU, New York, NY</w:t>
      </w:r>
      <w:r>
        <w:rPr>
          <w:rFonts w:ascii="Arial" w:cs="Arial" w:eastAsia="Arial" w:hAnsi="Arial"/>
          <w:i/>
          <w:iCs/>
          <w:color w:val="888888"/>
          <w:sz w:val="18"/>
          <w:szCs w:val="18"/>
        </w:rPr>
        <w:t xml:space="preserve">  (Dec 2008)</w:t>
      </w:r>
    </w:p>
    <w:p>
      <w:pPr>
        <w:spacing w:after="0" w:before="0"/>
      </w:pPr>
      <w:r>
        <w:rPr>
          <w:rFonts w:ascii="Arial" w:cs="Arial" w:eastAsia="Arial" w:hAnsi="Arial"/>
          <w:color w:val="1A1A1A"/>
          <w:sz w:val="19"/>
          <w:szCs w:val="19"/>
        </w:rPr>
        <w:t xml:space="preserve">Bachelor of Engineering — Mumbai University, India</w:t>
      </w:r>
      <w:r>
        <w:rPr>
          <w:rFonts w:ascii="Arial" w:cs="Arial" w:eastAsia="Arial" w:hAnsi="Arial"/>
          <w:i/>
          <w:iCs/>
          <w:color w:val="888888"/>
          <w:sz w:val="18"/>
          <w:szCs w:val="18"/>
        </w:rPr>
        <w:t xml:space="preserve">  (May 2005)</w:t>
      </w:r>
    </w:p>
    <w:sectPr>
      <w:pgSz w:w="12240" w:h="15840" w:orient="portrait"/>
      <w:pgMar w:top="860" w:right="1080" w:bottom="8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n8ko7xnj0rpoatyfuvf5k" Type="http://schemas.openxmlformats.org/officeDocument/2006/relationships/hyperlink" Target="https://www.linkedin.com/in/kunalganorkar/" TargetMode="External"/><Relationship Id="rIdat0jwbyqzmp-8xyygl1gy" Type="http://schemas.openxmlformats.org/officeDocument/2006/relationships/hyperlink" Target="https://execengineer.github.io/resume.github.io/" TargetMode="External"/><Relationship Id="rIdtufnee8ngrqiax85aae6k" Type="http://schemas.openxmlformats.org/officeDocument/2006/relationships/hyperlink" Target="https://www.credly.com/users/kunal-ganorkar/badges" TargetMode="External"/><Relationship Id="rId54j3t7x0ywz0m0k09y8id" Type="http://schemas.openxmlformats.org/officeDocument/2006/relationships/hyperlink" Target="mailto:kunal.ganorkar@gmail.com" TargetMode="External"/><Relationship Id="rIdhdpflejd_qnc560ysnzur" Type="http://schemas.openxmlformats.org/officeDocument/2006/relationships/hyperlink" Target="https://www.omnicommediagroup.com/" TargetMode="External"/><Relationship Id="rId9elrcqgct93zgcyfcfzpg" Type="http://schemas.openxmlformats.org/officeDocument/2006/relationships/hyperlink" Target="https://sada.com/" TargetMode="External"/><Relationship Id="rIdtt8gaewwnhhwtqcmnmjrr" Type="http://schemas.openxmlformats.org/officeDocument/2006/relationships/hyperlink" Target="https://www.stagwellglobal.com/stagwell-stgw-partners-with-google-cloud-and-sada-to-develop-marketing-focused-generative-ai-solutions/" TargetMode="External"/><Relationship Id="rIdeof4cnik_weu-x1pl9fl1" Type="http://schemas.openxmlformats.org/officeDocument/2006/relationships/hyperlink" Target="https://www.qlik.com/us/company" TargetMode="External"/><Relationship Id="rId7arevsfgsgfeu6ib4hxdz" Type="http://schemas.openxmlformats.org/officeDocument/2006/relationships/hyperlink" Target="https://www.adp.com/" TargetMode="External"/><Relationship Id="rId7-njufryghwlpghmv3irr" Type="http://schemas.openxmlformats.org/officeDocument/2006/relationships/hyperlink" Target="https://www.ey.com/en_u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2026-10-05T19:32:42.846Z</dcterms:created>
  <dcterms:modified xsi:type="dcterms:W3CDTF">2026-10-05T19:32:42.846Z</dcterms:modified>
</cp:coreProperties>
</file>

<file path=docProps/custom.xml><?xml version="1.0" encoding="utf-8"?>
<Properties xmlns="http://schemas.openxmlformats.org/officeDocument/2006/custom-properties" xmlns:vt="http://schemas.openxmlformats.org/officeDocument/2006/docPropsVTypes"/>
</file>