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customXml/item3.xml" ContentType="application/xml"/>
  <Override PartName="/customXml/item1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tLeast" w:line="241" w:before="240" w:after="80"/>
        <w:rPr/>
      </w:pPr>
      <w:r>
        <w:rPr>
          <w:color w:val="000080"/>
          <w:sz w:val="36"/>
          <w:szCs w:val="36"/>
        </w:rPr>
        <w:t>Corso Introduttivo: Data Science con Python</w:t>
      </w:r>
    </w:p>
    <w:p>
      <w:pPr>
        <w:pStyle w:val="Normal"/>
        <w:spacing w:lineRule="atLeast" w:line="241" w:before="240" w:after="80"/>
        <w:rPr/>
      </w:pPr>
      <w:r>
        <w:rPr>
          <w:rFonts w:eastAsia="Times New Roman"/>
          <w:b/>
          <w:bCs/>
        </w:rPr>
        <w:t>Coordinatore:</w:t>
      </w:r>
      <w:r>
        <w:rPr>
          <w:rFonts w:eastAsia="Times New Roman"/>
          <w:color w:val="002060"/>
          <w:sz w:val="24"/>
          <w:szCs w:val="24"/>
        </w:rPr>
        <w:t xml:space="preserve"> Emmanuele Somma (SEC)</w:t>
      </w:r>
    </w:p>
    <w:p>
      <w:pPr>
        <w:pStyle w:val="Normal"/>
        <w:spacing w:lineRule="atLeast" w:line="241" w:before="240" w:after="80"/>
        <w:rPr/>
      </w:pPr>
      <w:r>
        <w:rPr>
          <w:rFonts w:eastAsia="Times New Roman"/>
          <w:b/>
          <w:bCs/>
        </w:rPr>
        <w:t>Periodo di svolgimento</w:t>
      </w:r>
      <w:r>
        <w:rPr>
          <w:rFonts w:eastAsia="Times New Roman"/>
          <w:color w:val="002060"/>
          <w:sz w:val="24"/>
          <w:szCs w:val="24"/>
        </w:rPr>
        <w:t xml:space="preserve">: </w:t>
      </w:r>
      <w:r>
        <w:rPr>
          <w:rFonts w:eastAsia="Times New Roman" w:cs="Times New Roman"/>
          <w:color w:val="00000A"/>
          <w:sz w:val="24"/>
          <w:szCs w:val="24"/>
        </w:rPr>
        <w:t>Gennaio-Marzo 2018</w:t>
      </w:r>
    </w:p>
    <w:p>
      <w:pPr>
        <w:pStyle w:val="Normal"/>
        <w:spacing w:lineRule="atLeast" w:line="241" w:before="0" w:after="80"/>
        <w:jc w:val="left"/>
        <w:rPr/>
      </w:pPr>
      <w:r>
        <w:rPr>
          <w:rFonts w:eastAsia="Times New Roman"/>
        </w:rPr>
        <w:t>Obiettivi:</w:t>
      </w:r>
    </w:p>
    <w:p>
      <w:pPr>
        <w:sectPr>
          <w:type w:val="nextPage"/>
          <w:pgSz w:w="11906" w:h="16838"/>
          <w:pgMar w:left="1134" w:right="1134" w:header="0" w:top="1417" w:footer="0" w:bottom="1134" w:gutter="0"/>
          <w:pgNumType w:fmt="decimal"/>
          <w:formProt w:val="false"/>
          <w:textDirection w:val="lrTb"/>
          <w:docGrid w:type="default" w:linePitch="360" w:charSpace="4294965247"/>
        </w:sectPr>
      </w:pPr>
    </w:p>
    <w:p>
      <w:pPr>
        <w:pStyle w:val="Heading1"/>
        <w:spacing w:before="0" w:after="0"/>
        <w:rPr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 xml:space="preserve">Il corso risponde alla esigenza di aggiornamento e formazione nell’ambito di alcuni gruppi di lavoro sia all’interno del dipartimento Economia e Statistica che inter-dipartimentali (es. Big Data). Python è il linguaggio professionale della comunità internazionale dei Data Scientists, in special modo quelli coinvolti nei progetti di Big Data. Python è un linguaggio general-purpose con una sintassi semplice ed una curva di apprendimento relativamente piatta. Nella </w:t>
      </w:r>
      <w:r>
        <w:rPr>
          <w:rFonts w:eastAsia="Oxygen" w:cs="Oxygen" w:ascii="Optima" w:hAnsi="Optima"/>
          <w:b/>
          <w:bCs/>
          <w:sz w:val="24"/>
          <w:szCs w:val="24"/>
        </w:rPr>
        <w:t>prima parte</w:t>
      </w:r>
      <w:r>
        <w:rPr>
          <w:rFonts w:eastAsia="Oxygen" w:cs="Oxygen" w:ascii="Optima" w:hAnsi="Optima"/>
          <w:sz w:val="24"/>
          <w:szCs w:val="24"/>
        </w:rPr>
        <w:t xml:space="preserve"> il corso introduce il linguaggio di programmazione con una particolare attenzione all’ambito di  riferimento dell’analisi dei dati, la loro visualizzazione e l’applicazione di algoritmi scientifici. </w:t>
      </w:r>
      <w:r>
        <w:rPr>
          <w:rFonts w:eastAsia="Oxygen" w:cs="Oxygen" w:ascii="Optima" w:hAnsi="Optima"/>
          <w:color w:val="00000A"/>
          <w:sz w:val="24"/>
          <w:szCs w:val="24"/>
        </w:rPr>
        <w:t xml:space="preserve">La </w:t>
      </w:r>
      <w:r>
        <w:rPr>
          <w:rFonts w:eastAsia="Oxygen" w:cs="Oxygen" w:ascii="Optima" w:hAnsi="Optima"/>
          <w:b/>
          <w:bCs/>
          <w:color w:val="00000A"/>
          <w:sz w:val="24"/>
          <w:szCs w:val="24"/>
        </w:rPr>
        <w:t>seconda parte</w:t>
      </w:r>
      <w:r>
        <w:rPr>
          <w:rFonts w:eastAsia="Oxygen" w:cs="Oxygen" w:ascii="Optima" w:hAnsi="Optima"/>
          <w:color w:val="00000A"/>
          <w:sz w:val="24"/>
          <w:szCs w:val="24"/>
        </w:rPr>
        <w:t xml:space="preserve"> prevede lezioni monografiche su alcuni temi di particolare interesse come l’analisi dei dati testuali e provenienti dai social media, l’acquisizione dei dati da web (web-scraping), l’analisi predittiva e alcune tecniche di machine-learning.</w:t>
      </w:r>
    </w:p>
    <w:p>
      <w:pPr>
        <w:pStyle w:val="Normal"/>
        <w:jc w:val="left"/>
        <w:rPr>
          <w:rFonts w:ascii="Optima" w:hAnsi="Optima" w:eastAsia="Oxygen" w:cs="Oxygen"/>
          <w:b/>
          <w:b/>
          <w:color w:val="00000A"/>
          <w:sz w:val="24"/>
          <w:szCs w:val="24"/>
          <w:u w:val="single"/>
        </w:rPr>
      </w:pPr>
      <w:r>
        <w:rPr>
          <w:rFonts w:eastAsia="Oxygen" w:cs="Oxygen" w:ascii="Optima" w:hAnsi="Optima"/>
          <w:b/>
          <w:color w:val="00000A"/>
          <w:sz w:val="24"/>
          <w:szCs w:val="24"/>
          <w:u w:val="single"/>
        </w:rPr>
        <w:t>Obiettivi di apprendimento:</w:t>
      </w:r>
    </w:p>
    <w:p>
      <w:pPr>
        <w:pStyle w:val="Normal"/>
        <w:numPr>
          <w:ilvl w:val="0"/>
          <w:numId w:val="2"/>
        </w:numPr>
        <w:spacing w:before="0" w:after="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Sintassi, strutture dati e controllo del linguaggio Python</w:t>
      </w:r>
    </w:p>
    <w:p>
      <w:pPr>
        <w:pStyle w:val="Normal"/>
        <w:numPr>
          <w:ilvl w:val="0"/>
          <w:numId w:val="2"/>
        </w:numPr>
        <w:spacing w:before="0" w:after="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Procedure basilari della data-science</w:t>
      </w:r>
    </w:p>
    <w:p>
      <w:pPr>
        <w:pStyle w:val="Normal"/>
        <w:numPr>
          <w:ilvl w:val="0"/>
          <w:numId w:val="2"/>
        </w:numPr>
        <w:spacing w:before="0" w:after="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Utilizzo degli ambienti di lavoro Python e Jupyter</w:t>
      </w:r>
    </w:p>
    <w:p>
      <w:pPr>
        <w:pStyle w:val="Normal"/>
        <w:numPr>
          <w:ilvl w:val="0"/>
          <w:numId w:val="2"/>
        </w:numPr>
        <w:spacing w:before="0" w:after="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Comprensione delle tecniche di manipolazione di dataset</w:t>
      </w:r>
    </w:p>
    <w:p>
      <w:pPr>
        <w:pStyle w:val="Normal"/>
        <w:numPr>
          <w:ilvl w:val="0"/>
          <w:numId w:val="2"/>
        </w:numPr>
        <w:spacing w:before="0" w:after="0"/>
        <w:contextualSpacing/>
        <w:jc w:val="left"/>
        <w:rPr>
          <w:rFonts w:ascii="Optima" w:hAnsi="Optima" w:eastAsia="Oxygen" w:cs="Oxygen"/>
          <w:sz w:val="24"/>
          <w:szCs w:val="24"/>
        </w:rPr>
      </w:pPr>
      <w:r>
        <w:rPr>
          <w:rFonts w:eastAsia="Oxygen" w:cs="Oxygen" w:ascii="Optima" w:hAnsi="Optima"/>
          <w:sz w:val="24"/>
          <w:szCs w:val="24"/>
        </w:rPr>
        <w:t>Analisi scientifica di base e principali metodi di machine-learning</w:t>
      </w:r>
    </w:p>
    <w:p>
      <w:pPr>
        <w:pStyle w:val="Normal"/>
        <w:numPr>
          <w:ilvl w:val="0"/>
          <w:numId w:val="2"/>
        </w:numPr>
        <w:spacing w:before="0" w:after="0"/>
        <w:contextualSpacing/>
        <w:jc w:val="left"/>
        <w:rPr/>
      </w:pPr>
      <w:r>
        <w:rPr>
          <w:rFonts w:eastAsia="Oxygen" w:cs="Oxygen" w:ascii="Optima" w:hAnsi="Optima"/>
          <w:color w:val="00000A"/>
          <w:sz w:val="24"/>
          <w:szCs w:val="24"/>
        </w:rPr>
        <w:t>Rappresentazione in modo efficace i risultati in forma grafica</w:t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widowControl/>
        <w:overflowPunct w:val="true"/>
        <w:spacing w:lineRule="exact" w:line="241" w:before="240" w:after="240"/>
        <w:rPr/>
      </w:pPr>
      <w:r>
        <w:rPr>
          <w:rFonts w:eastAsia="Times New Roman" w:cs="Times New Roman"/>
          <w:b/>
          <w:bCs/>
          <w:sz w:val="28"/>
          <w:szCs w:val="28"/>
          <w14:cntxtAlts/>
        </w:rPr>
        <w:t>Contenuti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Caratteristiche  base del linguaggio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Caratteristiche avanzate</w:t>
        <w:tab/>
        <w:tab/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Ambienti di lavoro: Python, IPython, Spyder e Jupyter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Visualizzazione dei dati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Plotting interattivo e Interfacce utente grafiche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Customizzare IPython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Calcolo Numerico con NumPy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Algoritmi scientifici con SciPy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Data mining con Scipy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Analisi delle serie storiche (pandas)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Registrare, processare e conservare i dati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Lavorare con i database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Web-scraping dei dati su Internet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Calcolo High-performance e Parallelo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Analizzare i dati testuali e i social media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Analisi predittiva e machine learning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Il Web semantico e i linked open data</w:t>
      </w:r>
    </w:p>
    <w:p>
      <w:pPr>
        <w:pStyle w:val="Normal"/>
        <w:widowControl/>
        <w:overflowPunct w:val="true"/>
        <w:spacing w:lineRule="exact" w:line="241" w:before="0" w:after="240"/>
        <w:rPr>
          <w:rFonts w:eastAsia="Times New Roman" w:cs="Times New Roman"/>
          <w:b/>
          <w:b/>
          <w:bCs/>
          <w:sz w:val="28"/>
          <w:szCs w:val="28"/>
          <w14:cntxtAlts/>
        </w:rPr>
      </w:pPr>
      <w:r>
        <w:br w:type="column"/>
      </w:r>
      <w:r>
        <w:rPr>
          <w:rFonts w:eastAsia="Times New Roman" w:cs="Times New Roman"/>
          <w:b/>
          <w:bCs/>
          <w:sz w:val="28"/>
          <w:szCs w:val="28"/>
          <w14:cntxtAlts/>
        </w:rPr>
        <w:t>Destinatari</w:t>
      </w:r>
    </w:p>
    <w:p>
      <w:pPr>
        <w:pStyle w:val="Normal"/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Il corso è rivolto a ricercatori, tecnologi o assistenti di ricerca con una pregressa conoscenza o di un linguaggio di programmazione generico o scientifico, o di un pacchetto scientifico per l’analisi dei dati a livello basilare.</w:t>
      </w:r>
    </w:p>
    <w:p>
      <w:pPr>
        <w:pStyle w:val="Normal"/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Si assume solo la conoscenza di:</w:t>
      </w:r>
    </w:p>
    <w:p>
      <w:pPr>
        <w:pStyle w:val="Normal"/>
        <w:numPr>
          <w:ilvl w:val="0"/>
          <w:numId w:val="3"/>
        </w:numPr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come creare, assegnare e usare le variabili</w:t>
      </w:r>
    </w:p>
    <w:p>
      <w:pPr>
        <w:pStyle w:val="Normal"/>
        <w:numPr>
          <w:ilvl w:val="0"/>
          <w:numId w:val="3"/>
        </w:numPr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come scrivere programmi con i cicli (loop)</w:t>
      </w:r>
    </w:p>
    <w:p>
      <w:pPr>
        <w:pStyle w:val="Normal"/>
        <w:numPr>
          <w:ilvl w:val="0"/>
          <w:numId w:val="3"/>
        </w:numPr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come scrivere programmi con scelte condizionali (if)</w:t>
      </w:r>
    </w:p>
    <w:p>
      <w:pPr>
        <w:pStyle w:val="Normal"/>
        <w:numPr>
          <w:ilvl w:val="0"/>
          <w:numId w:val="3"/>
        </w:numPr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 xml:space="preserve">come realizzare e usare e le funzioni </w:t>
      </w:r>
    </w:p>
    <w:p>
      <w:pPr>
        <w:pStyle w:val="Normal"/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Per poter seguire gli esempi durante il corso è utile usare un computer portatile con una recente installazione della distribuzione scientifica Anaconda Python.</w:t>
      </w:r>
    </w:p>
    <w:p>
      <w:pPr>
        <w:pStyle w:val="Normal"/>
        <w:overflowPunct w:val="true"/>
        <w:spacing w:lineRule="exact" w:line="241" w:before="0" w:after="80"/>
        <w:jc w:val="left"/>
        <w:rPr/>
      </w:pPr>
      <w:r>
        <w:rPr>
          <w:rFonts w:eastAsia="Times New Roman" w:cs="Times New Roman"/>
          <w14:cntxtAlts/>
        </w:rPr>
        <w:t>Il numero massimo di partecipanti è limitato dalla capienza della sala scelta per gli interventi (la Galleria del Centro Ciampi ha almeno 120 posti a sedere). Il numero dei partecipanti in modalità online/videoconferenza può essere non limitato.</w:t>
        <w:br/>
      </w:r>
    </w:p>
    <w:p>
      <w:pPr>
        <w:pStyle w:val="Normal"/>
        <w:overflowPunct w:val="true"/>
        <w:spacing w:lineRule="exact" w:line="241" w:before="240" w:after="80"/>
        <w:jc w:val="left"/>
        <w:rPr>
          <w:rFonts w:eastAsia="Times New Roman" w:cs="Times New Roman"/>
          <w14:cntxtAlts/>
        </w:rPr>
      </w:pPr>
      <w:r>
        <w:rPr>
          <w:rFonts w:eastAsia="Times New Roman" w:cs="Times New Roman"/>
          <w:b/>
          <w:bCs/>
          <w:sz w:val="28"/>
          <w:szCs w:val="28"/>
          <w14:cntxtAlts/>
        </w:rPr>
        <w:t>Durata, metodologia didattica e docenze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 xml:space="preserve">Durata: il corso avrà la durata di 10 interventi settimanali di 90’ 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>Metodologia didattica: lezioni frontali con distribuzione di materiale didattico e messa a disposizione di programmi d’esempio e dati per le autonome esercitazioni.</w:t>
      </w:r>
    </w:p>
    <w:p>
      <w:pPr>
        <w:pStyle w:val="ListParagraph"/>
        <w:widowControl/>
        <w:numPr>
          <w:ilvl w:val="0"/>
          <w:numId w:val="1"/>
        </w:numPr>
        <w:overflowPunct w:val="true"/>
        <w:ind w:left="284" w:hanging="284"/>
        <w:jc w:val="left"/>
        <w:rPr/>
      </w:pPr>
      <w:r>
        <w:rPr>
          <w:rFonts w:eastAsia="Times New Roman" w:cs="Times New Roman"/>
          <w14:cntxtAlts/>
        </w:rPr>
        <w:t xml:space="preserve">Organizzatore: Biblioteca Paolo Baffi </w:t>
        <w:noBreakHyphen/>
        <w:t xml:space="preserve"> docente interno</w:t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cols w:num="2" w:space="708" w:equalWidth="true" w:sep="false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overflowPunct w:val="true"/>
        <w:rPr/>
      </w:pPr>
      <w:r>
        <w:rPr>
          <w:rFonts w:eastAsia="Times New Roman" w:cs="Times New Roman"/>
          <w14:cntxtAlts/>
        </w:rPr>
        <w:t> </w:t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formProt w:val="false"/>
          <w:textDirection w:val="lrTb"/>
          <w:docGrid w:type="default" w:linePitch="360" w:charSpace="4294965247"/>
        </w:sectPr>
      </w:pP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134" w:right="1134" w:header="0" w:top="1417" w:footer="0" w:bottom="1134" w:gutter="0"/>
          <w:formProt w:val="false"/>
          <w:textDirection w:val="lrTb"/>
          <w:docGrid w:type="default" w:linePitch="360" w:charSpace="4294965247"/>
        </w:sectPr>
      </w:pPr>
    </w:p>
    <w:sectPr>
      <w:type w:val="continuous"/>
      <w:pgSz w:w="11906" w:h="16838"/>
      <w:pgMar w:left="1134" w:right="1134" w:header="0" w:top="1417" w:footer="0" w:bottom="1134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rbel">
    <w:charset w:val="01"/>
    <w:family w:val="roman"/>
    <w:pitch w:val="variable"/>
  </w:font>
  <w:font w:name="Oxyge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ti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Wingdings 2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"/>
      <w:lvlJc w:val="left"/>
      <w:pPr>
        <w:ind w:left="720" w:hanging="360"/>
      </w:pPr>
      <w:rPr>
        <w:rFonts w:ascii="Wingdings 2" w:hAnsi="Wingdings 2" w:cs="Wingdings 2" w:hint="default"/>
        <w:sz w:val="28"/>
        <w:b/>
        <w:rFonts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4"/>
        <w:u w:val="none"/>
        <w:rFonts w:cs="Wingdings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  <w:rFonts w:cs="Wingdings 2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  <w:rFonts w:cs="Wingdings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  <w:rFonts w:cs="Wingdings 2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  <w:rFonts w:cs="Wingdings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  <w:rFonts w:cs="Wingdings 2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trackRevisions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169af"/>
    <w:pPr>
      <w:widowControl w:val="false"/>
      <w:bidi w:val="0"/>
      <w:jc w:val="both"/>
    </w:pPr>
    <w:rPr>
      <w:rFonts w:ascii="Corbel" w:hAnsi="Corbel" w:eastAsia="" w:cs="Corbel" w:eastAsiaTheme="minorEastAsia"/>
      <w:color w:val="000000"/>
      <w:sz w:val="22"/>
      <w:szCs w:val="22"/>
      <w:lang w:eastAsia="it-IT" w:val="it-IT" w:bidi="ar-SA"/>
    </w:rPr>
  </w:style>
  <w:style w:type="paragraph" w:styleId="Heading1">
    <w:name w:val="Heading 1"/>
    <w:qFormat/>
    <w:pPr>
      <w:keepNext/>
      <w:keepLines/>
      <w:widowControl w:val="false"/>
      <w:spacing w:before="400" w:after="120"/>
      <w:outlineLvl w:val="0"/>
    </w:pPr>
    <w:rPr>
      <w:rFonts w:ascii="Calibri" w:hAnsi="Calibri" w:eastAsia="Calibri" w:cs="" w:asciiTheme="minorHAnsi" w:cstheme="minorBidi" w:eastAsiaTheme="minorHAnsi" w:hAnsiTheme="minorHAnsi"/>
      <w:color w:val="auto"/>
      <w:sz w:val="40"/>
      <w:szCs w:val="40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eastAsia="Times New Roman" w:cs="Times New Roman"/>
      <w:b/>
      <w:sz w:val="28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Courier New"/>
    </w:rPr>
  </w:style>
  <w:style w:type="character" w:styleId="ListLabel8" w:customStyle="1">
    <w:name w:val="ListLabel 8"/>
    <w:qFormat/>
    <w:rPr>
      <w:rFonts w:eastAsia="Times New Roman" w:cs="Times New Roman"/>
      <w:sz w:val="12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64" w:customStyle="1">
    <w:name w:val="ListLabel 64"/>
    <w:qFormat/>
    <w:rPr>
      <w:rFonts w:ascii="Oxygen" w:hAnsi="Oxygen"/>
      <w:sz w:val="28"/>
      <w:u w:val="none"/>
    </w:rPr>
  </w:style>
  <w:style w:type="character" w:styleId="ListLabel65" w:customStyle="1">
    <w:name w:val="ListLabel 65"/>
    <w:qFormat/>
    <w:rPr>
      <w:u w:val="none"/>
    </w:rPr>
  </w:style>
  <w:style w:type="character" w:styleId="ListLabel66" w:customStyle="1">
    <w:name w:val="ListLabel 66"/>
    <w:qFormat/>
    <w:rPr>
      <w:u w:val="none"/>
    </w:rPr>
  </w:style>
  <w:style w:type="character" w:styleId="ListLabel67" w:customStyle="1">
    <w:name w:val="ListLabel 67"/>
    <w:qFormat/>
    <w:rPr>
      <w:u w:val="none"/>
    </w:rPr>
  </w:style>
  <w:style w:type="character" w:styleId="ListLabel68" w:customStyle="1">
    <w:name w:val="ListLabel 68"/>
    <w:qFormat/>
    <w:rPr>
      <w:u w:val="none"/>
    </w:rPr>
  </w:style>
  <w:style w:type="character" w:styleId="ListLabel69" w:customStyle="1">
    <w:name w:val="ListLabel 69"/>
    <w:qFormat/>
    <w:rPr>
      <w:u w:val="none"/>
    </w:rPr>
  </w:style>
  <w:style w:type="character" w:styleId="ListLabel70" w:customStyle="1">
    <w:name w:val="ListLabel 70"/>
    <w:qFormat/>
    <w:rPr>
      <w:u w:val="none"/>
    </w:rPr>
  </w:style>
  <w:style w:type="character" w:styleId="ListLabel71" w:customStyle="1">
    <w:name w:val="ListLabel 71"/>
    <w:qFormat/>
    <w:rPr>
      <w:u w:val="none"/>
    </w:rPr>
  </w:style>
  <w:style w:type="character" w:styleId="ListLabel72" w:customStyle="1">
    <w:name w:val="ListLabel 72"/>
    <w:qFormat/>
    <w:rPr>
      <w:u w:val="non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stLabel73">
    <w:name w:val="ListLabel 73"/>
    <w:qFormat/>
    <w:rPr>
      <w:rFonts w:cs="Times New Roman"/>
      <w:b/>
      <w:sz w:val="28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Wingdings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Wingdings"/>
    </w:rPr>
  </w:style>
  <w:style w:type="character" w:styleId="ListLabel82">
    <w:name w:val="ListLabel 82"/>
    <w:qFormat/>
    <w:rPr>
      <w:rFonts w:ascii="Optima" w:hAnsi="Optima" w:cs="Wingdings"/>
      <w:sz w:val="24"/>
      <w:u w:val="none"/>
    </w:rPr>
  </w:style>
  <w:style w:type="character" w:styleId="ListLabel83">
    <w:name w:val="ListLabel 83"/>
    <w:qFormat/>
    <w:rPr>
      <w:rFonts w:cs="Wingdings 2"/>
      <w:u w:val="none"/>
    </w:rPr>
  </w:style>
  <w:style w:type="character" w:styleId="ListLabel84">
    <w:name w:val="ListLabel 84"/>
    <w:qFormat/>
    <w:rPr>
      <w:rFonts w:cs="OpenSymbol"/>
      <w:u w:val="none"/>
    </w:rPr>
  </w:style>
  <w:style w:type="character" w:styleId="ListLabel85">
    <w:name w:val="ListLabel 85"/>
    <w:qFormat/>
    <w:rPr>
      <w:rFonts w:cs="Wingdings"/>
      <w:u w:val="none"/>
    </w:rPr>
  </w:style>
  <w:style w:type="character" w:styleId="ListLabel86">
    <w:name w:val="ListLabel 86"/>
    <w:qFormat/>
    <w:rPr>
      <w:rFonts w:cs="Wingdings 2"/>
      <w:u w:val="none"/>
    </w:rPr>
  </w:style>
  <w:style w:type="character" w:styleId="ListLabel87">
    <w:name w:val="ListLabel 87"/>
    <w:qFormat/>
    <w:rPr>
      <w:rFonts w:cs="OpenSymbol"/>
      <w:u w:val="none"/>
    </w:rPr>
  </w:style>
  <w:style w:type="character" w:styleId="ListLabel88">
    <w:name w:val="ListLabel 88"/>
    <w:qFormat/>
    <w:rPr>
      <w:rFonts w:cs="Wingdings"/>
      <w:u w:val="none"/>
    </w:rPr>
  </w:style>
  <w:style w:type="character" w:styleId="ListLabel89">
    <w:name w:val="ListLabel 89"/>
    <w:qFormat/>
    <w:rPr>
      <w:rFonts w:cs="Wingdings 2"/>
      <w:u w:val="none"/>
    </w:rPr>
  </w:style>
  <w:style w:type="character" w:styleId="ListLabel90">
    <w:name w:val="ListLabel 90"/>
    <w:qFormat/>
    <w:rPr>
      <w:rFonts w:cs="OpenSymbol"/>
      <w:u w:val="none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paragraph" w:styleId="Heading" w:customStyle="1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169af"/>
    <w:pPr>
      <w:spacing w:before="0" w:after="0"/>
      <w:ind w:left="720" w:hanging="0"/>
      <w:contextualSpacing/>
    </w:pPr>
    <w:rPr/>
  </w:style>
  <w:style w:type="paragraph" w:styleId="LOnormal" w:customStyle="1">
    <w:name w:val="LO-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it-IT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47A23E0BD314696B743FC89F56EB8" ma:contentTypeVersion="0" ma:contentTypeDescription="Creare un nuovo documento." ma:contentTypeScope="" ma:versionID="4442ecda67caef6afe3dd48c158d423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3eec16d3e841ebf650196acacb84c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0982C0-446A-4F67-BE4D-9737D3E1A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72DDE-848F-45C5-996E-2B5D47F406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461026-D1BE-4B1F-BA25-115DFE32E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LibreOffice/5.3.3.2$MacOSX_X86_64 LibreOffice_project/3d9a8b4b4e538a85e0782bd6c2d430bafe583448</Application>
  <Pages>2</Pages>
  <Words>481</Words>
  <Characters>2799</Characters>
  <CharactersWithSpaces>3215</CharactersWithSpaces>
  <Paragraphs>44</Paragraphs>
  <Company>Banca d'Italia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2017-07-04T14:02:00Z</dcterms:created>
  <dc:creator>ORLANDI ANGELO</dc:creator>
  <dc:description/>
  <dc:language>en-US</dc:language>
  <cp:lastModifiedBy/>
  <dcterms:modified xsi:type="dcterms:W3CDTF">2017-11-28T15:25:53Z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Banca d'Italia</vt:lpwstr>
  </property>
  <property fmtid="{D5CDD505-2E9C-101B-9397-08002B2CF9AE}" pid="4" name="ContentTypeId">
    <vt:lpwstr>0x01010094547A23E0BD314696B743FC89F56EB8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