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jc w:val="center"/>
      </w:pPr>
      <w:r>
        <w:rPr>
          <w:rFonts w:ascii="Arial" w:cs="Arial" w:eastAsia="Arial" w:hAnsi="Arial"/>
          <w:b/>
          <w:bCs/>
          <w:color w:val="1E4FC2"/>
          <w:sz w:val="64"/>
          <w:szCs w:val="64"/>
        </w:rPr>
        <w:t xml:space="preserve">EXELCOM</w:t>
      </w:r>
    </w:p>
    <w:p>
      <w:pPr>
        <w:spacing w:after="160"/>
        <w:jc w:val="center"/>
      </w:pPr>
      <w:r>
        <w:rPr>
          <w:rFonts w:ascii="Arial" w:cs="Arial" w:eastAsia="Arial" w:hAnsi="Arial"/>
          <w:b/>
          <w:bCs/>
          <w:color w:val="1A2B4A"/>
          <w:sz w:val="80"/>
          <w:szCs w:val="80"/>
        </w:rPr>
        <w:t xml:space="preserve">GRC Platform</w:t>
      </w:r>
    </w:p>
    <w:p>
      <w:pPr>
        <w:spacing w:after="80"/>
        <w:jc w:val="center"/>
      </w:pPr>
      <w:r>
        <w:rPr>
          <w:rFonts w:ascii="Arial" w:cs="Arial" w:eastAsia="Arial" w:hAnsi="Arial"/>
          <w:color w:val="64748B"/>
          <w:sz w:val="40"/>
          <w:szCs w:val="40"/>
        </w:rPr>
        <w:t xml:space="preserve">Technical Documentation</w:t>
      </w:r>
    </w:p>
    <w:p>
      <w:pPr>
        <w:spacing w:after="800"/>
        <w:jc w:val="center"/>
      </w:pPr>
      <w:r>
        <w:rPr>
          <w:rFonts w:ascii="Arial" w:cs="Arial" w:eastAsia="Arial" w:hAnsi="Arial"/>
          <w:color w:val="64748B"/>
          <w:sz w:val="28"/>
          <w:szCs w:val="28"/>
        </w:rPr>
        <w:t xml:space="preserve">ISO/IEC 27001:2022 Governance, Risk &amp; Compliance Platform</w:t>
      </w:r>
    </w:p>
    <w:p>
      <w:pPr>
        <w:spacing w:after="0" w:before="4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Document Version</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1.0</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Date</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April 2026</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Classification</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Confidential</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Owner</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Sam Kawtharani</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Environment</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Azure — Australia East</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Standard</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ISO/IEC 27001:2022</w:t>
            </w:r>
          </w:p>
        </w:tc>
      </w:tr>
    </w:tbl>
    <w:p>
      <w:r>
        <w:br w:type="page"/>
      </w:r>
    </w:p>
    <w:p>
      <w:pPr>
        <w:pStyle w:val="Heading1"/>
        <w:pBdr>
          <w:bottom w:val="single" w:color="1E4FC2" w:sz="4" w:space="4"/>
        </w:pBdr>
        <w:spacing w:after="200" w:before="400"/>
      </w:pPr>
      <w:r>
        <w:rPr>
          <w:rFonts w:ascii="Arial" w:cs="Arial" w:eastAsia="Arial" w:hAnsi="Arial"/>
          <w:b/>
          <w:bCs/>
          <w:color w:val="1A2B4A"/>
          <w:sz w:val="36"/>
          <w:szCs w:val="36"/>
        </w:rPr>
        <w:t xml:space="preserve">1. Executive Summary</w:t>
      </w:r>
    </w:p>
    <w:p>
      <w:pPr>
        <w:spacing w:after="80" w:before="80"/>
      </w:pPr>
      <w:r>
        <w:rPr>
          <w:rFonts w:ascii="Arial" w:cs="Arial" w:eastAsia="Arial" w:hAnsi="Arial"/>
          <w:color w:val="1A2B4A"/>
          <w:sz w:val="22"/>
          <w:szCs w:val="22"/>
        </w:rPr>
        <w:t xml:space="preserve">Exelcom has designed and deployed a cloud-native Governance, Risk and Compliance (GRC) platform to support its ISO/IEC 27001:2022 certification journey. The platform provides a centralised, integrated system for managing information security risks, compliance obligations, policies, audits, assets, incidents, and the Statement of Applicability (SoA).</w:t>
      </w:r>
    </w:p>
    <w:p>
      <w:pPr>
        <w:spacing w:after="0" w:before="100"/>
      </w:pPr>
      <w:r>
        <w:t xml:space="preserve"/>
      </w:r>
    </w:p>
    <w:p>
      <w:pPr>
        <w:spacing w:after="80" w:before="80"/>
      </w:pPr>
      <w:r>
        <w:rPr>
          <w:rFonts w:ascii="Arial" w:cs="Arial" w:eastAsia="Arial" w:hAnsi="Arial"/>
          <w:color w:val="1A2B4A"/>
          <w:sz w:val="22"/>
          <w:szCs w:val="22"/>
        </w:rPr>
        <w:t xml:space="preserve">The platform is hosted entirely on Microsoft Azure, leveraging cloud-native services including Azure App Service, Azure SQL Database, Azure API Management (APIM), Azure Static Web Apps, Azure Active Directory (Entra ID), and Azure Key Vault. All services use Managed Identity for secure, passwordless database authentication.</w:t>
      </w:r>
    </w:p>
    <w:p>
      <w:pPr>
        <w:spacing w:after="0" w:before="100"/>
      </w:pPr>
      <w:r>
        <w:t xml:space="preserve"/>
      </w:r>
    </w:p>
    <w:p>
      <w:pPr>
        <w:spacing w:after="80" w:before="80"/>
      </w:pPr>
      <w:r>
        <w:rPr>
          <w:rFonts w:ascii="Arial" w:cs="Arial" w:eastAsia="Arial" w:hAnsi="Arial"/>
          <w:color w:val="1A2B4A"/>
          <w:sz w:val="22"/>
          <w:szCs w:val="22"/>
        </w:rPr>
        <w:t xml:space="preserve">The platform is accessible to internal Exelcom staff at portal.exelcom.au and to external customers at portal.exelcom.au/customer-portal.</w:t>
      </w:r>
    </w:p>
    <w:p>
      <w:pPr>
        <w:spacing w:after="0" w:before="200"/>
      </w:pPr>
      <w:r>
        <w:t xml:space="preserve"/>
      </w:r>
    </w:p>
    <w:p>
      <w:pPr>
        <w:pStyle w:val="Heading2"/>
        <w:spacing w:after="160" w:before="300"/>
      </w:pPr>
      <w:r>
        <w:rPr>
          <w:rFonts w:ascii="Arial" w:cs="Arial" w:eastAsia="Arial" w:hAnsi="Arial"/>
          <w:b/>
          <w:bCs/>
          <w:color w:val="1E4FC2"/>
          <w:sz w:val="28"/>
          <w:szCs w:val="28"/>
        </w:rPr>
        <w:t xml:space="preserve">1.1 Platform Highlights</w:t>
      </w:r>
    </w:p>
    <w:p>
      <w:pPr>
        <w:pStyle w:val="ListParagraph"/>
        <w:numPr>
          <w:ilvl w:val="0"/>
          <w:numId w:val="2"/>
        </w:numPr>
        <w:spacing w:after="40" w:before="40"/>
      </w:pPr>
      <w:r>
        <w:rPr>
          <w:rFonts w:ascii="Arial" w:cs="Arial" w:eastAsia="Arial" w:hAnsi="Arial"/>
          <w:color w:val="1A2B4A"/>
          <w:sz w:val="22"/>
          <w:szCs w:val="22"/>
        </w:rPr>
        <w:t xml:space="preserve">9 microservices covering all major GRC domains</w:t>
      </w:r>
    </w:p>
    <w:p>
      <w:pPr>
        <w:pStyle w:val="ListParagraph"/>
        <w:numPr>
          <w:ilvl w:val="0"/>
          <w:numId w:val="2"/>
        </w:numPr>
        <w:spacing w:after="40" w:before="40"/>
      </w:pPr>
      <w:r>
        <w:rPr>
          <w:rFonts w:ascii="Arial" w:cs="Arial" w:eastAsia="Arial" w:hAnsi="Arial"/>
          <w:color w:val="1A2B4A"/>
          <w:sz w:val="22"/>
          <w:szCs w:val="22"/>
        </w:rPr>
        <w:t xml:space="preserve">Role-based access control via Azure Active Directory (Entra ID)</w:t>
      </w:r>
    </w:p>
    <w:p>
      <w:pPr>
        <w:pStyle w:val="ListParagraph"/>
        <w:numPr>
          <w:ilvl w:val="0"/>
          <w:numId w:val="2"/>
        </w:numPr>
        <w:spacing w:after="40" w:before="40"/>
      </w:pPr>
      <w:r>
        <w:rPr>
          <w:rFonts w:ascii="Arial" w:cs="Arial" w:eastAsia="Arial" w:hAnsi="Arial"/>
          <w:color w:val="1A2B4A"/>
          <w:sz w:val="22"/>
          <w:szCs w:val="22"/>
        </w:rPr>
        <w:t xml:space="preserve">ISO/IEC 27001:2022 aligned across all modules</w:t>
      </w:r>
    </w:p>
    <w:p>
      <w:pPr>
        <w:pStyle w:val="ListParagraph"/>
        <w:numPr>
          <w:ilvl w:val="0"/>
          <w:numId w:val="2"/>
        </w:numPr>
        <w:spacing w:after="40" w:before="40"/>
      </w:pPr>
      <w:r>
        <w:rPr>
          <w:rFonts w:ascii="Arial" w:cs="Arial" w:eastAsia="Arial" w:hAnsi="Arial"/>
          <w:color w:val="1A2B4A"/>
          <w:sz w:val="22"/>
          <w:szCs w:val="22"/>
        </w:rPr>
        <w:t xml:space="preserve">Customer Portal for external client incident and asset visibility</w:t>
      </w:r>
    </w:p>
    <w:p>
      <w:pPr>
        <w:pStyle w:val="ListParagraph"/>
        <w:numPr>
          <w:ilvl w:val="0"/>
          <w:numId w:val="2"/>
        </w:numPr>
        <w:spacing w:after="40" w:before="40"/>
      </w:pPr>
      <w:r>
        <w:rPr>
          <w:rFonts w:ascii="Arial" w:cs="Arial" w:eastAsia="Arial" w:hAnsi="Arial"/>
          <w:color w:val="1A2B4A"/>
          <w:sz w:val="22"/>
          <w:szCs w:val="22"/>
        </w:rPr>
        <w:t xml:space="preserve">CI/CD pipeline via GitHub Actions with automated deployment</w:t>
      </w:r>
    </w:p>
    <w:p>
      <w:pPr>
        <w:pStyle w:val="ListParagraph"/>
        <w:numPr>
          <w:ilvl w:val="0"/>
          <w:numId w:val="2"/>
        </w:numPr>
        <w:spacing w:after="40" w:before="40"/>
      </w:pPr>
      <w:r>
        <w:rPr>
          <w:rFonts w:ascii="Arial" w:cs="Arial" w:eastAsia="Arial" w:hAnsi="Arial"/>
          <w:color w:val="1A2B4A"/>
          <w:sz w:val="22"/>
          <w:szCs w:val="22"/>
        </w:rPr>
        <w:t xml:space="preserve">Policy template library with 8 pre-built ISO 27001:2022 templates</w:t>
      </w:r>
    </w:p>
    <w:p>
      <w:pPr>
        <w:pStyle w:val="ListParagraph"/>
        <w:numPr>
          <w:ilvl w:val="0"/>
          <w:numId w:val="2"/>
        </w:numPr>
        <w:spacing w:after="40" w:before="40"/>
      </w:pPr>
      <w:r>
        <w:rPr>
          <w:rFonts w:ascii="Arial" w:cs="Arial" w:eastAsia="Arial" w:hAnsi="Arial"/>
          <w:color w:val="1A2B4A"/>
          <w:sz w:val="22"/>
          <w:szCs w:val="22"/>
        </w:rPr>
        <w:t xml:space="preserve">Estimated monthly cost: ~AUD $108/month</w:t>
      </w:r>
    </w:p>
    <w:p>
      <w:pPr>
        <w:spacing w:after="0" w:before="200"/>
      </w:pPr>
      <w:r>
        <w:t xml:space="preserve"/>
      </w:r>
    </w:p>
    <w:p>
      <w:r>
        <w:br w:type="page"/>
      </w:r>
    </w:p>
    <w:p>
      <w:pPr>
        <w:pStyle w:val="Heading1"/>
        <w:pBdr>
          <w:bottom w:val="single" w:color="1E4FC2" w:sz="4" w:space="4"/>
        </w:pBdr>
        <w:spacing w:after="200" w:before="400"/>
      </w:pPr>
      <w:r>
        <w:rPr>
          <w:rFonts w:ascii="Arial" w:cs="Arial" w:eastAsia="Arial" w:hAnsi="Arial"/>
          <w:b/>
          <w:bCs/>
          <w:color w:val="1A2B4A"/>
          <w:sz w:val="36"/>
          <w:szCs w:val="36"/>
        </w:rPr>
        <w:t xml:space="preserve">2. Platform Architecture</w:t>
      </w:r>
    </w:p>
    <w:p>
      <w:pPr>
        <w:spacing w:after="80" w:before="80"/>
      </w:pPr>
      <w:r>
        <w:rPr>
          <w:rFonts w:ascii="Arial" w:cs="Arial" w:eastAsia="Arial" w:hAnsi="Arial"/>
          <w:color w:val="1A2B4A"/>
          <w:sz w:val="22"/>
          <w:szCs w:val="22"/>
        </w:rPr>
        <w:t xml:space="preserve">The GRC platform follows a microservices architecture pattern with a React single-page application (SPA) frontend, .NET 8 backend services, and Azure-native infrastructure.</w:t>
      </w:r>
    </w:p>
    <w:p>
      <w:pPr>
        <w:spacing w:after="0" w:before="200"/>
      </w:pPr>
      <w:r>
        <w:t xml:space="preserve"/>
      </w:r>
    </w:p>
    <w:p>
      <w:pPr>
        <w:pStyle w:val="Heading2"/>
        <w:spacing w:after="160" w:before="300"/>
      </w:pPr>
      <w:r>
        <w:rPr>
          <w:rFonts w:ascii="Arial" w:cs="Arial" w:eastAsia="Arial" w:hAnsi="Arial"/>
          <w:b/>
          <w:bCs/>
          <w:color w:val="1E4FC2"/>
          <w:sz w:val="28"/>
          <w:szCs w:val="28"/>
        </w:rPr>
        <w:t xml:space="preserve">2.1 Architecture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4513"/>
            <w:tcBorders>
              <w:top w:val="single" w:color="CCCCCC" w:sz="1"/>
              <w:left w:val="single" w:color="CCCCCC" w:sz="1"/>
              <w:bottom w:val="single" w:color="CCCCCC" w:sz="1"/>
              <w:right w:val="single" w:color="CCCCCC" w:sz="1"/>
            </w:tcBorders>
            <w:shd w:fill="1E4FC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513"/>
            <w:tcBorders>
              <w:top w:val="single" w:color="CCCCCC" w:sz="1"/>
              <w:left w:val="single" w:color="CCCCCC" w:sz="1"/>
              <w:bottom w:val="single" w:color="CCCCCC" w:sz="1"/>
              <w:right w:val="single" w:color="CCCCCC" w:sz="1"/>
            </w:tcBorders>
            <w:shd w:fill="1E4FC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Frontend</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React 18 (TypeScript), Vite, MSAL, Azure Static Web Apps</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API Gateway</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Azure API Management (APIM)</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Backend</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.NET 8 Microservices, Clean Architecture, Entity Framework Core</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Database</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Azure SQL Database (per-service, private endpoint)</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Authentication</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Azure Active Directory (Entra ID), MSAL, JWT</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Identity</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Azure Managed Identity (passwordless SQL auth)</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DNS / CDN</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Cloudflare (DNS only), Azure Static Web Apps CDN</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Secrets</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Azure Key Vault, App Service Configuration</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Monitoring</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Azure Monitor, Log Analytics, Defender for Cloud</w:t>
            </w:r>
          </w:p>
        </w:tc>
      </w:tr>
    </w:tbl>
    <w:p>
      <w:pPr>
        <w:spacing w:after="0" w:before="200"/>
      </w:pPr>
      <w:r>
        <w:t xml:space="preserve"/>
      </w:r>
    </w:p>
    <w:p>
      <w:pPr>
        <w:pStyle w:val="Heading2"/>
        <w:spacing w:after="160" w:before="300"/>
      </w:pPr>
      <w:r>
        <w:rPr>
          <w:rFonts w:ascii="Arial" w:cs="Arial" w:eastAsia="Arial" w:hAnsi="Arial"/>
          <w:b/>
          <w:bCs/>
          <w:color w:val="1E4FC2"/>
          <w:sz w:val="28"/>
          <w:szCs w:val="28"/>
        </w:rPr>
        <w:t xml:space="preserve">2.2 Network Architecture</w:t>
      </w:r>
    </w:p>
    <w:p>
      <w:pPr>
        <w:pStyle w:val="ListParagraph"/>
        <w:numPr>
          <w:ilvl w:val="0"/>
          <w:numId w:val="2"/>
        </w:numPr>
        <w:spacing w:after="40" w:before="40"/>
      </w:pPr>
      <w:r>
        <w:rPr>
          <w:rFonts w:ascii="Arial" w:cs="Arial" w:eastAsia="Arial" w:hAnsi="Arial"/>
          <w:color w:val="1A2B4A"/>
          <w:sz w:val="22"/>
          <w:szCs w:val="22"/>
        </w:rPr>
        <w:t xml:space="preserve">All backend services are deployed to Azure App Service on a shared B1 App Service Plan (asp-risk-grc-exelcom-dev)</w:t>
      </w:r>
    </w:p>
    <w:p>
      <w:pPr>
        <w:pStyle w:val="ListParagraph"/>
        <w:numPr>
          <w:ilvl w:val="0"/>
          <w:numId w:val="2"/>
        </w:numPr>
        <w:spacing w:after="40" w:before="40"/>
      </w:pPr>
      <w:r>
        <w:rPr>
          <w:rFonts w:ascii="Arial" w:cs="Arial" w:eastAsia="Arial" w:hAnsi="Arial"/>
          <w:color w:val="1A2B4A"/>
          <w:sz w:val="22"/>
          <w:szCs w:val="22"/>
        </w:rPr>
        <w:t xml:space="preserve">The Customer Portal runs on a dedicated B1 App Service Plan (asp-portal-grc-exelcom-dev)</w:t>
      </w:r>
    </w:p>
    <w:p>
      <w:pPr>
        <w:pStyle w:val="ListParagraph"/>
        <w:numPr>
          <w:ilvl w:val="0"/>
          <w:numId w:val="2"/>
        </w:numPr>
        <w:spacing w:after="40" w:before="40"/>
      </w:pPr>
      <w:r>
        <w:rPr>
          <w:rFonts w:ascii="Arial" w:cs="Arial" w:eastAsia="Arial" w:hAnsi="Arial"/>
          <w:color w:val="1A2B4A"/>
          <w:sz w:val="22"/>
          <w:szCs w:val="22"/>
        </w:rPr>
        <w:t xml:space="preserve">Azure SQL databases are accessible only via private endpoint within vnet-grc-exelcom-dev</w:t>
      </w:r>
    </w:p>
    <w:p>
      <w:pPr>
        <w:pStyle w:val="ListParagraph"/>
        <w:numPr>
          <w:ilvl w:val="0"/>
          <w:numId w:val="2"/>
        </w:numPr>
        <w:spacing w:after="40" w:before="40"/>
      </w:pPr>
      <w:r>
        <w:rPr>
          <w:rFonts w:ascii="Arial" w:cs="Arial" w:eastAsia="Arial" w:hAnsi="Arial"/>
          <w:color w:val="1A2B4A"/>
          <w:sz w:val="22"/>
          <w:szCs w:val="22"/>
        </w:rPr>
        <w:t xml:space="preserve">APIM acts as the single entry point for all internal API calls from the frontend</w:t>
      </w:r>
    </w:p>
    <w:p>
      <w:pPr>
        <w:pStyle w:val="ListParagraph"/>
        <w:numPr>
          <w:ilvl w:val="0"/>
          <w:numId w:val="2"/>
        </w:numPr>
        <w:spacing w:after="40" w:before="40"/>
      </w:pPr>
      <w:r>
        <w:rPr>
          <w:rFonts w:ascii="Arial" w:cs="Arial" w:eastAsia="Arial" w:hAnsi="Arial"/>
          <w:color w:val="1A2B4A"/>
          <w:sz w:val="22"/>
          <w:szCs w:val="22"/>
        </w:rPr>
        <w:t xml:space="preserve">JWT validation is performed at the APIM layer; services do not re-validate tokens</w:t>
      </w:r>
    </w:p>
    <w:p>
      <w:pPr>
        <w:pStyle w:val="ListParagraph"/>
        <w:numPr>
          <w:ilvl w:val="0"/>
          <w:numId w:val="2"/>
        </w:numPr>
        <w:spacing w:after="40" w:before="40"/>
      </w:pPr>
      <w:r>
        <w:rPr>
          <w:rFonts w:ascii="Arial" w:cs="Arial" w:eastAsia="Arial" w:hAnsi="Arial"/>
          <w:color w:val="1A2B4A"/>
          <w:sz w:val="22"/>
          <w:szCs w:val="22"/>
        </w:rPr>
        <w:t xml:space="preserve">All services authenticate to SQL using Azure Managed Identity — no passwords required</w:t>
      </w:r>
    </w:p>
    <w:p>
      <w:pPr>
        <w:spacing w:after="0" w:before="200"/>
      </w:pPr>
      <w:r>
        <w:t xml:space="preserve"/>
      </w:r>
    </w:p>
    <w:p>
      <w:pPr>
        <w:pStyle w:val="Heading2"/>
        <w:spacing w:after="160" w:before="300"/>
      </w:pPr>
      <w:r>
        <w:rPr>
          <w:rFonts w:ascii="Arial" w:cs="Arial" w:eastAsia="Arial" w:hAnsi="Arial"/>
          <w:b/>
          <w:bCs/>
          <w:color w:val="1E4FC2"/>
          <w:sz w:val="28"/>
          <w:szCs w:val="28"/>
        </w:rPr>
        <w:t xml:space="preserve">2.3 Key Infrastructure References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4513"/>
            <w:tcBorders>
              <w:top w:val="single" w:color="CCCCCC" w:sz="1"/>
              <w:left w:val="single" w:color="CCCCCC" w:sz="1"/>
              <w:bottom w:val="single" w:color="CCCCCC" w:sz="1"/>
              <w:right w:val="single" w:color="CCCCCC" w:sz="1"/>
            </w:tcBorders>
            <w:shd w:fill="1E4FC2"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4513"/>
            <w:tcBorders>
              <w:top w:val="single" w:color="CCCCCC" w:sz="1"/>
              <w:left w:val="single" w:color="CCCCCC" w:sz="1"/>
              <w:bottom w:val="single" w:color="CCCCCC" w:sz="1"/>
              <w:right w:val="single" w:color="CCCCCC" w:sz="1"/>
            </w:tcBorders>
            <w:shd w:fill="1E4FC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Resource Group</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rg-grc-exelcom-dev</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Subscription</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29e1b3cb-7f50-4adc-b1bf-c360ec3197bb</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APIM</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apim-grc-exelcom-dev.azure-api.net</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SQL Server</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sql-grc-exelcom-dev.database.windows.net</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Static Web App</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stapp-grc-exelcom-dev</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Static Web App URL</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red-pond-02956c400.4.azurestaticapps.net</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Custom Domain</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portal.exelcom.au</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VNet</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vnet-grc-exelcom-dev / snet-apps</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App Registration (Client ID)</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bdad94d8-0d57-4e6b-a0b3-25f6680c1598</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App Registration (Object ID)</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6b07ca9e-93f4-4cda-99e8-2b5655c3b0bc</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Tenant ID</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97fdd37b-3579-4f71-9370-c7683719594f</w:t>
            </w:r>
          </w:p>
        </w:tc>
      </w:tr>
    </w:tbl>
    <w:p>
      <w:pPr>
        <w:spacing w:after="0" w:before="200"/>
      </w:pPr>
      <w:r>
        <w:t xml:space="preserve"/>
      </w:r>
    </w:p>
    <w:p>
      <w:r>
        <w:br w:type="page"/>
      </w:r>
    </w:p>
    <w:p>
      <w:pPr>
        <w:pStyle w:val="Heading1"/>
        <w:pBdr>
          <w:bottom w:val="single" w:color="1E4FC2" w:sz="4" w:space="4"/>
        </w:pBdr>
        <w:spacing w:after="200" w:before="400"/>
      </w:pPr>
      <w:r>
        <w:rPr>
          <w:rFonts w:ascii="Arial" w:cs="Arial" w:eastAsia="Arial" w:hAnsi="Arial"/>
          <w:b/>
          <w:bCs/>
          <w:color w:val="1A2B4A"/>
          <w:sz w:val="36"/>
          <w:szCs w:val="36"/>
        </w:rPr>
        <w:t xml:space="preserve">3. Microservices</w:t>
      </w:r>
    </w:p>
    <w:p>
      <w:pPr>
        <w:spacing w:after="80" w:before="80"/>
      </w:pPr>
      <w:r>
        <w:rPr>
          <w:rFonts w:ascii="Arial" w:cs="Arial" w:eastAsia="Arial" w:hAnsi="Arial"/>
          <w:color w:val="1A2B4A"/>
          <w:sz w:val="22"/>
          <w:szCs w:val="22"/>
        </w:rPr>
        <w:t xml:space="preserve">The platform consists of 9 microservices, each responsible for a specific GRC domain. Each service has its own dedicated Azure SQL database and is deployed independently.</w:t>
      </w:r>
    </w:p>
    <w:p>
      <w:pPr>
        <w:spacing w:after="0" w:before="200"/>
      </w:pPr>
      <w:r>
        <w:t xml:space="preserve"/>
      </w:r>
    </w:p>
    <w:p>
      <w:pPr>
        <w:pStyle w:val="Heading2"/>
        <w:spacing w:after="160" w:before="300"/>
      </w:pPr>
      <w:r>
        <w:rPr>
          <w:rFonts w:ascii="Arial" w:cs="Arial" w:eastAsia="Arial" w:hAnsi="Arial"/>
          <w:b/>
          <w:bCs/>
          <w:color w:val="1E4FC2"/>
          <w:sz w:val="28"/>
          <w:szCs w:val="28"/>
        </w:rPr>
        <w:t xml:space="preserve">3.1 Service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1826"/>
      </w:tblGrid>
      <w:tr>
        <w:trPr>
          <w:tblHeader/>
        </w:trPr>
        <w:tc>
          <w:tcPr>
            <w:tcW w:type="dxa" w:w="2256"/>
            <w:tcBorders>
              <w:top w:val="single" w:color="CCCCCC" w:sz="1"/>
              <w:left w:val="single" w:color="CCCCCC" w:sz="1"/>
              <w:bottom w:val="single" w:color="CCCCCC" w:sz="1"/>
              <w:right w:val="single" w:color="CCCCCC" w:sz="1"/>
            </w:tcBorders>
            <w:shd w:fill="1E4FC2"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256"/>
            <w:tcBorders>
              <w:top w:val="single" w:color="CCCCCC" w:sz="1"/>
              <w:left w:val="single" w:color="CCCCCC" w:sz="1"/>
              <w:bottom w:val="single" w:color="CCCCCC" w:sz="1"/>
              <w:right w:val="single" w:color="CCCCCC" w:sz="1"/>
            </w:tcBorders>
            <w:shd w:fill="1E4FC2" w:val="clear"/>
            <w:tcMar>
              <w:top w:type="dxa" w:w="80"/>
              <w:left w:type="dxa" w:w="120"/>
              <w:bottom w:type="dxa" w:w="80"/>
              <w:right w:type="dxa" w:w="120"/>
            </w:tcMar>
          </w:tcPr>
          <w:p>
            <w:r>
              <w:rPr>
                <w:rFonts w:ascii="Arial" w:cs="Arial" w:eastAsia="Arial" w:hAnsi="Arial"/>
                <w:b/>
                <w:bCs/>
                <w:color w:val="FFFFFF"/>
                <w:sz w:val="20"/>
                <w:szCs w:val="20"/>
              </w:rPr>
              <w:t xml:space="preserve">App Service</w:t>
            </w:r>
          </w:p>
        </w:tc>
        <w:tc>
          <w:tcPr>
            <w:tcW w:type="dxa" w:w="2256"/>
            <w:tcBorders>
              <w:top w:val="single" w:color="CCCCCC" w:sz="1"/>
              <w:left w:val="single" w:color="CCCCCC" w:sz="1"/>
              <w:bottom w:val="single" w:color="CCCCCC" w:sz="1"/>
              <w:right w:val="single" w:color="CCCCCC" w:sz="1"/>
            </w:tcBorders>
            <w:shd w:fill="1E4FC2"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2256"/>
            <w:tcBorders>
              <w:top w:val="single" w:color="CCCCCC" w:sz="1"/>
              <w:left w:val="single" w:color="CCCCCC" w:sz="1"/>
              <w:bottom w:val="single" w:color="CCCCCC" w:sz="1"/>
              <w:right w:val="single" w:color="CCCCCC" w:sz="1"/>
            </w:tcBorders>
            <w:shd w:fill="1E4FC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rPr>
          <w:tblHeader w:val="false"/>
        </w:trP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Risk Management</w:t>
            </w:r>
          </w:p>
        </w:tc>
        <w:tc>
          <w:tcPr>
            <w:tcW w:type="dxa" w:w="225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app-risk-grc-exelcom-dev</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RiskDb</w:t>
            </w:r>
          </w:p>
        </w:tc>
        <w:tc>
          <w:tcPr>
            <w:tcW w:type="dxa" w:w="225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Running</w:t>
            </w:r>
          </w:p>
        </w:tc>
      </w:tr>
      <w:tr>
        <w:trPr>
          <w:tblHeader w:val="false"/>
        </w:trP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Compliance Tracking</w:t>
            </w:r>
          </w:p>
        </w:tc>
        <w:tc>
          <w:tcPr>
            <w:tcW w:type="dxa" w:w="225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app-compliance-grc-exelcom-dev</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ComplianceDb</w:t>
            </w:r>
          </w:p>
        </w:tc>
        <w:tc>
          <w:tcPr>
            <w:tcW w:type="dxa" w:w="225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Running</w:t>
            </w:r>
          </w:p>
        </w:tc>
      </w:tr>
      <w:tr>
        <w:trPr>
          <w:tblHeader w:val="false"/>
        </w:trP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Policy Management</w:t>
            </w:r>
          </w:p>
        </w:tc>
        <w:tc>
          <w:tcPr>
            <w:tcW w:type="dxa" w:w="225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app-policy-grc-exelcom-dev</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PolicyDb</w:t>
            </w:r>
          </w:p>
        </w:tc>
        <w:tc>
          <w:tcPr>
            <w:tcW w:type="dxa" w:w="225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Running</w:t>
            </w:r>
          </w:p>
        </w:tc>
      </w:tr>
      <w:tr>
        <w:trPr>
          <w:tblHeader w:val="false"/>
        </w:trP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Audit Management</w:t>
            </w:r>
          </w:p>
        </w:tc>
        <w:tc>
          <w:tcPr>
            <w:tcW w:type="dxa" w:w="225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app-audit-grc-exelcom-dev</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AuditDb</w:t>
            </w:r>
          </w:p>
        </w:tc>
        <w:tc>
          <w:tcPr>
            <w:tcW w:type="dxa" w:w="225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Running</w:t>
            </w:r>
          </w:p>
        </w:tc>
      </w:tr>
      <w:tr>
        <w:trPr>
          <w:tblHeader w:val="false"/>
        </w:trP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Statement of Applicability</w:t>
            </w:r>
          </w:p>
        </w:tc>
        <w:tc>
          <w:tcPr>
            <w:tcW w:type="dxa" w:w="225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app-soa-grc-exelcom-dev</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SoaDb</w:t>
            </w:r>
          </w:p>
        </w:tc>
        <w:tc>
          <w:tcPr>
            <w:tcW w:type="dxa" w:w="225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Running</w:t>
            </w:r>
          </w:p>
        </w:tc>
      </w:tr>
      <w:tr>
        <w:trPr>
          <w:tblHeader w:val="false"/>
        </w:trP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NC &amp; Corrective Actions</w:t>
            </w:r>
          </w:p>
        </w:tc>
        <w:tc>
          <w:tcPr>
            <w:tcW w:type="dxa" w:w="225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app-nonconformity-grc-exelcom-dev</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NcDb</w:t>
            </w:r>
          </w:p>
        </w:tc>
        <w:tc>
          <w:tcPr>
            <w:tcW w:type="dxa" w:w="225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Running</w:t>
            </w:r>
          </w:p>
        </w:tc>
      </w:tr>
      <w:tr>
        <w:trPr>
          <w:tblHeader w:val="false"/>
        </w:trP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Asset Inventory</w:t>
            </w:r>
          </w:p>
        </w:tc>
        <w:tc>
          <w:tcPr>
            <w:tcW w:type="dxa" w:w="225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app-asset-grc-exelcom-dev</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AssetDb</w:t>
            </w:r>
          </w:p>
        </w:tc>
        <w:tc>
          <w:tcPr>
            <w:tcW w:type="dxa" w:w="225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Running</w:t>
            </w:r>
          </w:p>
        </w:tc>
      </w:tr>
      <w:tr>
        <w:trPr>
          <w:tblHeader w:val="false"/>
        </w:trP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Incident Management</w:t>
            </w:r>
          </w:p>
        </w:tc>
        <w:tc>
          <w:tcPr>
            <w:tcW w:type="dxa" w:w="225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app-incident-grc-exelcom-dev</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IncidentDb</w:t>
            </w:r>
          </w:p>
        </w:tc>
        <w:tc>
          <w:tcPr>
            <w:tcW w:type="dxa" w:w="225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Running</w:t>
            </w:r>
          </w:p>
        </w:tc>
      </w:tr>
      <w:tr>
        <w:trPr>
          <w:tblHeader w:val="false"/>
        </w:trP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Customer Portal</w:t>
            </w:r>
          </w:p>
        </w:tc>
        <w:tc>
          <w:tcPr>
            <w:tcW w:type="dxa" w:w="225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app-portal-grc-exelcom-dev</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PortalDb</w:t>
            </w:r>
          </w:p>
        </w:tc>
        <w:tc>
          <w:tcPr>
            <w:tcW w:type="dxa" w:w="225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Running</w:t>
            </w:r>
          </w:p>
        </w:tc>
      </w:tr>
    </w:tbl>
    <w:p>
      <w:pPr>
        <w:spacing w:after="0" w:before="200"/>
      </w:pPr>
      <w:r>
        <w:t xml:space="preserve"/>
      </w:r>
    </w:p>
    <w:p>
      <w:pPr>
        <w:pStyle w:val="Heading2"/>
        <w:spacing w:after="160" w:before="300"/>
      </w:pPr>
      <w:r>
        <w:rPr>
          <w:rFonts w:ascii="Arial" w:cs="Arial" w:eastAsia="Arial" w:hAnsi="Arial"/>
          <w:b/>
          <w:bCs/>
          <w:color w:val="1E4FC2"/>
          <w:sz w:val="28"/>
          <w:szCs w:val="28"/>
        </w:rPr>
        <w:t xml:space="preserve">3.2 Service Architecture Pattern</w:t>
      </w:r>
    </w:p>
    <w:p>
      <w:pPr>
        <w:spacing w:after="80" w:before="80"/>
      </w:pPr>
      <w:r>
        <w:rPr>
          <w:rFonts w:ascii="Arial" w:cs="Arial" w:eastAsia="Arial" w:hAnsi="Arial"/>
          <w:color w:val="1A2B4A"/>
          <w:sz w:val="22"/>
          <w:szCs w:val="22"/>
        </w:rPr>
        <w:t xml:space="preserve">Each microservice follows the Clean Architecture pattern with four layers:</w:t>
      </w:r>
    </w:p>
    <w:p>
      <w:pPr>
        <w:pStyle w:val="ListParagraph"/>
        <w:numPr>
          <w:ilvl w:val="0"/>
          <w:numId w:val="2"/>
        </w:numPr>
        <w:spacing w:after="40" w:before="40"/>
      </w:pPr>
      <w:r>
        <w:rPr>
          <w:rFonts w:ascii="Arial" w:cs="Arial" w:eastAsia="Arial" w:hAnsi="Arial"/>
          <w:color w:val="1A2B4A"/>
          <w:sz w:val="22"/>
          <w:szCs w:val="22"/>
        </w:rPr>
        <w:t xml:space="preserve">Domain — Entities, value objects, domain events</w:t>
      </w:r>
    </w:p>
    <w:p>
      <w:pPr>
        <w:pStyle w:val="ListParagraph"/>
        <w:numPr>
          <w:ilvl w:val="0"/>
          <w:numId w:val="2"/>
        </w:numPr>
        <w:spacing w:after="40" w:before="40"/>
      </w:pPr>
      <w:r>
        <w:rPr>
          <w:rFonts w:ascii="Arial" w:cs="Arial" w:eastAsia="Arial" w:hAnsi="Arial"/>
          <w:color w:val="1A2B4A"/>
          <w:sz w:val="22"/>
          <w:szCs w:val="22"/>
        </w:rPr>
        <w:t xml:space="preserve">Application — CQRS handlers, validators, service interfaces</w:t>
      </w:r>
    </w:p>
    <w:p>
      <w:pPr>
        <w:pStyle w:val="ListParagraph"/>
        <w:numPr>
          <w:ilvl w:val="0"/>
          <w:numId w:val="2"/>
        </w:numPr>
        <w:spacing w:after="40" w:before="40"/>
      </w:pPr>
      <w:r>
        <w:rPr>
          <w:rFonts w:ascii="Arial" w:cs="Arial" w:eastAsia="Arial" w:hAnsi="Arial"/>
          <w:color w:val="1A2B4A"/>
          <w:sz w:val="22"/>
          <w:szCs w:val="22"/>
        </w:rPr>
        <w:t xml:space="preserve">Infrastructure — EF Core DbContext, repositories, external integrations</w:t>
      </w:r>
    </w:p>
    <w:p>
      <w:pPr>
        <w:pStyle w:val="ListParagraph"/>
        <w:numPr>
          <w:ilvl w:val="0"/>
          <w:numId w:val="2"/>
        </w:numPr>
        <w:spacing w:after="40" w:before="40"/>
      </w:pPr>
      <w:r>
        <w:rPr>
          <w:rFonts w:ascii="Arial" w:cs="Arial" w:eastAsia="Arial" w:hAnsi="Arial"/>
          <w:color w:val="1A2B4A"/>
          <w:sz w:val="22"/>
          <w:szCs w:val="22"/>
        </w:rPr>
        <w:t xml:space="preserve">API — Controllers, middleware, Program.cs configuration</w:t>
      </w:r>
    </w:p>
    <w:p>
      <w:pPr>
        <w:spacing w:after="0" w:before="100"/>
      </w:pPr>
      <w:r>
        <w:t xml:space="preserve"/>
      </w:r>
    </w:p>
    <w:p>
      <w:pPr>
        <w:spacing w:after="80" w:before="80"/>
      </w:pPr>
      <w:r>
        <w:rPr>
          <w:rFonts w:ascii="Arial" w:cs="Arial" w:eastAsia="Arial" w:hAnsi="Arial"/>
          <w:color w:val="1A2B4A"/>
          <w:sz w:val="22"/>
          <w:szCs w:val="22"/>
        </w:rPr>
        <w:t xml:space="preserve">All services use Entity Framework Core with Azure AD Managed Identity for SQL authentication. Connection strings use the format:</w:t>
      </w:r>
    </w:p>
    <w:p>
      <w:pPr>
        <w:pBdr>
          <w:left w:val="single" w:color="1E4FC2" w:sz="12" w:space="8"/>
        </w:pBdr>
        <w:shd w:fill="F1F5F9" w:val="clear"/>
        <w:spacing w:after="120" w:before="120"/>
        <w:ind w:left="360"/>
      </w:pPr>
      <w:r>
        <w:rPr>
          <w:rFonts w:ascii="Courier New" w:cs="Courier New" w:eastAsia="Courier New" w:hAnsi="Courier New"/>
          <w:color w:val="1E3A5F"/>
          <w:sz w:val="18"/>
          <w:szCs w:val="18"/>
        </w:rPr>
        <w:t xml:space="preserve">Server=sql-grc-exelcom-dev.database.windows.net;Database={DbName};Authentication=Active Directory Managed Identity;</w:t>
      </w:r>
    </w:p>
    <w:p>
      <w:pPr>
        <w:spacing w:after="0" w:before="200"/>
      </w:pPr>
      <w:r>
        <w:t xml:space="preserve"/>
      </w:r>
    </w:p>
    <w:p>
      <w:pPr>
        <w:pStyle w:val="Heading2"/>
        <w:spacing w:after="160" w:before="300"/>
      </w:pPr>
      <w:r>
        <w:rPr>
          <w:rFonts w:ascii="Arial" w:cs="Arial" w:eastAsia="Arial" w:hAnsi="Arial"/>
          <w:b/>
          <w:bCs/>
          <w:color w:val="1E4FC2"/>
          <w:sz w:val="28"/>
          <w:szCs w:val="28"/>
        </w:rPr>
        <w:t xml:space="preserve">3.3 Customer Portal</w:t>
      </w:r>
    </w:p>
    <w:p>
      <w:pPr>
        <w:spacing w:after="80" w:before="80"/>
      </w:pPr>
      <w:r>
        <w:rPr>
          <w:rFonts w:ascii="Arial" w:cs="Arial" w:eastAsia="Arial" w:hAnsi="Arial"/>
          <w:color w:val="1A2B4A"/>
          <w:sz w:val="22"/>
          <w:szCs w:val="22"/>
        </w:rPr>
        <w:t xml:space="preserve">The Customer Portal is a separate service allowing external clients to view their incidents, assets, and compliance status. It uses JWT-based authentication (not Azure AD) so customers do not need a Microsoft account.</w:t>
      </w:r>
    </w:p>
    <w:p>
      <w:pPr>
        <w:spacing w:after="0" w:before="100"/>
      </w:pPr>
      <w:r>
        <w:t xml:space="preserve"/>
      </w:r>
    </w:p>
    <w:p>
      <w:pPr>
        <w:pStyle w:val="ListParagraph"/>
        <w:numPr>
          <w:ilvl w:val="0"/>
          <w:numId w:val="2"/>
        </w:numPr>
        <w:spacing w:after="40" w:before="40"/>
      </w:pPr>
      <w:r>
        <w:rPr>
          <w:rFonts w:ascii="Arial" w:cs="Arial" w:eastAsia="Arial" w:hAnsi="Arial"/>
          <w:color w:val="1A2B4A"/>
          <w:sz w:val="22"/>
          <w:szCs w:val="22"/>
        </w:rPr>
        <w:t xml:space="preserve">Backend: app-portal-grc-exelcom-dev (dedicated asp-portal-grc-exelcom-dev B1 plan)</w:t>
      </w:r>
    </w:p>
    <w:p>
      <w:pPr>
        <w:pStyle w:val="ListParagraph"/>
        <w:numPr>
          <w:ilvl w:val="0"/>
          <w:numId w:val="2"/>
        </w:numPr>
        <w:spacing w:after="40" w:before="40"/>
      </w:pPr>
      <w:r>
        <w:rPr>
          <w:rFonts w:ascii="Arial" w:cs="Arial" w:eastAsia="Arial" w:hAnsi="Arial"/>
          <w:color w:val="1A2B4A"/>
          <w:sz w:val="22"/>
          <w:szCs w:val="22"/>
        </w:rPr>
        <w:t xml:space="preserve">Frontend: /customer-portal route on Azure Static Web Apps</w:t>
      </w:r>
    </w:p>
    <w:p>
      <w:pPr>
        <w:pStyle w:val="ListParagraph"/>
        <w:numPr>
          <w:ilvl w:val="0"/>
          <w:numId w:val="2"/>
        </w:numPr>
        <w:spacing w:after="40" w:before="40"/>
      </w:pPr>
      <w:r>
        <w:rPr>
          <w:rFonts w:ascii="Arial" w:cs="Arial" w:eastAsia="Arial" w:hAnsi="Arial"/>
          <w:color w:val="1A2B4A"/>
          <w:sz w:val="22"/>
          <w:szCs w:val="22"/>
        </w:rPr>
        <w:t xml:space="preserve">Auth: Username/password with JWT (secret stored in App Service configuration)</w:t>
      </w:r>
    </w:p>
    <w:p>
      <w:pPr>
        <w:pStyle w:val="ListParagraph"/>
        <w:numPr>
          <w:ilvl w:val="0"/>
          <w:numId w:val="2"/>
        </w:numPr>
        <w:spacing w:after="40" w:before="40"/>
      </w:pPr>
      <w:r>
        <w:rPr>
          <w:rFonts w:ascii="Arial" w:cs="Arial" w:eastAsia="Arial" w:hAnsi="Arial"/>
          <w:color w:val="1A2B4A"/>
          <w:sz w:val="22"/>
          <w:szCs w:val="22"/>
        </w:rPr>
        <w:t xml:space="preserve">Customer account: username=exelcom.portal, grcCustomerId=E</w:t>
      </w:r>
    </w:p>
    <w:p>
      <w:pPr>
        <w:pStyle w:val="ListParagraph"/>
        <w:numPr>
          <w:ilvl w:val="0"/>
          <w:numId w:val="2"/>
        </w:numPr>
        <w:spacing w:after="40" w:before="40"/>
      </w:pPr>
      <w:r>
        <w:rPr>
          <w:rFonts w:ascii="Arial" w:cs="Arial" w:eastAsia="Arial" w:hAnsi="Arial"/>
          <w:color w:val="1A2B4A"/>
          <w:sz w:val="22"/>
          <w:szCs w:val="22"/>
        </w:rPr>
        <w:t xml:space="preserve">Contact email: grc@exelcom.au</w:t>
      </w:r>
    </w:p>
    <w:p>
      <w:pPr>
        <w:spacing w:after="0" w:before="200"/>
      </w:pPr>
      <w:r>
        <w:t xml:space="preserve"/>
      </w:r>
    </w:p>
    <w:p>
      <w:r>
        <w:br w:type="page"/>
      </w:r>
    </w:p>
    <w:p>
      <w:pPr>
        <w:pStyle w:val="Heading1"/>
        <w:pBdr>
          <w:bottom w:val="single" w:color="1E4FC2" w:sz="4" w:space="4"/>
        </w:pBdr>
        <w:spacing w:after="200" w:before="400"/>
      </w:pPr>
      <w:r>
        <w:rPr>
          <w:rFonts w:ascii="Arial" w:cs="Arial" w:eastAsia="Arial" w:hAnsi="Arial"/>
          <w:b/>
          <w:bCs/>
          <w:color w:val="1A2B4A"/>
          <w:sz w:val="36"/>
          <w:szCs w:val="36"/>
        </w:rPr>
        <w:t xml:space="preserve">4. Authentication &amp; Access Control</w:t>
      </w:r>
    </w:p>
    <w:p>
      <w:pPr>
        <w:pStyle w:val="Heading2"/>
        <w:spacing w:after="160" w:before="300"/>
      </w:pPr>
      <w:r>
        <w:rPr>
          <w:rFonts w:ascii="Arial" w:cs="Arial" w:eastAsia="Arial" w:hAnsi="Arial"/>
          <w:b/>
          <w:bCs/>
          <w:color w:val="1E4FC2"/>
          <w:sz w:val="28"/>
          <w:szCs w:val="28"/>
        </w:rPr>
        <w:t xml:space="preserve">4.1 Internal Staff Authentication</w:t>
      </w:r>
    </w:p>
    <w:p>
      <w:pPr>
        <w:spacing w:after="80" w:before="80"/>
      </w:pPr>
      <w:r>
        <w:rPr>
          <w:rFonts w:ascii="Arial" w:cs="Arial" w:eastAsia="Arial" w:hAnsi="Arial"/>
          <w:color w:val="1A2B4A"/>
          <w:sz w:val="22"/>
          <w:szCs w:val="22"/>
        </w:rPr>
        <w:t xml:space="preserve">Internal staff authenticate via Azure Active Directory (Entra ID) using Microsoft accounts. The frontend uses MSAL (Microsoft Authentication Library) to obtain JWT tokens, which are validated by APIM before forwarding requests to backend services.</w:t>
      </w:r>
    </w:p>
    <w:p>
      <w:pPr>
        <w:spacing w:after="0" w:before="100"/>
      </w:pPr>
      <w:r>
        <w:t xml:space="preserve"/>
      </w:r>
    </w:p>
    <w:p>
      <w:pPr>
        <w:pStyle w:val="ListParagraph"/>
        <w:numPr>
          <w:ilvl w:val="0"/>
          <w:numId w:val="2"/>
        </w:numPr>
        <w:spacing w:after="40" w:before="40"/>
      </w:pPr>
      <w:r>
        <w:rPr>
          <w:rFonts w:ascii="Arial" w:cs="Arial" w:eastAsia="Arial" w:hAnsi="Arial"/>
          <w:color w:val="1A2B4A"/>
          <w:sz w:val="22"/>
          <w:szCs w:val="22"/>
        </w:rPr>
        <w:t xml:space="preserve">Authentication flow: User → MSAL → Azure AD → JWT → APIM → Backend</w:t>
      </w:r>
    </w:p>
    <w:p>
      <w:pPr>
        <w:pStyle w:val="ListParagraph"/>
        <w:numPr>
          <w:ilvl w:val="0"/>
          <w:numId w:val="2"/>
        </w:numPr>
        <w:spacing w:after="40" w:before="40"/>
      </w:pPr>
      <w:r>
        <w:rPr>
          <w:rFonts w:ascii="Arial" w:cs="Arial" w:eastAsia="Arial" w:hAnsi="Arial"/>
          <w:color w:val="1A2B4A"/>
          <w:sz w:val="22"/>
          <w:szCs w:val="22"/>
        </w:rPr>
        <w:t xml:space="preserve">Token validation: Performed at APIM layer using validate-jwt policy</w:t>
      </w:r>
    </w:p>
    <w:p>
      <w:pPr>
        <w:pStyle w:val="ListParagraph"/>
        <w:numPr>
          <w:ilvl w:val="0"/>
          <w:numId w:val="2"/>
        </w:numPr>
        <w:spacing w:after="40" w:before="40"/>
      </w:pPr>
      <w:r>
        <w:rPr>
          <w:rFonts w:ascii="Arial" w:cs="Arial" w:eastAsia="Arial" w:hAnsi="Arial"/>
          <w:color w:val="1A2B4A"/>
          <w:sz w:val="22"/>
          <w:szCs w:val="22"/>
        </w:rPr>
        <w:t xml:space="preserve">Redirect URIs: https://portal.exelcom.au, https://red-pond-02956c400.4.azurestaticapps.net</w:t>
      </w:r>
    </w:p>
    <w:p>
      <w:pPr>
        <w:spacing w:after="0" w:before="200"/>
      </w:pPr>
      <w:r>
        <w:t xml:space="preserve"/>
      </w:r>
    </w:p>
    <w:p>
      <w:pPr>
        <w:pStyle w:val="Heading2"/>
        <w:spacing w:after="160" w:before="300"/>
      </w:pPr>
      <w:r>
        <w:rPr>
          <w:rFonts w:ascii="Arial" w:cs="Arial" w:eastAsia="Arial" w:hAnsi="Arial"/>
          <w:b/>
          <w:bCs/>
          <w:color w:val="1E4FC2"/>
          <w:sz w:val="28"/>
          <w:szCs w:val="28"/>
        </w:rPr>
        <w:t xml:space="preserve">4.2 App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3008"/>
            <w:tcBorders>
              <w:top w:val="single" w:color="CCCCCC" w:sz="1"/>
              <w:left w:val="single" w:color="CCCCCC" w:sz="1"/>
              <w:bottom w:val="single" w:color="CCCCCC" w:sz="1"/>
              <w:right w:val="single" w:color="CCCCCC" w:sz="1"/>
            </w:tcBorders>
            <w:shd w:fill="1E4FC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008"/>
            <w:tcBorders>
              <w:top w:val="single" w:color="CCCCCC" w:sz="1"/>
              <w:left w:val="single" w:color="CCCCCC" w:sz="1"/>
              <w:bottom w:val="single" w:color="CCCCCC" w:sz="1"/>
              <w:right w:val="single" w:color="CCCCCC" w:sz="1"/>
            </w:tcBorders>
            <w:shd w:fill="1E4FC2"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008"/>
            <w:tcBorders>
              <w:top w:val="single" w:color="CCCCCC" w:sz="1"/>
              <w:left w:val="single" w:color="CCCCCC" w:sz="1"/>
              <w:bottom w:val="single" w:color="CCCCCC" w:sz="1"/>
              <w:right w:val="single" w:color="CCCCCC" w:sz="1"/>
            </w:tcBorders>
            <w:shd w:fill="1E4FC2" w:val="clear"/>
            <w:tcMar>
              <w:top w:type="dxa" w:w="80"/>
              <w:left w:type="dxa" w:w="120"/>
              <w:bottom w:type="dxa" w:w="80"/>
              <w:right w:type="dxa" w:w="120"/>
            </w:tcMar>
          </w:tcPr>
          <w:p>
            <w:r>
              <w:rPr>
                <w:rFonts w:ascii="Arial" w:cs="Arial" w:eastAsia="Arial" w:hAnsi="Arial"/>
                <w:b/>
                <w:bCs/>
                <w:color w:val="FFFFFF"/>
                <w:sz w:val="20"/>
                <w:szCs w:val="20"/>
              </w:rPr>
              <w:t xml:space="preserve">Access</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GRC Administrator</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GRC.Admin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Full access to all modules — create, edit, delete</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Risk Manager</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GRC.RiskManager</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Manage risks — create, edit, delete in Risk module</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Compliance Officer</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GRC.ComplianceOfficer</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Manage compliance frameworks and controls</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Policy Manager</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GRC.PolicyManager</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Manage policies — create, edit, delete in Policy module</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Auditor</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GRC.Auditor</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Manage audits — create, edit, delete in Audit module</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GRC Viewer</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GRC.Viewer</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Read-only access across all modules</w:t>
            </w:r>
          </w:p>
        </w:tc>
      </w:tr>
    </w:tbl>
    <w:p>
      <w:pPr>
        <w:spacing w:after="0" w:before="200"/>
      </w:pPr>
      <w:r>
        <w:t xml:space="preserve"/>
      </w:r>
    </w:p>
    <w:p>
      <w:pPr>
        <w:pStyle w:val="Heading2"/>
        <w:spacing w:after="160" w:before="300"/>
      </w:pPr>
      <w:r>
        <w:rPr>
          <w:rFonts w:ascii="Arial" w:cs="Arial" w:eastAsia="Arial" w:hAnsi="Arial"/>
          <w:b/>
          <w:bCs/>
          <w:color w:val="1E4FC2"/>
          <w:sz w:val="28"/>
          <w:szCs w:val="28"/>
        </w:rPr>
        <w:t xml:space="preserve">4.3 Azure AD Groups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3008"/>
            <w:tcBorders>
              <w:top w:val="single" w:color="CCCCCC" w:sz="1"/>
              <w:left w:val="single" w:color="CCCCCC" w:sz="1"/>
              <w:bottom w:val="single" w:color="CCCCCC" w:sz="1"/>
              <w:right w:val="single" w:color="CCCCCC" w:sz="1"/>
            </w:tcBorders>
            <w:shd w:fill="1E4FC2" w:val="clear"/>
            <w:tcMar>
              <w:top w:type="dxa" w:w="80"/>
              <w:left w:type="dxa" w:w="120"/>
              <w:bottom w:type="dxa" w:w="80"/>
              <w:right w:type="dxa" w:w="120"/>
            </w:tcMar>
          </w:tcPr>
          <w:p>
            <w:r>
              <w:rPr>
                <w:rFonts w:ascii="Arial" w:cs="Arial" w:eastAsia="Arial" w:hAnsi="Arial"/>
                <w:b/>
                <w:bCs/>
                <w:color w:val="FFFFFF"/>
                <w:sz w:val="20"/>
                <w:szCs w:val="20"/>
              </w:rPr>
              <w:t xml:space="preserve">Group</w:t>
            </w:r>
          </w:p>
        </w:tc>
        <w:tc>
          <w:tcPr>
            <w:tcW w:type="dxa" w:w="3008"/>
            <w:tcBorders>
              <w:top w:val="single" w:color="CCCCCC" w:sz="1"/>
              <w:left w:val="single" w:color="CCCCCC" w:sz="1"/>
              <w:bottom w:val="single" w:color="CCCCCC" w:sz="1"/>
              <w:right w:val="single" w:color="CCCCCC" w:sz="1"/>
            </w:tcBorders>
            <w:shd w:fill="1E4FC2" w:val="clear"/>
            <w:tcMar>
              <w:top w:type="dxa" w:w="80"/>
              <w:left w:type="dxa" w:w="120"/>
              <w:bottom w:type="dxa" w:w="80"/>
              <w:right w:type="dxa" w:w="120"/>
            </w:tcMar>
          </w:tcPr>
          <w:p>
            <w:r>
              <w:rPr>
                <w:rFonts w:ascii="Arial" w:cs="Arial" w:eastAsia="Arial" w:hAnsi="Arial"/>
                <w:b/>
                <w:bCs/>
                <w:color w:val="FFFFFF"/>
                <w:sz w:val="20"/>
                <w:szCs w:val="20"/>
              </w:rPr>
              <w:t xml:space="preserve">Group ID</w:t>
            </w:r>
          </w:p>
        </w:tc>
        <w:tc>
          <w:tcPr>
            <w:tcW w:type="dxa" w:w="3008"/>
            <w:tcBorders>
              <w:top w:val="single" w:color="CCCCCC" w:sz="1"/>
              <w:left w:val="single" w:color="CCCCCC" w:sz="1"/>
              <w:bottom w:val="single" w:color="CCCCCC" w:sz="1"/>
              <w:right w:val="single" w:color="CCCCCC" w:sz="1"/>
            </w:tcBorders>
            <w:shd w:fill="1E4FC2" w:val="clear"/>
            <w:tcMar>
              <w:top w:type="dxa" w:w="80"/>
              <w:left w:type="dxa" w:w="120"/>
              <w:bottom w:type="dxa" w:w="80"/>
              <w:right w:type="dxa" w:w="120"/>
            </w:tcMar>
          </w:tcPr>
          <w:p>
            <w:r>
              <w:rPr>
                <w:rFonts w:ascii="Arial" w:cs="Arial" w:eastAsia="Arial" w:hAnsi="Arial"/>
                <w:b/>
                <w:bCs/>
                <w:color w:val="FFFFFF"/>
                <w:sz w:val="20"/>
                <w:szCs w:val="20"/>
              </w:rPr>
              <w:t xml:space="preserve">App Role Assigned</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GRC-Admins</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15831808-9fde-4c0e-9715-76512122ac61</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GRC.Admin</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GRC-RiskManagers</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4b17702e-597e-4a77-82a0-c3882a15b2eb</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GRC.RiskManager</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GRC-ComplianceOfficers</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6af40d63-a6af-4778-bb3d-18e33b0f2066</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GRC.ComplianceOfficer</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GRC-PolicyManagers</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579df179-17aa-45cc-ab27-89690009a56b</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GRC.PolicyManager</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GRC-Auditors</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6d464f70-b7ee-482b-9a3f-8977161952ed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GRC.Auditor</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GRC-Viewers</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b1f69990-b7e4-442a-9fa9-e9e2184d6e05</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GRC.Viewer</w:t>
            </w:r>
          </w:p>
        </w:tc>
      </w:tr>
    </w:tbl>
    <w:p>
      <w:pPr>
        <w:spacing w:after="0" w:before="100"/>
      </w:pPr>
      <w:r>
        <w:t xml:space="preserve"/>
      </w:r>
    </w:p>
    <w:p>
      <w:pPr>
        <w:spacing w:after="80" w:before="80"/>
      </w:pPr>
      <w:r>
        <w:rPr>
          <w:rFonts w:ascii="Arial" w:cs="Arial" w:eastAsia="Arial" w:hAnsi="Arial"/>
          <w:color w:val="1A2B4A"/>
          <w:sz w:val="22"/>
          <w:szCs w:val="22"/>
        </w:rPr>
        <w:t xml:space="preserve">To add a user to a group via Azure CLI:</w:t>
      </w:r>
    </w:p>
    <w:p>
      <w:pPr>
        <w:pBdr>
          <w:left w:val="single" w:color="1E4FC2" w:sz="12" w:space="8"/>
        </w:pBdr>
        <w:shd w:fill="F1F5F9" w:val="clear"/>
        <w:spacing w:after="120" w:before="120"/>
        <w:ind w:left="360"/>
      </w:pPr>
      <w:r>
        <w:rPr>
          <w:rFonts w:ascii="Courier New" w:cs="Courier New" w:eastAsia="Courier New" w:hAnsi="Courier New"/>
          <w:color w:val="1E3A5F"/>
          <w:sz w:val="18"/>
          <w:szCs w:val="18"/>
        </w:rPr>
        <w:t xml:space="preserve">az ad group member add --group &lt;group-id&gt; --member-id &lt;user-object-id&gt;</w:t>
      </w:r>
    </w:p>
    <w:p>
      <w:pPr>
        <w:spacing w:after="0" w:before="200"/>
      </w:pPr>
      <w:r>
        <w:t xml:space="preserve"/>
      </w:r>
    </w:p>
    <w:p>
      <w:pPr>
        <w:pStyle w:val="Heading2"/>
        <w:spacing w:after="160" w:before="300"/>
      </w:pPr>
      <w:r>
        <w:rPr>
          <w:rFonts w:ascii="Arial" w:cs="Arial" w:eastAsia="Arial" w:hAnsi="Arial"/>
          <w:b/>
          <w:bCs/>
          <w:color w:val="1E4FC2"/>
          <w:sz w:val="28"/>
          <w:szCs w:val="28"/>
        </w:rPr>
        <w:t xml:space="preserve">4.4 External Users (Auditors)</w:t>
      </w:r>
    </w:p>
    <w:p>
      <w:pPr>
        <w:spacing w:after="80" w:before="80"/>
      </w:pPr>
      <w:r>
        <w:rPr>
          <w:rFonts w:ascii="Arial" w:cs="Arial" w:eastAsia="Arial" w:hAnsi="Arial"/>
          <w:color w:val="1A2B4A"/>
          <w:sz w:val="22"/>
          <w:szCs w:val="22"/>
        </w:rPr>
        <w:t xml:space="preserve">External auditors can be invited as Azure AD B2B Guest Users and assigned to GRC-Auditors or GRC-Viewers group. They authenticate with their own Microsoft/Google account — no Exelcom password required.</w:t>
      </w:r>
    </w:p>
    <w:p>
      <w:pPr>
        <w:spacing w:after="0" w:before="200"/>
      </w:pPr>
      <w:r>
        <w:t xml:space="preserve"/>
      </w:r>
    </w:p>
    <w:p>
      <w:r>
        <w:br w:type="page"/>
      </w:r>
    </w:p>
    <w:p>
      <w:pPr>
        <w:pStyle w:val="Heading1"/>
        <w:pBdr>
          <w:bottom w:val="single" w:color="1E4FC2" w:sz="4" w:space="4"/>
        </w:pBdr>
        <w:spacing w:after="200" w:before="400"/>
      </w:pPr>
      <w:r>
        <w:rPr>
          <w:rFonts w:ascii="Arial" w:cs="Arial" w:eastAsia="Arial" w:hAnsi="Arial"/>
          <w:b/>
          <w:bCs/>
          <w:color w:val="1A2B4A"/>
          <w:sz w:val="36"/>
          <w:szCs w:val="36"/>
        </w:rPr>
        <w:t xml:space="preserve">5. Frontend Application</w:t>
      </w:r>
    </w:p>
    <w:p>
      <w:pPr>
        <w:pStyle w:val="Heading2"/>
        <w:spacing w:after="160" w:before="300"/>
      </w:pPr>
      <w:r>
        <w:rPr>
          <w:rFonts w:ascii="Arial" w:cs="Arial" w:eastAsia="Arial" w:hAnsi="Arial"/>
          <w:b/>
          <w:bCs/>
          <w:color w:val="1E4FC2"/>
          <w:sz w:val="28"/>
          <w:szCs w:val="28"/>
        </w:rPr>
        <w:t xml:space="preserve">5.1 Technology Stack</w:t>
      </w:r>
    </w:p>
    <w:p>
      <w:pPr>
        <w:pStyle w:val="ListParagraph"/>
        <w:numPr>
          <w:ilvl w:val="0"/>
          <w:numId w:val="2"/>
        </w:numPr>
        <w:spacing w:after="40" w:before="40"/>
      </w:pPr>
      <w:r>
        <w:rPr>
          <w:rFonts w:ascii="Arial" w:cs="Arial" w:eastAsia="Arial" w:hAnsi="Arial"/>
          <w:color w:val="1A2B4A"/>
          <w:sz w:val="22"/>
          <w:szCs w:val="22"/>
        </w:rPr>
        <w:t xml:space="preserve">Framework: React 18 with TypeScript</w:t>
      </w:r>
    </w:p>
    <w:p>
      <w:pPr>
        <w:pStyle w:val="ListParagraph"/>
        <w:numPr>
          <w:ilvl w:val="0"/>
          <w:numId w:val="2"/>
        </w:numPr>
        <w:spacing w:after="40" w:before="40"/>
      </w:pPr>
      <w:r>
        <w:rPr>
          <w:rFonts w:ascii="Arial" w:cs="Arial" w:eastAsia="Arial" w:hAnsi="Arial"/>
          <w:color w:val="1A2B4A"/>
          <w:sz w:val="22"/>
          <w:szCs w:val="22"/>
        </w:rPr>
        <w:t xml:space="preserve">Build tool: Vite 7</w:t>
      </w:r>
    </w:p>
    <w:p>
      <w:pPr>
        <w:pStyle w:val="ListParagraph"/>
        <w:numPr>
          <w:ilvl w:val="0"/>
          <w:numId w:val="2"/>
        </w:numPr>
        <w:spacing w:after="40" w:before="40"/>
      </w:pPr>
      <w:r>
        <w:rPr>
          <w:rFonts w:ascii="Arial" w:cs="Arial" w:eastAsia="Arial" w:hAnsi="Arial"/>
          <w:color w:val="1A2B4A"/>
          <w:sz w:val="22"/>
          <w:szCs w:val="22"/>
        </w:rPr>
        <w:t xml:space="preserve">Auth: MSAL (@azure/msal-react, @azure/msal-browser)</w:t>
      </w:r>
    </w:p>
    <w:p>
      <w:pPr>
        <w:pStyle w:val="ListParagraph"/>
        <w:numPr>
          <w:ilvl w:val="0"/>
          <w:numId w:val="2"/>
        </w:numPr>
        <w:spacing w:after="40" w:before="40"/>
      </w:pPr>
      <w:r>
        <w:rPr>
          <w:rFonts w:ascii="Arial" w:cs="Arial" w:eastAsia="Arial" w:hAnsi="Arial"/>
          <w:color w:val="1A2B4A"/>
          <w:sz w:val="22"/>
          <w:szCs w:val="22"/>
        </w:rPr>
        <w:t xml:space="preserve">State/data: TanStack Query (React Query)</w:t>
      </w:r>
    </w:p>
    <w:p>
      <w:pPr>
        <w:pStyle w:val="ListParagraph"/>
        <w:numPr>
          <w:ilvl w:val="0"/>
          <w:numId w:val="2"/>
        </w:numPr>
        <w:spacing w:after="40" w:before="40"/>
      </w:pPr>
      <w:r>
        <w:rPr>
          <w:rFonts w:ascii="Arial" w:cs="Arial" w:eastAsia="Arial" w:hAnsi="Arial"/>
          <w:color w:val="1A2B4A"/>
          <w:sz w:val="22"/>
          <w:szCs w:val="22"/>
        </w:rPr>
        <w:t xml:space="preserve">HTTP client: Axios</w:t>
      </w:r>
    </w:p>
    <w:p>
      <w:pPr>
        <w:pStyle w:val="ListParagraph"/>
        <w:numPr>
          <w:ilvl w:val="0"/>
          <w:numId w:val="2"/>
        </w:numPr>
        <w:spacing w:after="40" w:before="40"/>
      </w:pPr>
      <w:r>
        <w:rPr>
          <w:rFonts w:ascii="Arial" w:cs="Arial" w:eastAsia="Arial" w:hAnsi="Arial"/>
          <w:color w:val="1A2B4A"/>
          <w:sz w:val="22"/>
          <w:szCs w:val="22"/>
        </w:rPr>
        <w:t xml:space="preserve">Hosting: Azure Static Web Apps</w:t>
      </w:r>
    </w:p>
    <w:p>
      <w:pPr>
        <w:spacing w:after="0" w:before="200"/>
      </w:pPr>
      <w:r>
        <w:t xml:space="preserve"/>
      </w:r>
    </w:p>
    <w:p>
      <w:pPr>
        <w:pStyle w:val="Heading2"/>
        <w:spacing w:after="160" w:before="300"/>
      </w:pPr>
      <w:r>
        <w:rPr>
          <w:rFonts w:ascii="Arial" w:cs="Arial" w:eastAsia="Arial" w:hAnsi="Arial"/>
          <w:b/>
          <w:bCs/>
          <w:color w:val="1E4FC2"/>
          <w:sz w:val="28"/>
          <w:szCs w:val="28"/>
        </w:rPr>
        <w:t xml:space="preserve">5.2 Frontend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rPr>
          <w:tblHeader/>
        </w:trPr>
        <w:tc>
          <w:tcPr>
            <w:tcW w:type="dxa" w:w="3008"/>
            <w:tcBorders>
              <w:top w:val="single" w:color="CCCCCC" w:sz="1"/>
              <w:left w:val="single" w:color="CCCCCC" w:sz="1"/>
              <w:bottom w:val="single" w:color="CCCCCC" w:sz="1"/>
              <w:right w:val="single" w:color="CCCCCC" w:sz="1"/>
            </w:tcBorders>
            <w:shd w:fill="1E4FC2"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008"/>
            <w:tcBorders>
              <w:top w:val="single" w:color="CCCCCC" w:sz="1"/>
              <w:left w:val="single" w:color="CCCCCC" w:sz="1"/>
              <w:bottom w:val="single" w:color="CCCCCC" w:sz="1"/>
              <w:right w:val="single" w:color="CCCCCC" w:sz="1"/>
            </w:tcBorders>
            <w:shd w:fill="1E4FC2"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3008"/>
            <w:tcBorders>
              <w:top w:val="single" w:color="CCCCCC" w:sz="1"/>
              <w:left w:val="single" w:color="CCCCCC" w:sz="1"/>
              <w:bottom w:val="single" w:color="CCCCCC" w:sz="1"/>
              <w:right w:val="single" w:color="CCCCCC" w:sz="1"/>
            </w:tcBorders>
            <w:shd w:fill="1E4FC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Dashboard</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GRC score overview, summary cards for all 8 modules</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Risk Management</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/risks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Risk register, risk scoring, risk treatment</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Compliance</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/compliance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Compliance frameworks, control tracking</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Policy Management</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/policies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Policy lifecycle, template library</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Audit Management</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/audits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Audit planning, findings, reports</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Statement of Applicability</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/soa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ISO 27001 Annex A controls applicability</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NC &amp; Corrective Actions</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/nonconformities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Nonconformity tracking, RCA, corrective actions</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Asset Inventory</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/assets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IT asset register, risk ratings</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Incident Management</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/incidents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Security incident lifecycle management</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Customer Portal</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/customer-portal</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External customer view of their incidents/assets</w:t>
            </w:r>
          </w:p>
        </w:tc>
      </w:tr>
    </w:tbl>
    <w:p>
      <w:pPr>
        <w:spacing w:after="0" w:before="200"/>
      </w:pPr>
      <w:r>
        <w:t xml:space="preserve"/>
      </w:r>
    </w:p>
    <w:p>
      <w:pPr>
        <w:pStyle w:val="Heading2"/>
        <w:spacing w:after="160" w:before="300"/>
      </w:pPr>
      <w:r>
        <w:rPr>
          <w:rFonts w:ascii="Arial" w:cs="Arial" w:eastAsia="Arial" w:hAnsi="Arial"/>
          <w:b/>
          <w:bCs/>
          <w:color w:val="1E4FC2"/>
          <w:sz w:val="28"/>
          <w:szCs w:val="28"/>
        </w:rPr>
        <w:t xml:space="preserve">5.3 Deployment</w:t>
      </w:r>
    </w:p>
    <w:p>
      <w:pPr>
        <w:pStyle w:val="ListParagraph"/>
        <w:numPr>
          <w:ilvl w:val="0"/>
          <w:numId w:val="2"/>
        </w:numPr>
        <w:spacing w:after="40" w:before="40"/>
      </w:pPr>
      <w:r>
        <w:rPr>
          <w:rFonts w:ascii="Arial" w:cs="Arial" w:eastAsia="Arial" w:hAnsi="Arial"/>
          <w:color w:val="1A2B4A"/>
          <w:sz w:val="22"/>
          <w:szCs w:val="22"/>
        </w:rPr>
        <w:t xml:space="preserve">Source: C:\Projects\grc-platform\src\Frontend\grc-portal\</w:t>
      </w:r>
    </w:p>
    <w:p>
      <w:pPr>
        <w:pStyle w:val="ListParagraph"/>
        <w:numPr>
          <w:ilvl w:val="0"/>
          <w:numId w:val="2"/>
        </w:numPr>
        <w:spacing w:after="40" w:before="40"/>
      </w:pPr>
      <w:r>
        <w:rPr>
          <w:rFonts w:ascii="Arial" w:cs="Arial" w:eastAsia="Arial" w:hAnsi="Arial"/>
          <w:color w:val="1A2B4A"/>
          <w:sz w:val="22"/>
          <w:szCs w:val="22"/>
        </w:rPr>
        <w:t xml:space="preserve">Deploy script: deploy-frontend.ps1</w:t>
      </w:r>
    </w:p>
    <w:p>
      <w:pPr>
        <w:pStyle w:val="ListParagraph"/>
        <w:numPr>
          <w:ilvl w:val="0"/>
          <w:numId w:val="2"/>
        </w:numPr>
        <w:spacing w:after="40" w:before="40"/>
      </w:pPr>
      <w:r>
        <w:rPr>
          <w:rFonts w:ascii="Arial" w:cs="Arial" w:eastAsia="Arial" w:hAnsi="Arial"/>
          <w:color w:val="1A2B4A"/>
          <w:sz w:val="22"/>
          <w:szCs w:val="22"/>
        </w:rPr>
        <w:t xml:space="preserve">Static Web App config: public/staticwebapp.config.json (navigationFallback for SPA routing)</w:t>
      </w:r>
    </w:p>
    <w:p>
      <w:pPr>
        <w:pStyle w:val="ListParagraph"/>
        <w:numPr>
          <w:ilvl w:val="0"/>
          <w:numId w:val="2"/>
        </w:numPr>
        <w:spacing w:after="40" w:before="40"/>
      </w:pPr>
      <w:r>
        <w:rPr>
          <w:rFonts w:ascii="Arial" w:cs="Arial" w:eastAsia="Arial" w:hAnsi="Arial"/>
          <w:color w:val="1A2B4A"/>
          <w:sz w:val="22"/>
          <w:szCs w:val="22"/>
        </w:rPr>
        <w:t xml:space="preserve">Custom domain: portal.exelcom.au (CNAME in Cloudflare, DNS only — not proxied)</w:t>
      </w:r>
    </w:p>
    <w:p>
      <w:pPr>
        <w:spacing w:after="0" w:before="200"/>
      </w:pPr>
      <w:r>
        <w:t xml:space="preserve"/>
      </w:r>
    </w:p>
    <w:p>
      <w:r>
        <w:br w:type="page"/>
      </w:r>
    </w:p>
    <w:p>
      <w:pPr>
        <w:pStyle w:val="Heading1"/>
        <w:pBdr>
          <w:bottom w:val="single" w:color="1E4FC2" w:sz="4" w:space="4"/>
        </w:pBdr>
        <w:spacing w:after="200" w:before="400"/>
      </w:pPr>
      <w:r>
        <w:rPr>
          <w:rFonts w:ascii="Arial" w:cs="Arial" w:eastAsia="Arial" w:hAnsi="Arial"/>
          <w:b/>
          <w:bCs/>
          <w:color w:val="1A2B4A"/>
          <w:sz w:val="36"/>
          <w:szCs w:val="36"/>
        </w:rPr>
        <w:t xml:space="preserve">6. CI/CD Pipeline</w:t>
      </w:r>
    </w:p>
    <w:p>
      <w:pPr>
        <w:pStyle w:val="Heading2"/>
        <w:spacing w:after="160" w:before="300"/>
      </w:pPr>
      <w:r>
        <w:rPr>
          <w:rFonts w:ascii="Arial" w:cs="Arial" w:eastAsia="Arial" w:hAnsi="Arial"/>
          <w:b/>
          <w:bCs/>
          <w:color w:val="1E4FC2"/>
          <w:sz w:val="28"/>
          <w:szCs w:val="28"/>
        </w:rPr>
        <w:t xml:space="preserve">6.1 GitHub Actions</w:t>
      </w:r>
    </w:p>
    <w:p>
      <w:pPr>
        <w:spacing w:after="80" w:before="80"/>
      </w:pPr>
      <w:r>
        <w:rPr>
          <w:rFonts w:ascii="Arial" w:cs="Arial" w:eastAsia="Arial" w:hAnsi="Arial"/>
          <w:color w:val="1A2B4A"/>
          <w:sz w:val="22"/>
          <w:szCs w:val="22"/>
        </w:rPr>
        <w:t xml:space="preserve">The platform uses GitHub Actions for automated build and deployment on every push to the main branch. The pipeline builds all 9 backend services and the frontend in parallel, then deploys them to Azure.</w:t>
      </w:r>
    </w:p>
    <w:p>
      <w:pPr>
        <w:spacing w:after="0" w:before="100"/>
      </w:pPr>
      <w:r>
        <w:t xml:space="preserve"/>
      </w:r>
    </w:p>
    <w:p>
      <w:pPr>
        <w:pStyle w:val="ListParagraph"/>
        <w:numPr>
          <w:ilvl w:val="0"/>
          <w:numId w:val="2"/>
        </w:numPr>
        <w:spacing w:after="40" w:before="40"/>
      </w:pPr>
      <w:r>
        <w:rPr>
          <w:rFonts w:ascii="Arial" w:cs="Arial" w:eastAsia="Arial" w:hAnsi="Arial"/>
          <w:color w:val="1A2B4A"/>
          <w:sz w:val="22"/>
          <w:szCs w:val="22"/>
        </w:rPr>
        <w:t xml:space="preserve">Repository: https://github.com/exelcom/exelcom (main branch)</w:t>
      </w:r>
    </w:p>
    <w:p>
      <w:pPr>
        <w:pStyle w:val="ListParagraph"/>
        <w:numPr>
          <w:ilvl w:val="0"/>
          <w:numId w:val="2"/>
        </w:numPr>
        <w:spacing w:after="40" w:before="40"/>
      </w:pPr>
      <w:r>
        <w:rPr>
          <w:rFonts w:ascii="Arial" w:cs="Arial" w:eastAsia="Arial" w:hAnsi="Arial"/>
          <w:color w:val="1A2B4A"/>
          <w:sz w:val="22"/>
          <w:szCs w:val="22"/>
        </w:rPr>
        <w:t xml:space="preserve">Workflow file: .github/workflows/github-actions.yml</w:t>
      </w:r>
    </w:p>
    <w:p>
      <w:pPr>
        <w:pStyle w:val="ListParagraph"/>
        <w:numPr>
          <w:ilvl w:val="0"/>
          <w:numId w:val="2"/>
        </w:numPr>
        <w:spacing w:after="40" w:before="40"/>
      </w:pPr>
      <w:r>
        <w:rPr>
          <w:rFonts w:ascii="Arial" w:cs="Arial" w:eastAsia="Arial" w:hAnsi="Arial"/>
          <w:color w:val="1A2B4A"/>
          <w:sz w:val="22"/>
          <w:szCs w:val="22"/>
        </w:rPr>
        <w:t xml:space="preserve">Build: All 9 .NET services + React frontend built in parallel</w:t>
      </w:r>
    </w:p>
    <w:p>
      <w:pPr>
        <w:pStyle w:val="ListParagraph"/>
        <w:numPr>
          <w:ilvl w:val="0"/>
          <w:numId w:val="2"/>
        </w:numPr>
        <w:spacing w:after="40" w:before="40"/>
      </w:pPr>
      <w:r>
        <w:rPr>
          <w:rFonts w:ascii="Arial" w:cs="Arial" w:eastAsia="Arial" w:hAnsi="Arial"/>
          <w:color w:val="1A2B4A"/>
          <w:sz w:val="22"/>
          <w:szCs w:val="22"/>
        </w:rPr>
        <w:t xml:space="preserve">Deploy: All services deployed to Azure App Service using azure/webapps-deploy@v3</w:t>
      </w:r>
    </w:p>
    <w:p>
      <w:pPr>
        <w:pStyle w:val="ListParagraph"/>
        <w:numPr>
          <w:ilvl w:val="0"/>
          <w:numId w:val="2"/>
        </w:numPr>
        <w:spacing w:after="40" w:before="40"/>
      </w:pPr>
      <w:r>
        <w:rPr>
          <w:rFonts w:ascii="Arial" w:cs="Arial" w:eastAsia="Arial" w:hAnsi="Arial"/>
          <w:color w:val="1A2B4A"/>
          <w:sz w:val="22"/>
          <w:szCs w:val="22"/>
        </w:rPr>
        <w:t xml:space="preserve">Retry logic: 30-second wait + automatic retry on transient 503 errors</w:t>
      </w:r>
    </w:p>
    <w:p>
      <w:pPr>
        <w:pStyle w:val="ListParagraph"/>
        <w:numPr>
          <w:ilvl w:val="0"/>
          <w:numId w:val="2"/>
        </w:numPr>
        <w:spacing w:after="40" w:before="40"/>
      </w:pPr>
      <w:r>
        <w:rPr>
          <w:rFonts w:ascii="Arial" w:cs="Arial" w:eastAsia="Arial" w:hAnsi="Arial"/>
          <w:color w:val="1A2B4A"/>
          <w:sz w:val="22"/>
          <w:szCs w:val="22"/>
        </w:rPr>
        <w:t xml:space="preserve">Frontend: Deployed to Azure Static Web Apps using Azure/static-web-apps-deploy@v1</w:t>
      </w:r>
    </w:p>
    <w:p>
      <w:pPr>
        <w:spacing w:after="0" w:before="200"/>
      </w:pPr>
      <w:r>
        <w:t xml:space="preserve"/>
      </w:r>
    </w:p>
    <w:p>
      <w:pPr>
        <w:pStyle w:val="Heading2"/>
        <w:spacing w:after="160" w:before="300"/>
      </w:pPr>
      <w:r>
        <w:rPr>
          <w:rFonts w:ascii="Arial" w:cs="Arial" w:eastAsia="Arial" w:hAnsi="Arial"/>
          <w:b/>
          <w:bCs/>
          <w:color w:val="1E4FC2"/>
          <w:sz w:val="28"/>
          <w:szCs w:val="28"/>
        </w:rPr>
        <w:t xml:space="preserve">6.2 Required GitHub Secrets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4513"/>
            <w:tcBorders>
              <w:top w:val="single" w:color="CCCCCC" w:sz="1"/>
              <w:left w:val="single" w:color="CCCCCC" w:sz="1"/>
              <w:bottom w:val="single" w:color="CCCCCC" w:sz="1"/>
              <w:right w:val="single" w:color="CCCCCC" w:sz="1"/>
            </w:tcBorders>
            <w:shd w:fill="1E4FC2" w:val="clear"/>
            <w:tcMar>
              <w:top w:type="dxa" w:w="80"/>
              <w:left w:type="dxa" w:w="120"/>
              <w:bottom w:type="dxa" w:w="80"/>
              <w:right w:type="dxa" w:w="120"/>
            </w:tcMar>
          </w:tcPr>
          <w:p>
            <w:r>
              <w:rPr>
                <w:rFonts w:ascii="Arial" w:cs="Arial" w:eastAsia="Arial" w:hAnsi="Arial"/>
                <w:b/>
                <w:bCs/>
                <w:color w:val="FFFFFF"/>
                <w:sz w:val="20"/>
                <w:szCs w:val="20"/>
              </w:rPr>
              <w:t xml:space="preserve">Secret</w:t>
            </w:r>
          </w:p>
        </w:tc>
        <w:tc>
          <w:tcPr>
            <w:tcW w:type="dxa" w:w="4513"/>
            <w:tcBorders>
              <w:top w:val="single" w:color="CCCCCC" w:sz="1"/>
              <w:left w:val="single" w:color="CCCCCC" w:sz="1"/>
              <w:bottom w:val="single" w:color="CCCCCC" w:sz="1"/>
              <w:right w:val="single" w:color="CCCCCC" w:sz="1"/>
            </w:tcBorders>
            <w:shd w:fill="1E4FC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AZURE_CREDENTIALS</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Service principal credentials for Azure CLI authentication</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AZURE_STATIC_WEB_APPS_API_TOKEN</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Deployment token for Azure Static Web Apps</w:t>
            </w:r>
          </w:p>
        </w:tc>
      </w:tr>
    </w:tbl>
    <w:p>
      <w:pPr>
        <w:spacing w:after="0" w:before="200"/>
      </w:pPr>
      <w:r>
        <w:t xml:space="preserve"/>
      </w:r>
    </w:p>
    <w:p>
      <w:pPr>
        <w:pStyle w:val="Heading2"/>
        <w:spacing w:after="160" w:before="300"/>
      </w:pPr>
      <w:r>
        <w:rPr>
          <w:rFonts w:ascii="Arial" w:cs="Arial" w:eastAsia="Arial" w:hAnsi="Arial"/>
          <w:b/>
          <w:bCs/>
          <w:color w:val="1E4FC2"/>
          <w:sz w:val="28"/>
          <w:szCs w:val="28"/>
        </w:rPr>
        <w:t xml:space="preserve">6.3 Manual Deployment</w:t>
      </w:r>
    </w:p>
    <w:p>
      <w:pPr>
        <w:spacing w:after="80" w:before="80"/>
      </w:pPr>
      <w:r>
        <w:rPr>
          <w:rFonts w:ascii="Arial" w:cs="Arial" w:eastAsia="Arial" w:hAnsi="Arial"/>
          <w:color w:val="1A2B4A"/>
          <w:sz w:val="22"/>
          <w:szCs w:val="22"/>
        </w:rPr>
        <w:t xml:space="preserve">Each service has an individual PowerShell deploy script for manual deployment:</w:t>
      </w:r>
    </w:p>
    <w:p>
      <w:pPr>
        <w:pStyle w:val="ListParagraph"/>
        <w:numPr>
          <w:ilvl w:val="0"/>
          <w:numId w:val="2"/>
        </w:numPr>
        <w:spacing w:after="40" w:before="40"/>
      </w:pPr>
      <w:r>
        <w:rPr>
          <w:rFonts w:ascii="Arial" w:cs="Arial" w:eastAsia="Arial" w:hAnsi="Arial"/>
          <w:color w:val="1A2B4A"/>
          <w:sz w:val="22"/>
          <w:szCs w:val="22"/>
        </w:rPr>
        <w:t xml:space="preserve">deploy-frontend.ps1 — React frontend</w:t>
      </w:r>
    </w:p>
    <w:p>
      <w:pPr>
        <w:pStyle w:val="ListParagraph"/>
        <w:numPr>
          <w:ilvl w:val="0"/>
          <w:numId w:val="2"/>
        </w:numPr>
        <w:spacing w:after="40" w:before="40"/>
      </w:pPr>
      <w:r>
        <w:rPr>
          <w:rFonts w:ascii="Arial" w:cs="Arial" w:eastAsia="Arial" w:hAnsi="Arial"/>
          <w:color w:val="1A2B4A"/>
          <w:sz w:val="22"/>
          <w:szCs w:val="22"/>
        </w:rPr>
        <w:t xml:space="preserve">deploy-risk.ps1 — Risk Management service</w:t>
      </w:r>
    </w:p>
    <w:p>
      <w:pPr>
        <w:pStyle w:val="ListParagraph"/>
        <w:numPr>
          <w:ilvl w:val="0"/>
          <w:numId w:val="2"/>
        </w:numPr>
        <w:spacing w:after="40" w:before="40"/>
      </w:pPr>
      <w:r>
        <w:rPr>
          <w:rFonts w:ascii="Arial" w:cs="Arial" w:eastAsia="Arial" w:hAnsi="Arial"/>
          <w:color w:val="1A2B4A"/>
          <w:sz w:val="22"/>
          <w:szCs w:val="22"/>
        </w:rPr>
        <w:t xml:space="preserve">deploy-compliance.ps1 — Compliance Tracking service</w:t>
      </w:r>
    </w:p>
    <w:p>
      <w:pPr>
        <w:pStyle w:val="ListParagraph"/>
        <w:numPr>
          <w:ilvl w:val="0"/>
          <w:numId w:val="2"/>
        </w:numPr>
        <w:spacing w:after="40" w:before="40"/>
      </w:pPr>
      <w:r>
        <w:rPr>
          <w:rFonts w:ascii="Arial" w:cs="Arial" w:eastAsia="Arial" w:hAnsi="Arial"/>
          <w:color w:val="1A2B4A"/>
          <w:sz w:val="22"/>
          <w:szCs w:val="22"/>
        </w:rPr>
        <w:t xml:space="preserve">deploy-policy.ps1 — Policy Management service</w:t>
      </w:r>
    </w:p>
    <w:p>
      <w:pPr>
        <w:pStyle w:val="ListParagraph"/>
        <w:numPr>
          <w:ilvl w:val="0"/>
          <w:numId w:val="2"/>
        </w:numPr>
        <w:spacing w:after="40" w:before="40"/>
      </w:pPr>
      <w:r>
        <w:rPr>
          <w:rFonts w:ascii="Arial" w:cs="Arial" w:eastAsia="Arial" w:hAnsi="Arial"/>
          <w:color w:val="1A2B4A"/>
          <w:sz w:val="22"/>
          <w:szCs w:val="22"/>
        </w:rPr>
        <w:t xml:space="preserve">deploy-audit.ps1 — Audit Management service</w:t>
      </w:r>
    </w:p>
    <w:p>
      <w:pPr>
        <w:pStyle w:val="ListParagraph"/>
        <w:numPr>
          <w:ilvl w:val="0"/>
          <w:numId w:val="2"/>
        </w:numPr>
        <w:spacing w:after="40" w:before="40"/>
      </w:pPr>
      <w:r>
        <w:rPr>
          <w:rFonts w:ascii="Arial" w:cs="Arial" w:eastAsia="Arial" w:hAnsi="Arial"/>
          <w:color w:val="1A2B4A"/>
          <w:sz w:val="22"/>
          <w:szCs w:val="22"/>
        </w:rPr>
        <w:t xml:space="preserve">deploy-soa.ps1 — Statement of Applicability service</w:t>
      </w:r>
    </w:p>
    <w:p>
      <w:pPr>
        <w:pStyle w:val="ListParagraph"/>
        <w:numPr>
          <w:ilvl w:val="0"/>
          <w:numId w:val="2"/>
        </w:numPr>
        <w:spacing w:after="40" w:before="40"/>
      </w:pPr>
      <w:r>
        <w:rPr>
          <w:rFonts w:ascii="Arial" w:cs="Arial" w:eastAsia="Arial" w:hAnsi="Arial"/>
          <w:color w:val="1A2B4A"/>
          <w:sz w:val="22"/>
          <w:szCs w:val="22"/>
        </w:rPr>
        <w:t xml:space="preserve">deploy-nonconformity.ps1 — NC &amp; Corrective Actions service</w:t>
      </w:r>
    </w:p>
    <w:p>
      <w:pPr>
        <w:pStyle w:val="ListParagraph"/>
        <w:numPr>
          <w:ilvl w:val="0"/>
          <w:numId w:val="2"/>
        </w:numPr>
        <w:spacing w:after="40" w:before="40"/>
      </w:pPr>
      <w:r>
        <w:rPr>
          <w:rFonts w:ascii="Arial" w:cs="Arial" w:eastAsia="Arial" w:hAnsi="Arial"/>
          <w:color w:val="1A2B4A"/>
          <w:sz w:val="22"/>
          <w:szCs w:val="22"/>
        </w:rPr>
        <w:t xml:space="preserve">deploy-asset.ps1 — Asset Inventory service</w:t>
      </w:r>
    </w:p>
    <w:p>
      <w:pPr>
        <w:pStyle w:val="ListParagraph"/>
        <w:numPr>
          <w:ilvl w:val="0"/>
          <w:numId w:val="2"/>
        </w:numPr>
        <w:spacing w:after="40" w:before="40"/>
      </w:pPr>
      <w:r>
        <w:rPr>
          <w:rFonts w:ascii="Arial" w:cs="Arial" w:eastAsia="Arial" w:hAnsi="Arial"/>
          <w:color w:val="1A2B4A"/>
          <w:sz w:val="22"/>
          <w:szCs w:val="22"/>
        </w:rPr>
        <w:t xml:space="preserve">deploy-incident.ps1 — Incident Management service</w:t>
      </w:r>
    </w:p>
    <w:p>
      <w:pPr>
        <w:pStyle w:val="ListParagraph"/>
        <w:numPr>
          <w:ilvl w:val="0"/>
          <w:numId w:val="2"/>
        </w:numPr>
        <w:spacing w:after="40" w:before="40"/>
      </w:pPr>
      <w:r>
        <w:rPr>
          <w:rFonts w:ascii="Arial" w:cs="Arial" w:eastAsia="Arial" w:hAnsi="Arial"/>
          <w:color w:val="1A2B4A"/>
          <w:sz w:val="22"/>
          <w:szCs w:val="22"/>
        </w:rPr>
        <w:t xml:space="preserve">deploy-portal.ps1 — Customer Portal service</w:t>
      </w:r>
    </w:p>
    <w:p>
      <w:pPr>
        <w:spacing w:after="0" w:before="200"/>
      </w:pPr>
      <w:r>
        <w:t xml:space="preserve"/>
      </w:r>
    </w:p>
    <w:p>
      <w:r>
        <w:br w:type="page"/>
      </w:r>
    </w:p>
    <w:p>
      <w:pPr>
        <w:pStyle w:val="Heading1"/>
        <w:pBdr>
          <w:bottom w:val="single" w:color="1E4FC2" w:sz="4" w:space="4"/>
        </w:pBdr>
        <w:spacing w:after="200" w:before="400"/>
      </w:pPr>
      <w:r>
        <w:rPr>
          <w:rFonts w:ascii="Arial" w:cs="Arial" w:eastAsia="Arial" w:hAnsi="Arial"/>
          <w:b/>
          <w:bCs/>
          <w:color w:val="1A2B4A"/>
          <w:sz w:val="36"/>
          <w:szCs w:val="36"/>
        </w:rPr>
        <w:t xml:space="preserve">7. Policy Template Library</w:t>
      </w:r>
    </w:p>
    <w:p>
      <w:pPr>
        <w:spacing w:after="80" w:before="80"/>
      </w:pPr>
      <w:r>
        <w:rPr>
          <w:rFonts w:ascii="Arial" w:cs="Arial" w:eastAsia="Arial" w:hAnsi="Arial"/>
          <w:color w:val="1A2B4A"/>
          <w:sz w:val="22"/>
          <w:szCs w:val="22"/>
        </w:rPr>
        <w:t xml:space="preserve">The platform includes 8 pre-built ISO/IEC 27001:2022 policy templates accessible from the Policy Management module. Templates pre-fill the policy creation form with structured content, which staff can then customise before saving.</w:t>
      </w:r>
    </w:p>
    <w:p>
      <w:pPr>
        <w:spacing w:after="0" w:before="200"/>
      </w:pPr>
      <w:r>
        <w:t xml:space="preserve"/>
      </w:r>
    </w:p>
    <w:p>
      <w:pPr>
        <w:pStyle w:val="Heading2"/>
        <w:spacing w:after="160" w:before="300"/>
      </w:pPr>
      <w:r>
        <w:rPr>
          <w:rFonts w:ascii="Arial" w:cs="Arial" w:eastAsia="Arial" w:hAnsi="Arial"/>
          <w:b/>
          <w:bCs/>
          <w:color w:val="1E4FC2"/>
          <w:sz w:val="28"/>
          <w:szCs w:val="28"/>
        </w:rPr>
        <w:t xml:space="preserve">7.1 Available Templates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800"/>
        <w:gridCol w:w="2026"/>
      </w:tblGrid>
      <w:tr>
        <w:trPr>
          <w:tblHeader/>
        </w:trPr>
        <w:tc>
          <w:tcPr>
            <w:tcW w:type="dxa" w:w="2256"/>
            <w:tcBorders>
              <w:top w:val="single" w:color="CCCCCC" w:sz="1"/>
              <w:left w:val="single" w:color="CCCCCC" w:sz="1"/>
              <w:bottom w:val="single" w:color="CCCCCC" w:sz="1"/>
              <w:right w:val="single" w:color="CCCCCC" w:sz="1"/>
            </w:tcBorders>
            <w:shd w:fill="1E4FC2" w:val="clear"/>
            <w:tcMar>
              <w:top w:type="dxa" w:w="80"/>
              <w:left w:type="dxa" w:w="120"/>
              <w:bottom w:type="dxa" w:w="80"/>
              <w:right w:type="dxa" w:w="120"/>
            </w:tcMar>
          </w:tcPr>
          <w:p>
            <w:r>
              <w:rPr>
                <w:rFonts w:ascii="Arial" w:cs="Arial" w:eastAsia="Arial" w:hAnsi="Arial"/>
                <w:b/>
                <w:bCs/>
                <w:color w:val="FFFFFF"/>
                <w:sz w:val="20"/>
                <w:szCs w:val="20"/>
              </w:rPr>
              <w:t xml:space="preserve">Policy Template</w:t>
            </w:r>
          </w:p>
        </w:tc>
        <w:tc>
          <w:tcPr>
            <w:tcW w:type="dxa" w:w="2256"/>
            <w:tcBorders>
              <w:top w:val="single" w:color="CCCCCC" w:sz="1"/>
              <w:left w:val="single" w:color="CCCCCC" w:sz="1"/>
              <w:bottom w:val="single" w:color="CCCCCC" w:sz="1"/>
              <w:right w:val="single" w:color="CCCCCC" w:sz="1"/>
            </w:tcBorders>
            <w:shd w:fill="1E4FC2" w:val="clear"/>
            <w:tcMar>
              <w:top w:type="dxa" w:w="80"/>
              <w:left w:type="dxa" w:w="120"/>
              <w:bottom w:type="dxa" w:w="80"/>
              <w:right w:type="dxa" w:w="120"/>
            </w:tcMar>
          </w:tcPr>
          <w:p>
            <w:r>
              <w:rPr>
                <w:rFonts w:ascii="Arial" w:cs="Arial" w:eastAsia="Arial" w:hAnsi="Arial"/>
                <w:b/>
                <w:bCs/>
                <w:color w:val="FFFFFF"/>
                <w:sz w:val="20"/>
                <w:szCs w:val="20"/>
              </w:rPr>
              <w:t xml:space="preserve">ISO Clause</w:t>
            </w:r>
          </w:p>
        </w:tc>
        <w:tc>
          <w:tcPr>
            <w:tcW w:type="dxa" w:w="2256"/>
            <w:tcBorders>
              <w:top w:val="single" w:color="CCCCCC" w:sz="1"/>
              <w:left w:val="single" w:color="CCCCCC" w:sz="1"/>
              <w:bottom w:val="single" w:color="CCCCCC" w:sz="1"/>
              <w:right w:val="single" w:color="CCCCCC" w:sz="1"/>
            </w:tcBorders>
            <w:shd w:fill="1E4FC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256"/>
            <w:tcBorders>
              <w:top w:val="single" w:color="CCCCCC" w:sz="1"/>
              <w:left w:val="single" w:color="CCCCCC" w:sz="1"/>
              <w:bottom w:val="single" w:color="CCCCCC" w:sz="1"/>
              <w:right w:val="single" w:color="CCCCCC" w:sz="1"/>
            </w:tcBorders>
            <w:shd w:fill="1E4FC2" w:val="clear"/>
            <w:tcMar>
              <w:top w:type="dxa" w:w="80"/>
              <w:left w:type="dxa" w:w="120"/>
              <w:bottom w:type="dxa" w:w="80"/>
              <w:right w:type="dxa" w:w="120"/>
            </w:tcMar>
          </w:tcPr>
          <w:p>
            <w:r>
              <w:rPr>
                <w:rFonts w:ascii="Arial" w:cs="Arial" w:eastAsia="Arial" w:hAnsi="Arial"/>
                <w:b/>
                <w:bCs/>
                <w:color w:val="FFFFFF"/>
                <w:sz w:val="20"/>
                <w:szCs w:val="20"/>
              </w:rPr>
              <w:t xml:space="preserve">Attestation</w:t>
            </w:r>
          </w:p>
        </w:tc>
      </w:tr>
      <w:tr>
        <w:trPr>
          <w:tblHeader w:val="false"/>
        </w:trP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ISMS Policy</w:t>
            </w:r>
          </w:p>
        </w:tc>
        <w:tc>
          <w:tcPr>
            <w:tcW w:type="dxa" w:w="225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Clause 5.2</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Information Security</w:t>
            </w:r>
          </w:p>
        </w:tc>
        <w:tc>
          <w:tcPr>
            <w:tcW w:type="dxa" w:w="225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Yes</w:t>
            </w:r>
          </w:p>
        </w:tc>
      </w:tr>
      <w:tr>
        <w:trPr>
          <w:tblHeader w:val="false"/>
        </w:trP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Access Control Policy</w:t>
            </w:r>
          </w:p>
        </w:tc>
        <w:tc>
          <w:tcPr>
            <w:tcW w:type="dxa" w:w="225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Annex A 5.15–5.18</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Information Security</w:t>
            </w:r>
          </w:p>
        </w:tc>
        <w:tc>
          <w:tcPr>
            <w:tcW w:type="dxa" w:w="225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Yes</w:t>
            </w:r>
          </w:p>
        </w:tc>
      </w:tr>
      <w:tr>
        <w:trPr>
          <w:tblHeader w:val="false"/>
        </w:trP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Incident Management Policy</w:t>
            </w:r>
          </w:p>
        </w:tc>
        <w:tc>
          <w:tcPr>
            <w:tcW w:type="dxa" w:w="225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Annex A 5.24–5.28</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Information Security</w:t>
            </w:r>
          </w:p>
        </w:tc>
        <w:tc>
          <w:tcPr>
            <w:tcW w:type="dxa" w:w="225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Yes</w:t>
            </w:r>
          </w:p>
        </w:tc>
      </w:tr>
      <w:tr>
        <w:trPr>
          <w:tblHeader w:val="false"/>
        </w:trP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Information Classification Policy</w:t>
            </w:r>
          </w:p>
        </w:tc>
        <w:tc>
          <w:tcPr>
            <w:tcW w:type="dxa" w:w="225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Annex A 5.12–5.13</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Data Privacy</w:t>
            </w:r>
          </w:p>
        </w:tc>
        <w:tc>
          <w:tcPr>
            <w:tcW w:type="dxa" w:w="225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Yes</w:t>
            </w:r>
          </w:p>
        </w:tc>
      </w:tr>
      <w:tr>
        <w:trPr>
          <w:tblHeader w:val="false"/>
        </w:trP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Acceptable Use Policy</w:t>
            </w:r>
          </w:p>
        </w:tc>
        <w:tc>
          <w:tcPr>
            <w:tcW w:type="dxa" w:w="225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Annex A 5.10</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Operational</w:t>
            </w:r>
          </w:p>
        </w:tc>
        <w:tc>
          <w:tcPr>
            <w:tcW w:type="dxa" w:w="225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Yes</w:t>
            </w:r>
          </w:p>
        </w:tc>
      </w:tr>
      <w:tr>
        <w:trPr>
          <w:tblHeader w:val="false"/>
        </w:trP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Business Continuity Policy</w:t>
            </w:r>
          </w:p>
        </w:tc>
        <w:tc>
          <w:tcPr>
            <w:tcW w:type="dxa" w:w="225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Annex A 5.29–5.30</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Business Continuity</w:t>
            </w:r>
          </w:p>
        </w:tc>
        <w:tc>
          <w:tcPr>
            <w:tcW w:type="dxa" w:w="225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No</w:t>
            </w:r>
          </w:p>
        </w:tc>
      </w:tr>
      <w:tr>
        <w:trPr>
          <w:tblHeader w:val="false"/>
        </w:trP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Privacy Policy (Internal)</w:t>
            </w:r>
          </w:p>
        </w:tc>
        <w:tc>
          <w:tcPr>
            <w:tcW w:type="dxa" w:w="225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Annex A 5.34</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Data Privacy</w:t>
            </w:r>
          </w:p>
        </w:tc>
        <w:tc>
          <w:tcPr>
            <w:tcW w:type="dxa" w:w="225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Yes</w:t>
            </w:r>
          </w:p>
        </w:tc>
      </w:tr>
      <w:tr>
        <w:trPr>
          <w:tblHeader w:val="false"/>
        </w:trP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Supplier Security Policy</w:t>
            </w:r>
          </w:p>
        </w:tc>
        <w:tc>
          <w:tcPr>
            <w:tcW w:type="dxa" w:w="225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Annex A 5.19–5.22</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Information Security</w:t>
            </w:r>
          </w:p>
        </w:tc>
        <w:tc>
          <w:tcPr>
            <w:tcW w:type="dxa" w:w="225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No</w:t>
            </w:r>
          </w:p>
        </w:tc>
      </w:tr>
    </w:tbl>
    <w:p>
      <w:pPr>
        <w:spacing w:after="0" w:before="200"/>
      </w:pPr>
      <w:r>
        <w:t xml:space="preserve"/>
      </w:r>
    </w:p>
    <w:p>
      <w:r>
        <w:br w:type="page"/>
      </w:r>
    </w:p>
    <w:p>
      <w:pPr>
        <w:pStyle w:val="Heading1"/>
        <w:pBdr>
          <w:bottom w:val="single" w:color="1E4FC2" w:sz="4" w:space="4"/>
        </w:pBdr>
        <w:spacing w:after="200" w:before="400"/>
      </w:pPr>
      <w:r>
        <w:rPr>
          <w:rFonts w:ascii="Arial" w:cs="Arial" w:eastAsia="Arial" w:hAnsi="Arial"/>
          <w:b/>
          <w:bCs/>
          <w:color w:val="1A2B4A"/>
          <w:sz w:val="36"/>
          <w:szCs w:val="36"/>
        </w:rPr>
        <w:t xml:space="preserve">8. Cost Management</w:t>
      </w:r>
    </w:p>
    <w:p>
      <w:pPr>
        <w:pStyle w:val="Heading2"/>
        <w:spacing w:after="160" w:before="300"/>
      </w:pPr>
      <w:r>
        <w:rPr>
          <w:rFonts w:ascii="Arial" w:cs="Arial" w:eastAsia="Arial" w:hAnsi="Arial"/>
          <w:b/>
          <w:bCs/>
          <w:color w:val="1E4FC2"/>
          <w:sz w:val="28"/>
          <w:szCs w:val="28"/>
        </w:rPr>
        <w:t xml:space="preserve">8.1 Estimated Monthly Costs (AUD)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rPr>
          <w:tblHeader/>
        </w:trPr>
        <w:tc>
          <w:tcPr>
            <w:tcW w:type="dxa" w:w="3008"/>
            <w:tcBorders>
              <w:top w:val="single" w:color="CCCCCC" w:sz="1"/>
              <w:left w:val="single" w:color="CCCCCC" w:sz="1"/>
              <w:bottom w:val="single" w:color="CCCCCC" w:sz="1"/>
              <w:right w:val="single" w:color="CCCCCC" w:sz="1"/>
            </w:tcBorders>
            <w:shd w:fill="1E4FC2"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3008"/>
            <w:tcBorders>
              <w:top w:val="single" w:color="CCCCCC" w:sz="1"/>
              <w:left w:val="single" w:color="CCCCCC" w:sz="1"/>
              <w:bottom w:val="single" w:color="CCCCCC" w:sz="1"/>
              <w:right w:val="single" w:color="CCCCCC" w:sz="1"/>
            </w:tcBorders>
            <w:shd w:fill="1E4FC2" w:val="clear"/>
            <w:tcMar>
              <w:top w:type="dxa" w:w="80"/>
              <w:left w:type="dxa" w:w="120"/>
              <w:bottom w:type="dxa" w:w="80"/>
              <w:right w:type="dxa" w:w="120"/>
            </w:tcMar>
          </w:tcPr>
          <w:p>
            <w:r>
              <w:rPr>
                <w:rFonts w:ascii="Arial" w:cs="Arial" w:eastAsia="Arial" w:hAnsi="Arial"/>
                <w:b/>
                <w:bCs/>
                <w:color w:val="FFFFFF"/>
                <w:sz w:val="20"/>
                <w:szCs w:val="20"/>
              </w:rPr>
              <w:t xml:space="preserve">SKU/Tier</w:t>
            </w:r>
          </w:p>
        </w:tc>
        <w:tc>
          <w:tcPr>
            <w:tcW w:type="dxa" w:w="3008"/>
            <w:tcBorders>
              <w:top w:val="single" w:color="CCCCCC" w:sz="1"/>
              <w:left w:val="single" w:color="CCCCCC" w:sz="1"/>
              <w:bottom w:val="single" w:color="CCCCCC" w:sz="1"/>
              <w:right w:val="single" w:color="CCCCCC" w:sz="1"/>
            </w:tcBorders>
            <w:shd w:fill="1E4FC2" w:val="clear"/>
            <w:tcMar>
              <w:top w:type="dxa" w:w="80"/>
              <w:left w:type="dxa" w:w="120"/>
              <w:bottom w:type="dxa" w:w="80"/>
              <w:right w:type="dxa" w:w="120"/>
            </w:tcMar>
          </w:tcPr>
          <w:p>
            <w:r>
              <w:rPr>
                <w:rFonts w:ascii="Arial" w:cs="Arial" w:eastAsia="Arial" w:hAnsi="Arial"/>
                <w:b/>
                <w:bCs/>
                <w:color w:val="FFFFFF"/>
                <w:sz w:val="20"/>
                <w:szCs w:val="20"/>
              </w:rPr>
              <w:t xml:space="preserve">Est. Monthly Cost</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App Service Plan (8 services)</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B1 (1 core, 1.75 GB RAM)</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~$25/month</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App Service Plan (Portal)</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B1 (dedicated)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~$25/month</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Azure SQL Databases (9x)</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Basic (5 DTU each)</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~$50/month</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Azure API Management</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Consumption tier</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~$0–5/month</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Azure Static Web Apps</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Free tier</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$0/month</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Azure Key Vault</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Standard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~$2/month</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Log Analytics / Monitor</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Pay-per-use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~$5/month</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TOTAL</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~$107–112/month</w:t>
            </w:r>
          </w:p>
        </w:tc>
      </w:tr>
    </w:tbl>
    <w:p>
      <w:pPr>
        <w:spacing w:after="0" w:before="200"/>
      </w:pPr>
      <w:r>
        <w:t xml:space="preserve"/>
      </w:r>
    </w:p>
    <w:p>
      <w:r>
        <w:br w:type="page"/>
      </w:r>
    </w:p>
    <w:p>
      <w:pPr>
        <w:pStyle w:val="Heading1"/>
        <w:pBdr>
          <w:bottom w:val="single" w:color="1E4FC2" w:sz="4" w:space="4"/>
        </w:pBdr>
        <w:spacing w:after="200" w:before="400"/>
      </w:pPr>
      <w:r>
        <w:rPr>
          <w:rFonts w:ascii="Arial" w:cs="Arial" w:eastAsia="Arial" w:hAnsi="Arial"/>
          <w:b/>
          <w:bCs/>
          <w:color w:val="1A2B4A"/>
          <w:sz w:val="36"/>
          <w:szCs w:val="36"/>
        </w:rPr>
        <w:t xml:space="preserve">9. Operational Procedures</w:t>
      </w:r>
    </w:p>
    <w:p>
      <w:pPr>
        <w:pStyle w:val="Heading2"/>
        <w:spacing w:after="160" w:before="300"/>
      </w:pPr>
      <w:r>
        <w:rPr>
          <w:rFonts w:ascii="Arial" w:cs="Arial" w:eastAsia="Arial" w:hAnsi="Arial"/>
          <w:b/>
          <w:bCs/>
          <w:color w:val="1E4FC2"/>
          <w:sz w:val="28"/>
          <w:szCs w:val="28"/>
        </w:rPr>
        <w:t xml:space="preserve">9.1 Adding a New User</w:t>
      </w:r>
    </w:p>
    <w:p>
      <w:pPr>
        <w:spacing w:after="80" w:before="80"/>
      </w:pPr>
      <w:r>
        <w:rPr>
          <w:rFonts w:ascii="Arial" w:cs="Arial" w:eastAsia="Arial" w:hAnsi="Arial"/>
          <w:color w:val="1A2B4A"/>
          <w:sz w:val="22"/>
          <w:szCs w:val="22"/>
        </w:rPr>
        <w:t xml:space="preserve">To grant a staff member access to the GRC platform:</w:t>
      </w:r>
    </w:p>
    <w:p>
      <w:pPr>
        <w:spacing w:after="60" w:before="60"/>
      </w:pPr>
      <w:r>
        <w:rPr>
          <w:rFonts w:ascii="Arial" w:cs="Arial" w:eastAsia="Arial" w:hAnsi="Arial"/>
          <w:b/>
          <w:bCs/>
          <w:sz w:val="22"/>
          <w:szCs w:val="22"/>
        </w:rPr>
        <w:t xml:space="preserve">Step 1: </w:t>
      </w:r>
      <w:r>
        <w:rPr>
          <w:rFonts w:ascii="Arial" w:cs="Arial" w:eastAsia="Arial" w:hAnsi="Arial"/>
          <w:sz w:val="22"/>
          <w:szCs w:val="22"/>
        </w:rPr>
        <w:t xml:space="preserve">Determine the appropriate role (see Section 4.2)</w:t>
      </w:r>
    </w:p>
    <w:p>
      <w:pPr>
        <w:spacing w:after="60" w:before="60"/>
      </w:pPr>
      <w:r>
        <w:rPr>
          <w:rFonts w:ascii="Arial" w:cs="Arial" w:eastAsia="Arial" w:hAnsi="Arial"/>
          <w:b/>
          <w:bCs/>
          <w:sz w:val="22"/>
          <w:szCs w:val="22"/>
        </w:rPr>
        <w:t xml:space="preserve">Step 2: </w:t>
      </w:r>
      <w:r>
        <w:rPr>
          <w:rFonts w:ascii="Arial" w:cs="Arial" w:eastAsia="Arial" w:hAnsi="Arial"/>
          <w:sz w:val="22"/>
          <w:szCs w:val="22"/>
        </w:rPr>
        <w:t xml:space="preserve">Get the user's Azure AD object ID:</w:t>
      </w:r>
    </w:p>
    <w:p>
      <w:pPr>
        <w:pBdr>
          <w:left w:val="single" w:color="1E4FC2" w:sz="12" w:space="8"/>
        </w:pBdr>
        <w:shd w:fill="F1F5F9" w:val="clear"/>
        <w:spacing w:after="80" w:before="80"/>
        <w:ind w:left="360"/>
      </w:pPr>
      <w:r>
        <w:rPr>
          <w:rFonts w:ascii="Courier New" w:cs="Courier New" w:eastAsia="Courier New" w:hAnsi="Courier New"/>
          <w:color w:val="1E3A5F"/>
          <w:sz w:val="18"/>
          <w:szCs w:val="18"/>
        </w:rPr>
        <w:t xml:space="preserve">az ad user show --id user@exelcom.net.au --query id -o tsv</w:t>
      </w:r>
    </w:p>
    <w:p>
      <w:pPr>
        <w:spacing w:after="60" w:before="60"/>
      </w:pPr>
      <w:r>
        <w:rPr>
          <w:rFonts w:ascii="Arial" w:cs="Arial" w:eastAsia="Arial" w:hAnsi="Arial"/>
          <w:b/>
          <w:bCs/>
          <w:sz w:val="22"/>
          <w:szCs w:val="22"/>
        </w:rPr>
        <w:t xml:space="preserve">Step 3: </w:t>
      </w:r>
      <w:r>
        <w:rPr>
          <w:rFonts w:ascii="Arial" w:cs="Arial" w:eastAsia="Arial" w:hAnsi="Arial"/>
          <w:sz w:val="22"/>
          <w:szCs w:val="22"/>
        </w:rPr>
        <w:t xml:space="preserve">Add them to the appropriate Azure AD group:</w:t>
      </w:r>
    </w:p>
    <w:p>
      <w:pPr>
        <w:pBdr>
          <w:left w:val="single" w:color="1E4FC2" w:sz="12" w:space="8"/>
        </w:pBdr>
        <w:shd w:fill="F1F5F9" w:val="clear"/>
        <w:spacing w:after="80" w:before="80"/>
        <w:ind w:left="360"/>
      </w:pPr>
      <w:r>
        <w:rPr>
          <w:rFonts w:ascii="Courier New" w:cs="Courier New" w:eastAsia="Courier New" w:hAnsi="Courier New"/>
          <w:color w:val="1E3A5F"/>
          <w:sz w:val="18"/>
          <w:szCs w:val="18"/>
        </w:rPr>
        <w:t xml:space="preserve">az ad group member add --group &lt;group-id&gt; --member-id &lt;user-id&gt;</w:t>
      </w:r>
    </w:p>
    <w:p>
      <w:pPr>
        <w:spacing w:after="60" w:before="60"/>
      </w:pPr>
      <w:r>
        <w:rPr>
          <w:rFonts w:ascii="Arial" w:cs="Arial" w:eastAsia="Arial" w:hAnsi="Arial"/>
          <w:b/>
          <w:bCs/>
          <w:sz w:val="22"/>
          <w:szCs w:val="22"/>
        </w:rPr>
        <w:t xml:space="preserve">Step 4: </w:t>
      </w:r>
      <w:r>
        <w:rPr>
          <w:rFonts w:ascii="Arial" w:cs="Arial" w:eastAsia="Arial" w:hAnsi="Arial"/>
          <w:sz w:val="22"/>
          <w:szCs w:val="22"/>
        </w:rPr>
        <w:t xml:space="preserve">User signs in at portal.exelcom.au with their Microsoft account</w:t>
      </w:r>
    </w:p>
    <w:p>
      <w:pPr>
        <w:spacing w:after="0" w:before="200"/>
      </w:pPr>
      <w:r>
        <w:t xml:space="preserve"/>
      </w:r>
    </w:p>
    <w:p>
      <w:pPr>
        <w:pStyle w:val="Heading2"/>
        <w:spacing w:after="160" w:before="300"/>
      </w:pPr>
      <w:r>
        <w:rPr>
          <w:rFonts w:ascii="Arial" w:cs="Arial" w:eastAsia="Arial" w:hAnsi="Arial"/>
          <w:b/>
          <w:bCs/>
          <w:color w:val="1E4FC2"/>
          <w:sz w:val="28"/>
          <w:szCs w:val="28"/>
        </w:rPr>
        <w:t xml:space="preserve">9.2 Adding an External Auditor</w:t>
      </w:r>
    </w:p>
    <w:p>
      <w:pPr>
        <w:pStyle w:val="ListParagraph"/>
        <w:numPr>
          <w:ilvl w:val="0"/>
          <w:numId w:val="2"/>
        </w:numPr>
        <w:spacing w:after="40" w:before="40"/>
      </w:pPr>
      <w:r>
        <w:rPr>
          <w:rFonts w:ascii="Arial" w:cs="Arial" w:eastAsia="Arial" w:hAnsi="Arial"/>
          <w:color w:val="1A2B4A"/>
          <w:sz w:val="22"/>
          <w:szCs w:val="22"/>
        </w:rPr>
        <w:t xml:space="preserve">Invite via: az ad invitation create --invited-user-email-address auditor@firm.com --invite-redirect-url https://portal.exelcom.au</w:t>
      </w:r>
    </w:p>
    <w:p>
      <w:pPr>
        <w:pStyle w:val="ListParagraph"/>
        <w:numPr>
          <w:ilvl w:val="0"/>
          <w:numId w:val="2"/>
        </w:numPr>
        <w:spacing w:after="40" w:before="40"/>
      </w:pPr>
      <w:r>
        <w:rPr>
          <w:rFonts w:ascii="Arial" w:cs="Arial" w:eastAsia="Arial" w:hAnsi="Arial"/>
          <w:color w:val="1A2B4A"/>
          <w:sz w:val="22"/>
          <w:szCs w:val="22"/>
        </w:rPr>
        <w:t xml:space="preserve">Once they accept, get their object ID and add to GRC-Auditors or GRC-Viewers group</w:t>
      </w:r>
    </w:p>
    <w:p>
      <w:pPr>
        <w:pStyle w:val="ListParagraph"/>
        <w:numPr>
          <w:ilvl w:val="0"/>
          <w:numId w:val="2"/>
        </w:numPr>
        <w:spacing w:after="40" w:before="40"/>
      </w:pPr>
      <w:r>
        <w:rPr>
          <w:rFonts w:ascii="Arial" w:cs="Arial" w:eastAsia="Arial" w:hAnsi="Arial"/>
          <w:color w:val="1A2B4A"/>
          <w:sz w:val="22"/>
          <w:szCs w:val="22"/>
        </w:rPr>
        <w:t xml:space="preserve">Remove from group when audit is complete</w:t>
      </w:r>
    </w:p>
    <w:p>
      <w:pPr>
        <w:spacing w:after="0" w:before="200"/>
      </w:pPr>
      <w:r>
        <w:t xml:space="preserve"/>
      </w:r>
    </w:p>
    <w:p>
      <w:pPr>
        <w:pStyle w:val="Heading2"/>
        <w:spacing w:after="160" w:before="300"/>
      </w:pPr>
      <w:r>
        <w:rPr>
          <w:rFonts w:ascii="Arial" w:cs="Arial" w:eastAsia="Arial" w:hAnsi="Arial"/>
          <w:b/>
          <w:bCs/>
          <w:color w:val="1E4FC2"/>
          <w:sz w:val="28"/>
          <w:szCs w:val="28"/>
        </w:rPr>
        <w:t xml:space="preserve">9.3 Service Recovery</w:t>
      </w:r>
    </w:p>
    <w:p>
      <w:pPr>
        <w:spacing w:after="80" w:before="80"/>
      </w:pPr>
      <w:r>
        <w:rPr>
          <w:rFonts w:ascii="Arial" w:cs="Arial" w:eastAsia="Arial" w:hAnsi="Arial"/>
          <w:color w:val="1A2B4A"/>
          <w:sz w:val="22"/>
          <w:szCs w:val="22"/>
        </w:rPr>
        <w:t xml:space="preserve">If a service fails to start after a GitHub Actions deployment (e.g. due to a transient 503):</w:t>
      </w:r>
    </w:p>
    <w:p>
      <w:pPr>
        <w:pStyle w:val="ListParagraph"/>
        <w:numPr>
          <w:ilvl w:val="0"/>
          <w:numId w:val="2"/>
        </w:numPr>
        <w:spacing w:after="40" w:before="40"/>
      </w:pPr>
      <w:r>
        <w:rPr>
          <w:rFonts w:ascii="Arial" w:cs="Arial" w:eastAsia="Arial" w:hAnsi="Arial"/>
          <w:color w:val="1A2B4A"/>
          <w:sz w:val="22"/>
          <w:szCs w:val="22"/>
        </w:rPr>
        <w:t xml:space="preserve">Run the individual deploy script: e.g. powershell -ExecutionPolicy Bypass -File .\deploy-incident.ps1</w:t>
      </w:r>
    </w:p>
    <w:p>
      <w:pPr>
        <w:pStyle w:val="ListParagraph"/>
        <w:numPr>
          <w:ilvl w:val="0"/>
          <w:numId w:val="2"/>
        </w:numPr>
        <w:spacing w:after="40" w:before="40"/>
      </w:pPr>
      <w:r>
        <w:rPr>
          <w:rFonts w:ascii="Arial" w:cs="Arial" w:eastAsia="Arial" w:hAnsi="Arial"/>
          <w:color w:val="1A2B4A"/>
          <w:sz w:val="22"/>
          <w:szCs w:val="22"/>
        </w:rPr>
        <w:t xml:space="preserve">Check App Service logs in Azure Portal → App Service → Log Stream</w:t>
      </w:r>
    </w:p>
    <w:p>
      <w:pPr>
        <w:pStyle w:val="ListParagraph"/>
        <w:numPr>
          <w:ilvl w:val="0"/>
          <w:numId w:val="2"/>
        </w:numPr>
        <w:spacing w:after="40" w:before="40"/>
      </w:pPr>
      <w:r>
        <w:rPr>
          <w:rFonts w:ascii="Arial" w:cs="Arial" w:eastAsia="Arial" w:hAnsi="Arial"/>
          <w:color w:val="1A2B4A"/>
          <w:sz w:val="22"/>
          <w:szCs w:val="22"/>
        </w:rPr>
        <w:t xml:space="preserve">Verify Managed Identity SQL permissions if database connection fails</w:t>
      </w:r>
    </w:p>
    <w:p>
      <w:pPr>
        <w:spacing w:after="0" w:before="200"/>
      </w:pPr>
      <w:r>
        <w:t xml:space="preserve"/>
      </w:r>
    </w:p>
    <w:p>
      <w:pPr>
        <w:pStyle w:val="Heading2"/>
        <w:spacing w:after="160" w:before="300"/>
      </w:pPr>
      <w:r>
        <w:rPr>
          <w:rFonts w:ascii="Arial" w:cs="Arial" w:eastAsia="Arial" w:hAnsi="Arial"/>
          <w:b/>
          <w:bCs/>
          <w:color w:val="1E4FC2"/>
          <w:sz w:val="28"/>
          <w:szCs w:val="28"/>
        </w:rPr>
        <w:t xml:space="preserve">9.4 Database Access</w:t>
      </w:r>
    </w:p>
    <w:p>
      <w:pPr>
        <w:spacing w:after="80" w:before="80"/>
      </w:pPr>
      <w:r>
        <w:rPr>
          <w:rFonts w:ascii="Arial" w:cs="Arial" w:eastAsia="Arial" w:hAnsi="Arial"/>
          <w:color w:val="1A2B4A"/>
          <w:sz w:val="22"/>
          <w:szCs w:val="22"/>
        </w:rPr>
        <w:t xml:space="preserve">All databases use Azure AD-only authentication with private endpoint. Direct SQL access requires:</w:t>
      </w:r>
    </w:p>
    <w:p>
      <w:pPr>
        <w:pStyle w:val="ListParagraph"/>
        <w:numPr>
          <w:ilvl w:val="0"/>
          <w:numId w:val="2"/>
        </w:numPr>
        <w:spacing w:after="40" w:before="40"/>
      </w:pPr>
      <w:r>
        <w:rPr>
          <w:rFonts w:ascii="Arial" w:cs="Arial" w:eastAsia="Arial" w:hAnsi="Arial"/>
          <w:color w:val="1A2B4A"/>
          <w:sz w:val="22"/>
          <w:szCs w:val="22"/>
        </w:rPr>
        <w:t xml:space="preserve">Azure AD account with appropriate SQL role (db_datareader, db_datawriter, db_ddladmin)</w:t>
      </w:r>
    </w:p>
    <w:p>
      <w:pPr>
        <w:pStyle w:val="ListParagraph"/>
        <w:numPr>
          <w:ilvl w:val="0"/>
          <w:numId w:val="2"/>
        </w:numPr>
        <w:spacing w:after="40" w:before="40"/>
      </w:pPr>
      <w:r>
        <w:rPr>
          <w:rFonts w:ascii="Arial" w:cs="Arial" w:eastAsia="Arial" w:hAnsi="Arial"/>
          <w:color w:val="1A2B4A"/>
          <w:sz w:val="22"/>
          <w:szCs w:val="22"/>
        </w:rPr>
        <w:t xml:space="preserve">Access via Azure Data Studio or SSMS with Azure AD authentication</w:t>
      </w:r>
    </w:p>
    <w:p>
      <w:pPr>
        <w:pStyle w:val="ListParagraph"/>
        <w:numPr>
          <w:ilvl w:val="0"/>
          <w:numId w:val="2"/>
        </w:numPr>
        <w:spacing w:after="40" w:before="40"/>
      </w:pPr>
      <w:r>
        <w:rPr>
          <w:rFonts w:ascii="Arial" w:cs="Arial" w:eastAsia="Arial" w:hAnsi="Arial"/>
          <w:color w:val="1A2B4A"/>
          <w:sz w:val="22"/>
          <w:szCs w:val="22"/>
        </w:rPr>
        <w:t xml:space="preserve">VPN or Azure Bastion for private endpoint access</w:t>
      </w:r>
    </w:p>
    <w:p>
      <w:pPr>
        <w:spacing w:after="0" w:before="200"/>
      </w:pPr>
      <w:r>
        <w:t xml:space="preserve"/>
      </w:r>
    </w:p>
    <w:p>
      <w:r>
        <w:br w:type="page"/>
      </w:r>
    </w:p>
    <w:p>
      <w:pPr>
        <w:pStyle w:val="Heading1"/>
        <w:pBdr>
          <w:bottom w:val="single" w:color="1E4FC2" w:sz="4" w:space="4"/>
        </w:pBdr>
        <w:spacing w:after="200" w:before="400"/>
      </w:pPr>
      <w:r>
        <w:rPr>
          <w:rFonts w:ascii="Arial" w:cs="Arial" w:eastAsia="Arial" w:hAnsi="Arial"/>
          <w:b/>
          <w:bCs/>
          <w:color w:val="1A2B4A"/>
          <w:sz w:val="36"/>
          <w:szCs w:val="36"/>
        </w:rPr>
        <w:t xml:space="preserve">10. Key Technical Decisions &amp; Learnings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4513"/>
            <w:tcBorders>
              <w:top w:val="single" w:color="CCCCCC" w:sz="1"/>
              <w:left w:val="single" w:color="CCCCCC" w:sz="1"/>
              <w:bottom w:val="single" w:color="CCCCCC" w:sz="1"/>
              <w:right w:val="single" w:color="CCCCCC" w:sz="1"/>
            </w:tcBorders>
            <w:shd w:fill="1E4FC2"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4513"/>
            <w:tcBorders>
              <w:top w:val="single" w:color="CCCCCC" w:sz="1"/>
              <w:left w:val="single" w:color="CCCCCC" w:sz="1"/>
              <w:bottom w:val="single" w:color="CCCCCC" w:sz="1"/>
              <w:right w:val="single" w:color="CCCCCC" w:sz="1"/>
            </w:tcBorders>
            <w:shd w:fill="1E4FC2" w:val="clear"/>
            <w:tcMar>
              <w:top w:type="dxa" w:w="80"/>
              <w:left w:type="dxa" w:w="120"/>
              <w:bottom w:type="dxa" w:w="80"/>
              <w:right w:type="dxa" w:w="120"/>
            </w:tcMar>
          </w:tcPr>
          <w:p>
            <w:r>
              <w:rPr>
                <w:rFonts w:ascii="Arial" w:cs="Arial" w:eastAsia="Arial" w:hAnsi="Arial"/>
                <w:b/>
                <w:bCs/>
                <w:color w:val="FFFFFF"/>
                <w:sz w:val="20"/>
                <w:szCs w:val="20"/>
              </w:rPr>
              <w:t xml:space="preserve">Decision / Learning</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SQL Authentication</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Use .NET SqlConnection with Azure AD access token to grant MI permissions — sqlcmd has a 128-char password limit issue</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MSAL / Azure AD SPA</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App registration requires SPA platform (not Web) to avoid AADSTS9002326 cross-origin token errors</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APIM JWT Policy</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Use &amp;quot; for C# string literals inside condition attributes in APIM policy XML</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Risk Management API</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Requires Api-Version: v1 header due to version set configuration in APIM</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AddMicrosoftIdentityWebApi</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Crashes on startup when AzureAd config is incomplete — removed from all services; JWT validation done at APIM</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Cloudflare + Azure SWA</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Cloudflare proxy (orange cloud) blocks Azure Static Web App domain validation — must use DNS only (grey cloud)</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Static Web App SPA Routing</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Requires staticwebapp.config.json with navigationFallback in public/ to prevent 404 on hard refresh</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GitHub Actions B1 Limit</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Parallel deployment of 8+ services to B1 plan causes transient 503 — retry logic with 30s wait resolves this</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EntityFrameworkCore.Design</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Should be marked as private assets in .csproj to prevent Roslyn DLLs from polluting publish output</w:t>
            </w:r>
          </w:p>
        </w:tc>
      </w:tr>
      <w:tr>
        <w:trPr>
          <w:tblHeader w:val="false"/>
        </w:trP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CORS Order in .NET</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app.UseCors() must be placed before app.UseSwagger()</w:t>
            </w:r>
          </w:p>
        </w:tc>
      </w:tr>
    </w:tbl>
    <w:p>
      <w:pPr>
        <w:spacing w:after="0" w:before="200"/>
      </w:pPr>
      <w:r>
        <w:t xml:space="preserve"/>
      </w:r>
    </w:p>
    <w:p>
      <w:r>
        <w:br w:type="page"/>
      </w:r>
    </w:p>
    <w:p>
      <w:pPr>
        <w:pStyle w:val="Heading1"/>
        <w:pBdr>
          <w:bottom w:val="single" w:color="1E4FC2" w:sz="4" w:space="4"/>
        </w:pBdr>
        <w:spacing w:after="200" w:before="400"/>
      </w:pPr>
      <w:r>
        <w:rPr>
          <w:rFonts w:ascii="Arial" w:cs="Arial" w:eastAsia="Arial" w:hAnsi="Arial"/>
          <w:b/>
          <w:bCs/>
          <w:color w:val="1A2B4A"/>
          <w:sz w:val="36"/>
          <w:szCs w:val="36"/>
        </w:rPr>
        <w:t xml:space="preserve">11. Contacts &amp; Support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3008"/>
            <w:tcBorders>
              <w:top w:val="single" w:color="CCCCCC" w:sz="1"/>
              <w:left w:val="single" w:color="CCCCCC" w:sz="1"/>
              <w:bottom w:val="single" w:color="CCCCCC" w:sz="1"/>
              <w:right w:val="single" w:color="CCCCCC" w:sz="1"/>
            </w:tcBorders>
            <w:shd w:fill="1E4FC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008"/>
            <w:tcBorders>
              <w:top w:val="single" w:color="CCCCCC" w:sz="1"/>
              <w:left w:val="single" w:color="CCCCCC" w:sz="1"/>
              <w:bottom w:val="single" w:color="CCCCCC" w:sz="1"/>
              <w:right w:val="single" w:color="CCCCCC" w:sz="1"/>
            </w:tcBorders>
            <w:shd w:fill="1E4FC2" w:val="clear"/>
            <w:tcMar>
              <w:top w:type="dxa" w:w="80"/>
              <w:left w:type="dxa" w:w="120"/>
              <w:bottom w:type="dxa" w:w="80"/>
              <w:right w:type="dxa" w:w="120"/>
            </w:tcMar>
          </w:tcPr>
          <w:p>
            <w:r>
              <w:rPr>
                <w:rFonts w:ascii="Arial" w:cs="Arial" w:eastAsia="Arial" w:hAnsi="Arial"/>
                <w:b/>
                <w:bCs/>
                <w:color w:val="FFFFFF"/>
                <w:sz w:val="20"/>
                <w:szCs w:val="20"/>
              </w:rPr>
              <w:t xml:space="preserve">Name / Contact</w:t>
            </w:r>
          </w:p>
        </w:tc>
        <w:tc>
          <w:tcPr>
            <w:tcW w:type="dxa" w:w="3008"/>
            <w:tcBorders>
              <w:top w:val="single" w:color="CCCCCC" w:sz="1"/>
              <w:left w:val="single" w:color="CCCCCC" w:sz="1"/>
              <w:bottom w:val="single" w:color="CCCCCC" w:sz="1"/>
              <w:right w:val="single" w:color="CCCCCC" w:sz="1"/>
            </w:tcBorders>
            <w:shd w:fill="1E4FC2"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GRC Platform Administrator</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Sam Kawtharani — samk@exelcom.net.au</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Platform owner, deployment, Azure infrastructure</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Customer Portal Support</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grc@exelcom.au</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Customer portal enquiries and support</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Security Incidents</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incidents@exelcom.au</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Automated incident email notifications</w:t>
            </w:r>
          </w:p>
        </w:tc>
      </w:tr>
      <w:tr>
        <w:trPr>
          <w:tblHeader w:val="false"/>
        </w:trP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Azure Support</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Microsoft Azure Portal</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Azure infrastructure support</w:t>
            </w:r>
          </w:p>
        </w:tc>
      </w:tr>
    </w:tbl>
    <w:p>
      <w:pPr>
        <w:spacing w:after="0" w:before="400"/>
      </w:pPr>
      <w:r>
        <w:t xml:space="preserve"/>
      </w:r>
    </w:p>
    <w:p>
      <w:pPr>
        <w:pStyle w:val="Heading2"/>
        <w:spacing w:after="160" w:before="300"/>
      </w:pPr>
      <w:r>
        <w:rPr>
          <w:rFonts w:ascii="Arial" w:cs="Arial" w:eastAsia="Arial" w:hAnsi="Arial"/>
          <w:b/>
          <w:bCs/>
          <w:color w:val="1E4FC2"/>
          <w:sz w:val="28"/>
          <w:szCs w:val="28"/>
        </w:rPr>
        <w:t xml:space="preserve">Document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000"/>
        <w:gridCol w:w="2526"/>
      </w:tblGrid>
      <w:tr>
        <w:trPr>
          <w:tblHeader/>
        </w:trPr>
        <w:tc>
          <w:tcPr>
            <w:tcW w:type="dxa" w:w="2256"/>
            <w:tcBorders>
              <w:top w:val="single" w:color="CCCCCC" w:sz="1"/>
              <w:left w:val="single" w:color="CCCCCC" w:sz="1"/>
              <w:bottom w:val="single" w:color="CCCCCC" w:sz="1"/>
              <w:right w:val="single" w:color="CCCCCC" w:sz="1"/>
            </w:tcBorders>
            <w:shd w:fill="1E4FC2"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256"/>
            <w:tcBorders>
              <w:top w:val="single" w:color="CCCCCC" w:sz="1"/>
              <w:left w:val="single" w:color="CCCCCC" w:sz="1"/>
              <w:bottom w:val="single" w:color="CCCCCC" w:sz="1"/>
              <w:right w:val="single" w:color="CCCCCC" w:sz="1"/>
            </w:tcBorders>
            <w:shd w:fill="1E4FC2"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256"/>
            <w:tcBorders>
              <w:top w:val="single" w:color="CCCCCC" w:sz="1"/>
              <w:left w:val="single" w:color="CCCCCC" w:sz="1"/>
              <w:bottom w:val="single" w:color="CCCCCC" w:sz="1"/>
              <w:right w:val="single" w:color="CCCCCC" w:sz="1"/>
            </w:tcBorders>
            <w:shd w:fill="1E4FC2"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2256"/>
            <w:tcBorders>
              <w:top w:val="single" w:color="CCCCCC" w:sz="1"/>
              <w:left w:val="single" w:color="CCCCCC" w:sz="1"/>
              <w:bottom w:val="single" w:color="CCCCCC" w:sz="1"/>
              <w:right w:val="single" w:color="CCCCCC" w:sz="1"/>
            </w:tcBorders>
            <w:shd w:fill="1E4FC2"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rPr>
          <w:tblHeader w:val="false"/>
        </w:trP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1.0</w:t>
            </w:r>
          </w:p>
        </w:tc>
        <w:tc>
          <w:tcPr>
            <w:tcW w:type="dxa" w:w="225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April 2026</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A"/>
                <w:sz w:val="20"/>
                <w:szCs w:val="20"/>
              </w:rPr>
              <w:t xml:space="preserve">Sam Kawtharani</w:t>
            </w:r>
          </w:p>
        </w:tc>
        <w:tc>
          <w:tcPr>
            <w:tcW w:type="dxa" w:w="225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A2B4A"/>
                <w:sz w:val="20"/>
                <w:szCs w:val="20"/>
              </w:rPr>
              <w:t xml:space="preserve">Initial release — Phase 1 complete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4FC2" w:sz="2" w:space="4"/>
      </w:pBdr>
      <w:tabs>
        <w:tab w:val="right" w:pos="9026"/>
      </w:tabs>
    </w:pPr>
    <w:r>
      <w:rPr>
        <w:rFonts w:ascii="Arial" w:cs="Arial" w:eastAsia="Arial" w:hAnsi="Arial"/>
        <w:color w:val="64748B"/>
        <w:sz w:val="18"/>
        <w:szCs w:val="18"/>
      </w:rPr>
      <w:t xml:space="preserve">© 2026 Exelcom. All rights reserved.</w:t>
    </w:r>
    <w:r>
      <w:rPr>
        <w:rFonts w:ascii="Arial" w:cs="Arial" w:eastAsia="Arial" w:hAnsi="Arial"/>
        <w:color w:val="64748B"/>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FC2" w:sz="2" w:space="4"/>
      </w:pBdr>
      <w:tabs>
        <w:tab w:val="right" w:pos="9026"/>
      </w:tabs>
    </w:pPr>
    <w:r>
      <w:rPr>
        <w:rFonts w:ascii="Arial" w:cs="Arial" w:eastAsia="Arial" w:hAnsi="Arial"/>
        <w:color w:val="64748B"/>
        <w:sz w:val="18"/>
        <w:szCs w:val="18"/>
      </w:rPr>
      <w:t xml:space="preserve">Exelcom GRC Platform — Technical Documentation</w:t>
    </w:r>
    <w:r>
      <w:rPr>
        <w:sz w:val="18"/>
        <w:szCs w:val="18"/>
      </w:rPr>
      <w:t xml:space="preserve">	</w:t>
    </w:r>
    <w:r>
      <w:rPr>
        <w:rFonts w:ascii="Arial" w:cs="Arial" w:eastAsia="Arial" w:hAnsi="Arial"/>
        <w:b/>
        <w:bCs/>
        <w:color w:val="1E4FC2"/>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B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2B4A"/>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E4FC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2B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2026-04-05T03:32:29.532Z</dcterms:created>
  <dcterms:modified xsi:type="dcterms:W3CDTF">2026-04-05T03:32:29.533Z</dcterms:modified>
</cp:coreProperties>
</file>

<file path=docProps/custom.xml><?xml version="1.0" encoding="utf-8"?>
<Properties xmlns="http://schemas.openxmlformats.org/officeDocument/2006/custom-properties" xmlns:vt="http://schemas.openxmlformats.org/officeDocument/2006/docPropsVTypes"/>
</file>