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A3C6E"/>
          <w:sz w:val="64"/>
          <w:szCs w:val="64"/>
        </w:rPr>
        <w:t xml:space="preserve">BussinessLocator</w:t>
      </w:r>
    </w:p>
    <w:p>
      <w:pPr>
        <w:spacing w:after="400" w:before="0"/>
        <w:jc w:val="center"/>
      </w:pPr>
      <w:r>
        <w:rPr>
          <w:rFonts w:ascii="Arial" w:cs="Arial" w:eastAsia="Arial" w:hAnsi="Arial"/>
          <w:i/>
          <w:iCs/>
          <w:color w:val="2E86C1"/>
          <w:sz w:val="30"/>
          <w:szCs w:val="30"/>
        </w:rPr>
        <w:t xml:space="preserve">Encuentra el mejor lugar para abrir tu negocio</w:t>
      </w:r>
    </w:p>
    <w:p>
      <w:pPr>
        <w:pBdr>
          <w:bottom w:val="single" w:color="1A3C6E" w:sz="8" w:space="1"/>
        </w:pBdr>
        <w:spacing w:after="400" w:before="0"/>
      </w:pPr>
      <w:r>
        <w:t xml:space="preserve"/>
      </w:r>
    </w:p>
    <w:p>
      <w:pPr>
        <w:spacing w:after="120" w:before="0"/>
        <w:jc w:val="center"/>
      </w:pPr>
      <w:r>
        <w:rPr>
          <w:rFonts w:ascii="Arial" w:cs="Arial" w:eastAsia="Arial" w:hAnsi="Arial"/>
          <w:b/>
          <w:bCs/>
          <w:color w:val="515A5A"/>
          <w:sz w:val="24"/>
          <w:szCs w:val="24"/>
        </w:rPr>
        <w:t xml:space="preserve">DOCUMENTO DE FUNDACIÓN DEL PRODUCTO</w:t>
      </w:r>
    </w:p>
    <w:p>
      <w:pPr>
        <w:spacing w:after="120" w:before="0"/>
        <w:jc w:val="center"/>
      </w:pPr>
      <w:r>
        <w:rPr>
          <w:rFonts w:ascii="Arial" w:cs="Arial" w:eastAsia="Arial" w:hAnsi="Arial"/>
          <w:i/>
          <w:iCs/>
          <w:color w:val="515A5A"/>
          <w:sz w:val="22"/>
          <w:szCs w:val="22"/>
        </w:rPr>
        <w:t xml:space="preserve">Caso de Necesidad y Caso de Negocio</w:t>
      </w:r>
    </w:p>
    <w:p>
      <w:pPr>
        <w:spacing w:after="600" w:before="0"/>
        <w:jc w:val="center"/>
      </w:pPr>
      <w:r>
        <w:rPr>
          <w:rFonts w:ascii="Arial" w:cs="Arial" w:eastAsia="Arial" w:hAnsi="Arial"/>
          <w:color w:val="515A5A"/>
          <w:sz w:val="20"/>
          <w:szCs w:val="20"/>
        </w:rPr>
        <w:t xml:space="preserve">Versión 1.0  —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60"/>
              <w:left w:type="dxa" w:w="240"/>
              <w:bottom w:type="dxa" w:w="160"/>
              <w:right w:type="dxa" w:w="240"/>
            </w:tcMar>
          </w:tcPr>
          <w:p>
            <w:pPr>
              <w:spacing w:after="80" w:before="0"/>
            </w:pPr>
            <w:r>
              <w:rPr>
                <w:rFonts w:ascii="Arial" w:cs="Arial" w:eastAsia="Arial" w:hAnsi="Arial"/>
                <w:b/>
                <w:bCs/>
                <w:color w:val="1A3C6E"/>
                <w:sz w:val="24"/>
                <w:szCs w:val="24"/>
              </w:rPr>
              <w:t xml:space="preserve">Resumen Ejecutivo</w:t>
            </w:r>
          </w:p>
          <w:p>
            <w:pPr>
              <w:spacing w:after="80" w:before="80"/>
            </w:pPr>
            <w:r>
              <w:rPr>
                <w:rFonts w:ascii="Arial" w:cs="Arial" w:eastAsia="Arial" w:hAnsi="Arial"/>
                <w:color w:val="1C2833"/>
                <w:sz w:val="22"/>
                <w:szCs w:val="22"/>
              </w:rPr>
              <w:t xml:space="preserve">BussinessLocator es una aplicación web SaaS que ayuda a emprendedores, franquiciados y consultores a identificar el punto geográfico óptimo para abrir un nuevo local comercial, maximizando la distancia a los competidores existentes dentro de una zona de interés definida por el propio usuario.</w:t>
            </w:r>
          </w:p>
        </w:tc>
      </w:tr>
    </w:tbl>
    <w:p>
      <w:pPr>
        <w:spacing w:after="0" w:before="300"/>
      </w:pPr>
      <w:r>
        <w:t xml:space="preserve"/>
      </w:r>
    </w:p>
    <w:p>
      <w:pPr>
        <w:pStyle w:val="Heading1"/>
        <w:shd w:fill="1A3C6E" w:val="clear"/>
        <w:spacing w:after="200" w:before="300"/>
        <w:ind w:left="240"/>
      </w:pPr>
      <w:r>
        <w:rPr>
          <w:rFonts w:ascii="Arial" w:cs="Arial" w:eastAsia="Arial" w:hAnsi="Arial"/>
          <w:b/>
          <w:bCs/>
          <w:color w:val="FFFFFF"/>
          <w:sz w:val="32"/>
          <w:szCs w:val="32"/>
        </w:rPr>
        <w:t xml:space="preserve">1. Caso de Necesidad</w:t>
      </w:r>
    </w:p>
    <w:p>
      <w:pPr>
        <w:pStyle w:val="Heading2"/>
        <w:pBdr>
          <w:bottom w:val="single" w:color="2E86C1" w:sz="4" w:space="1"/>
        </w:pBdr>
        <w:spacing w:after="120" w:before="240"/>
      </w:pPr>
      <w:r>
        <w:rPr>
          <w:rFonts w:ascii="Arial" w:cs="Arial" w:eastAsia="Arial" w:hAnsi="Arial"/>
          <w:b/>
          <w:bCs/>
          <w:color w:val="1A3C6E"/>
          <w:sz w:val="26"/>
          <w:szCs w:val="26"/>
        </w:rPr>
        <w:t xml:space="preserve">1.1  El Problema</w:t>
      </w:r>
    </w:p>
    <w:p>
      <w:pPr>
        <w:spacing w:after="80" w:before="80"/>
      </w:pPr>
      <w:r>
        <w:rPr>
          <w:rFonts w:ascii="Arial" w:cs="Arial" w:eastAsia="Arial" w:hAnsi="Arial"/>
          <w:color w:val="1C2833"/>
          <w:sz w:val="22"/>
          <w:szCs w:val="22"/>
        </w:rPr>
        <w:t xml:space="preserve">Abrir un negocio en el lugar equivocado es una de las principales causas de fracaso en el comercio minorista. Según estudios del sector, más del 60 % de los nuevos locales cierran en sus primeros tres años, y la saturación de competidores en una misma zona es un factor determinante.</w:t>
      </w:r>
    </w:p>
    <w:p>
      <w:pPr>
        <w:spacing w:after="80" w:before="80"/>
      </w:pPr>
      <w:r>
        <w:rPr>
          <w:rFonts w:ascii="Arial" w:cs="Arial" w:eastAsia="Arial" w:hAnsi="Arial"/>
          <w:color w:val="1C2833"/>
          <w:sz w:val="22"/>
          <w:szCs w:val="22"/>
        </w:rPr>
        <w:t xml:space="preserve">Hoy, un emprendedor que quiere abrir, por ejemplo, una pescadería en Belén Escobar enfrenta las siguientes barreras para elegir su ubicación:</w:t>
      </w:r>
    </w:p>
    <w:p>
      <w:pPr>
        <w:pStyle w:val="ListParagraph"/>
        <w:numPr>
          <w:ilvl w:val="0"/>
          <w:numId w:val="2"/>
        </w:numPr>
        <w:spacing w:after="60" w:before="60"/>
      </w:pPr>
      <w:r>
        <w:rPr>
          <w:rFonts w:ascii="Arial" w:cs="Arial" w:eastAsia="Arial" w:hAnsi="Arial"/>
          <w:b w:val="false"/>
          <w:bCs w:val="false"/>
          <w:color w:val="1C2833"/>
          <w:sz w:val="22"/>
          <w:szCs w:val="22"/>
        </w:rPr>
        <w:t xml:space="preserve">Falta de herramientas accesibles: los sistemas de geomarketíng profesional (Nielsen, ESRI) cuestan miles de dólares y están diseñados para grandes empresas.</w:t>
      </w:r>
    </w:p>
    <w:p>
      <w:pPr>
        <w:pStyle w:val="ListParagraph"/>
        <w:numPr>
          <w:ilvl w:val="0"/>
          <w:numId w:val="2"/>
        </w:numPr>
        <w:spacing w:after="60" w:before="60"/>
      </w:pPr>
      <w:r>
        <w:rPr>
          <w:rFonts w:ascii="Arial" w:cs="Arial" w:eastAsia="Arial" w:hAnsi="Arial"/>
          <w:b w:val="false"/>
          <w:bCs w:val="false"/>
          <w:color w:val="1C2833"/>
          <w:sz w:val="22"/>
          <w:szCs w:val="22"/>
        </w:rPr>
        <w:t xml:space="preserve">Proceso manual y costoso: contratar un consultor para un análisis de localización puede insumir entre USD 500 y USD 5.000, fuera del alcance de la mayoría de las PyMEs.</w:t>
      </w:r>
    </w:p>
    <w:p>
      <w:pPr>
        <w:pStyle w:val="ListParagraph"/>
        <w:numPr>
          <w:ilvl w:val="0"/>
          <w:numId w:val="2"/>
        </w:numPr>
        <w:spacing w:after="60" w:before="60"/>
      </w:pPr>
      <w:r>
        <w:rPr>
          <w:rFonts w:ascii="Arial" w:cs="Arial" w:eastAsia="Arial" w:hAnsi="Arial"/>
          <w:b w:val="false"/>
          <w:bCs w:val="false"/>
          <w:color w:val="1C2833"/>
          <w:sz w:val="22"/>
          <w:szCs w:val="22"/>
        </w:rPr>
        <w:t xml:space="preserve">Datos dispersos: la información sobre negocios existentes está fragmentada entre Google Maps, registros municipales y el conocimiento informal del barrio.</w:t>
      </w:r>
    </w:p>
    <w:p>
      <w:pPr>
        <w:pStyle w:val="ListParagraph"/>
        <w:numPr>
          <w:ilvl w:val="0"/>
          <w:numId w:val="2"/>
        </w:numPr>
        <w:spacing w:after="60" w:before="60"/>
      </w:pPr>
      <w:r>
        <w:rPr>
          <w:rFonts w:ascii="Arial" w:cs="Arial" w:eastAsia="Arial" w:hAnsi="Arial"/>
          <w:b w:val="false"/>
          <w:bCs w:val="false"/>
          <w:color w:val="1C2833"/>
          <w:sz w:val="22"/>
          <w:szCs w:val="22"/>
        </w:rPr>
        <w:t xml:space="preserve">Decisión por intuición: la mayoría de los emprendedores elige la ubicación por proximidad a su domicilio o por disponibilidad de local, no por análisis de demanda insatisfecha.</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1.2  La Solución</w:t>
      </w:r>
    </w:p>
    <w:p>
      <w:pPr>
        <w:spacing w:after="80" w:before="80"/>
      </w:pPr>
      <w:r>
        <w:rPr>
          <w:rFonts w:ascii="Arial" w:cs="Arial" w:eastAsia="Arial" w:hAnsi="Arial"/>
          <w:color w:val="1C2833"/>
          <w:sz w:val="22"/>
          <w:szCs w:val="22"/>
        </w:rPr>
        <w:t xml:space="preserve">BussinessLocator permite al usuario definir en un mapa interactivo una zona de interés (por ejemplo, un radio de 2 km alrededor del centro de Belén Escobar) y un tipo de negocio (pescadería, farmacia, kiosco, etc.). La plataforma consulta automáticamente las ubicaciones de todos los negocios similares existentes dentro y alrededor de esa zona y aplica un algoritmo de “maximin distancia” para identificar el punto geográfico que está más lejos de todos los competidores — es decir, donde la demanda local está más desatendida.</w:t>
      </w:r>
    </w:p>
    <w:p>
      <w:pPr>
        <w:spacing w:after="80" w:before="80"/>
      </w:pPr>
      <w:r>
        <w:rPr>
          <w:rFonts w:ascii="Arial" w:cs="Arial" w:eastAsia="Arial" w:hAnsi="Arial"/>
          <w:color w:val="1C2833"/>
          <w:sz w:val="22"/>
          <w:szCs w:val="22"/>
        </w:rPr>
        <w:t xml:space="preserve">El resultado se presenta como:</w:t>
      </w:r>
    </w:p>
    <w:p>
      <w:pPr>
        <w:pStyle w:val="ListParagraph"/>
        <w:numPr>
          <w:ilvl w:val="0"/>
          <w:numId w:val="2"/>
        </w:numPr>
        <w:spacing w:after="60" w:before="60"/>
      </w:pPr>
      <w:r>
        <w:rPr>
          <w:rFonts w:ascii="Arial" w:cs="Arial" w:eastAsia="Arial" w:hAnsi="Arial"/>
          <w:b w:val="false"/>
          <w:bCs w:val="false"/>
          <w:color w:val="1C2833"/>
          <w:sz w:val="22"/>
          <w:szCs w:val="22"/>
        </w:rPr>
        <w:t xml:space="preserve">Un pin en el mapa con la ubicación óptima recomendada.</w:t>
      </w:r>
    </w:p>
    <w:p>
      <w:pPr>
        <w:pStyle w:val="ListParagraph"/>
        <w:numPr>
          <w:ilvl w:val="0"/>
          <w:numId w:val="2"/>
        </w:numPr>
        <w:spacing w:after="60" w:before="60"/>
      </w:pPr>
      <w:r>
        <w:rPr>
          <w:rFonts w:ascii="Arial" w:cs="Arial" w:eastAsia="Arial" w:hAnsi="Arial"/>
          <w:b w:val="false"/>
          <w:bCs w:val="false"/>
          <w:color w:val="1C2833"/>
          <w:sz w:val="22"/>
          <w:szCs w:val="22"/>
        </w:rPr>
        <w:t xml:space="preserve">Un mapa de calor que muestra la densidad de competidores en toda la zona.</w:t>
      </w:r>
    </w:p>
    <w:p>
      <w:pPr>
        <w:pStyle w:val="ListParagraph"/>
        <w:numPr>
          <w:ilvl w:val="0"/>
          <w:numId w:val="2"/>
        </w:numPr>
        <w:spacing w:after="60" w:before="60"/>
      </w:pPr>
      <w:r>
        <w:rPr>
          <w:rFonts w:ascii="Arial" w:cs="Arial" w:eastAsia="Arial" w:hAnsi="Arial"/>
          <w:b w:val="false"/>
          <w:bCs w:val="false"/>
          <w:color w:val="1C2833"/>
          <w:sz w:val="22"/>
          <w:szCs w:val="22"/>
        </w:rPr>
        <w:t xml:space="preserve">Una tabla con las 3 mejores alternativas y su distancia mínima al competidor más cercano.</w:t>
      </w:r>
    </w:p>
    <w:p>
      <w:pPr>
        <w:pStyle w:val="ListParagraph"/>
        <w:numPr>
          <w:ilvl w:val="0"/>
          <w:numId w:val="2"/>
        </w:numPr>
        <w:spacing w:after="60" w:before="60"/>
      </w:pPr>
      <w:r>
        <w:rPr>
          <w:rFonts w:ascii="Arial" w:cs="Arial" w:eastAsia="Arial" w:hAnsi="Arial"/>
          <w:b w:val="false"/>
          <w:bCs w:val="false"/>
          <w:color w:val="1C2833"/>
          <w:sz w:val="22"/>
          <w:szCs w:val="22"/>
        </w:rPr>
        <w:t xml:space="preserve">Un informe descargable en PDF listo para presentar a socios o inversores.</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1.3  Público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Segmento</w:t>
            </w:r>
          </w:p>
        </w:tc>
        <w:tc>
          <w:tcPr>
            <w:tcW w:type="dxa" w:w="328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Descripción</w:t>
            </w:r>
          </w:p>
        </w:tc>
        <w:tc>
          <w:tcPr>
            <w:tcW w:type="dxa" w:w="328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Necesidad principal</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Emprendedores PyME</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Personas que abren su primer o segundo negocio</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Reducir riesgo de fracaso por mala ubicación</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bCs/>
                <w:color w:val="1A3C6E"/>
                <w:sz w:val="21"/>
                <w:szCs w:val="21"/>
              </w:rPr>
              <w:t xml:space="preserve">Franquiciados</w:t>
            </w:r>
          </w:p>
        </w:tc>
        <w:tc>
          <w:tcPr>
            <w:tcW w:type="dxa" w:w="32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color w:val="1C2833"/>
                <w:sz w:val="21"/>
                <w:szCs w:val="21"/>
              </w:rPr>
              <w:t xml:space="preserve">Compradores de franquicia que deben elegir zona</w:t>
            </w:r>
          </w:p>
        </w:tc>
        <w:tc>
          <w:tcPr>
            <w:tcW w:type="dxa" w:w="32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color w:val="1C2833"/>
                <w:sz w:val="21"/>
                <w:szCs w:val="21"/>
              </w:rPr>
              <w:t xml:space="preserve">Justificar la elección de zona ante el franquiciante</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Consultores / Inmobiliarios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Asesores que dan recomendaciones de localización a clientes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Generar informes rápidos y profesionales para sus clientes</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bCs/>
                <w:color w:val="1A3C6E"/>
                <w:sz w:val="21"/>
                <w:szCs w:val="21"/>
              </w:rPr>
              <w:t xml:space="preserve">Municipios / Incubadoras</w:t>
            </w:r>
          </w:p>
        </w:tc>
        <w:tc>
          <w:tcPr>
            <w:tcW w:type="dxa" w:w="32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color w:val="1C2833"/>
                <w:sz w:val="21"/>
                <w:szCs w:val="21"/>
              </w:rPr>
              <w:t xml:space="preserve">Organismos que apoyan a emprendedores locales</w:t>
            </w:r>
          </w:p>
        </w:tc>
        <w:tc>
          <w:tcPr>
            <w:tcW w:type="dxa" w:w="32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color w:val="1C2833"/>
                <w:sz w:val="21"/>
                <w:szCs w:val="21"/>
              </w:rPr>
              <w:t xml:space="preserve">Ofrecer herramientas a emprendedores del distrito</w:t>
            </w:r>
          </w:p>
        </w:tc>
      </w:tr>
    </w:tbl>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1.4  Propuesta de Valor Diferencial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60"/>
              <w:left w:type="dxa" w:w="240"/>
              <w:bottom w:type="dxa" w:w="160"/>
              <w:right w:type="dxa" w:w="240"/>
            </w:tcMar>
          </w:tcPr>
          <w:p>
            <w:pPr>
              <w:spacing w:after="60" w:before="60"/>
              <w:jc w:val="center"/>
            </w:pPr>
            <w:r>
              <w:rPr>
                <w:rFonts w:ascii="Arial" w:cs="Arial" w:eastAsia="Arial" w:hAnsi="Arial"/>
                <w:i/>
                <w:iCs/>
                <w:color w:val="1A3C6E"/>
                <w:sz w:val="22"/>
                <w:szCs w:val="22"/>
              </w:rPr>
              <w:t xml:space="preserve">“La inteligencia de localización que antes costó miles de dólares, ahora al alcance de cualquier emprendedor con una conexión a internet.”</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C2833"/>
          <w:sz w:val="22"/>
          <w:szCs w:val="22"/>
        </w:rPr>
        <w:t xml:space="preserve">Simplicidad: el usuario obtiene una recomendación concreta en menos de 60 segundos.</w:t>
      </w:r>
    </w:p>
    <w:p>
      <w:pPr>
        <w:pStyle w:val="ListParagraph"/>
        <w:numPr>
          <w:ilvl w:val="0"/>
          <w:numId w:val="2"/>
        </w:numPr>
        <w:spacing w:after="60" w:before="60"/>
      </w:pPr>
      <w:r>
        <w:rPr>
          <w:rFonts w:ascii="Arial" w:cs="Arial" w:eastAsia="Arial" w:hAnsi="Arial"/>
          <w:b w:val="false"/>
          <w:bCs w:val="false"/>
          <w:color w:val="1C2833"/>
          <w:sz w:val="22"/>
          <w:szCs w:val="22"/>
        </w:rPr>
        <w:t xml:space="preserve">Datos en tiempo real: consulta directamente a la API de Google Places / OpenStreetMap, sin bases de datos desactualizadas.</w:t>
      </w:r>
    </w:p>
    <w:p>
      <w:pPr>
        <w:pStyle w:val="ListParagraph"/>
        <w:numPr>
          <w:ilvl w:val="0"/>
          <w:numId w:val="2"/>
        </w:numPr>
        <w:spacing w:after="60" w:before="60"/>
      </w:pPr>
      <w:r>
        <w:rPr>
          <w:rFonts w:ascii="Arial" w:cs="Arial" w:eastAsia="Arial" w:hAnsi="Arial"/>
          <w:b w:val="false"/>
          <w:bCs w:val="false"/>
          <w:color w:val="1C2833"/>
          <w:sz w:val="22"/>
          <w:szCs w:val="22"/>
        </w:rPr>
        <w:t xml:space="preserve">Resultados accionables: no solo muestra datos, sino que recomienda el mejor punto con justificación visual.</w:t>
      </w:r>
    </w:p>
    <w:p>
      <w:pPr>
        <w:pStyle w:val="ListParagraph"/>
        <w:numPr>
          <w:ilvl w:val="0"/>
          <w:numId w:val="2"/>
        </w:numPr>
        <w:spacing w:after="60" w:before="60"/>
      </w:pPr>
      <w:r>
        <w:rPr>
          <w:rFonts w:ascii="Arial" w:cs="Arial" w:eastAsia="Arial" w:hAnsi="Arial"/>
          <w:b w:val="false"/>
          <w:bCs w:val="false"/>
          <w:color w:val="1C2833"/>
          <w:sz w:val="22"/>
          <w:szCs w:val="22"/>
        </w:rPr>
        <w:t xml:space="preserve">Precio accesible: modelo freemium orientado a PyMEs, no a corporaciones.</w:t>
      </w:r>
    </w:p>
    <w:p>
      <w:pPr>
        <w:pageBreakBefore/>
      </w:pPr>
    </w:p>
    <w:p>
      <w:pPr>
        <w:pStyle w:val="Heading1"/>
        <w:shd w:fill="1A3C6E" w:val="clear"/>
        <w:spacing w:after="200" w:before="300"/>
        <w:ind w:left="240"/>
      </w:pPr>
      <w:r>
        <w:rPr>
          <w:rFonts w:ascii="Arial" w:cs="Arial" w:eastAsia="Arial" w:hAnsi="Arial"/>
          <w:b/>
          <w:bCs/>
          <w:color w:val="FFFFFF"/>
          <w:sz w:val="32"/>
          <w:szCs w:val="32"/>
        </w:rPr>
        <w:t xml:space="preserve">2. Caso de Negocio</w:t>
      </w:r>
    </w:p>
    <w:p>
      <w:pPr>
        <w:pStyle w:val="Heading2"/>
        <w:pBdr>
          <w:bottom w:val="single" w:color="2E86C1" w:sz="4" w:space="1"/>
        </w:pBdr>
        <w:spacing w:after="120" w:before="240"/>
      </w:pPr>
      <w:r>
        <w:rPr>
          <w:rFonts w:ascii="Arial" w:cs="Arial" w:eastAsia="Arial" w:hAnsi="Arial"/>
          <w:b/>
          <w:bCs/>
          <w:color w:val="1A3C6E"/>
          <w:sz w:val="26"/>
          <w:szCs w:val="26"/>
        </w:rPr>
        <w:t xml:space="preserve">2.1  Modelo de Monetización</w:t>
      </w:r>
    </w:p>
    <w:p>
      <w:pPr>
        <w:spacing w:after="80" w:before="80"/>
      </w:pPr>
      <w:r>
        <w:rPr>
          <w:rFonts w:ascii="Arial" w:cs="Arial" w:eastAsia="Arial" w:hAnsi="Arial"/>
          <w:color w:val="1C2833"/>
          <w:sz w:val="22"/>
          <w:szCs w:val="22"/>
        </w:rPr>
        <w:t xml:space="preserve">BussinessLocator adopta un modelo híbrido de tres capas que combina freemium, suscripción SaaS y servicios profesionales, lo que permite capturar valor en distintos segmentos de mercado y minimizar la barrera de entrada para el usuario individual.</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2.2  Capas del Modelo</w:t>
      </w:r>
    </w:p>
    <w:p>
      <w:pPr>
        <w:spacing w:after="60" w:before="120"/>
      </w:pPr>
      <w:r>
        <w:rPr>
          <w:rFonts w:ascii="Arial" w:cs="Arial" w:eastAsia="Arial" w:hAnsi="Arial"/>
          <w:b/>
          <w:bCs/>
          <w:color w:val="1A3C6E"/>
          <w:sz w:val="22"/>
          <w:szCs w:val="22"/>
        </w:rPr>
        <w:t xml:space="preserve">Capa 1 — Plan Gratuito (Freemium)</w:t>
      </w:r>
    </w:p>
    <w:p>
      <w:pPr>
        <w:spacing w:after="80" w:before="80"/>
      </w:pPr>
      <w:r>
        <w:rPr>
          <w:rFonts w:ascii="Arial" w:cs="Arial" w:eastAsia="Arial" w:hAnsi="Arial"/>
          <w:color w:val="1C2833"/>
          <w:sz w:val="22"/>
          <w:szCs w:val="22"/>
        </w:rPr>
        <w:t xml:space="preserve">El plan gratuito funciona como motor de adquisición. Cualquier usuario puede registrarse y realizar hasta 3 búsquedas por mes sin costo. Los resultados incluyen el mapa básico con la ubicación óptima, pero sin exportación ni detalles adicionales. El objetivo es que el usuario valide la propuesta de valor antes de pagar.</w:t>
      </w:r>
    </w:p>
    <w:p>
      <w:pPr>
        <w:pStyle w:val="ListParagraph"/>
        <w:numPr>
          <w:ilvl w:val="0"/>
          <w:numId w:val="2"/>
        </w:numPr>
        <w:spacing w:after="60" w:before="60"/>
      </w:pPr>
      <w:r>
        <w:rPr>
          <w:rFonts w:ascii="Arial" w:cs="Arial" w:eastAsia="Arial" w:hAnsi="Arial"/>
          <w:b w:val="false"/>
          <w:bCs w:val="false"/>
          <w:color w:val="1C2833"/>
          <w:sz w:val="22"/>
          <w:szCs w:val="22"/>
        </w:rPr>
        <w:t xml:space="preserve">Hasta 3 consultas por mes</w:t>
      </w:r>
    </w:p>
    <w:p>
      <w:pPr>
        <w:pStyle w:val="ListParagraph"/>
        <w:numPr>
          <w:ilvl w:val="0"/>
          <w:numId w:val="2"/>
        </w:numPr>
        <w:spacing w:after="60" w:before="60"/>
      </w:pPr>
      <w:r>
        <w:rPr>
          <w:rFonts w:ascii="Arial" w:cs="Arial" w:eastAsia="Arial" w:hAnsi="Arial"/>
          <w:b w:val="false"/>
          <w:bCs w:val="false"/>
          <w:color w:val="1C2833"/>
          <w:sz w:val="22"/>
          <w:szCs w:val="22"/>
        </w:rPr>
        <w:t xml:space="preserve">Mapa interactivo básico con pin de ubicación óptima</w:t>
      </w:r>
    </w:p>
    <w:p>
      <w:pPr>
        <w:pStyle w:val="ListParagraph"/>
        <w:numPr>
          <w:ilvl w:val="0"/>
          <w:numId w:val="2"/>
        </w:numPr>
        <w:spacing w:after="60" w:before="60"/>
      </w:pPr>
      <w:r>
        <w:rPr>
          <w:rFonts w:ascii="Arial" w:cs="Arial" w:eastAsia="Arial" w:hAnsi="Arial"/>
          <w:b w:val="false"/>
          <w:bCs w:val="false"/>
          <w:color w:val="1C2833"/>
          <w:sz w:val="22"/>
          <w:szCs w:val="22"/>
        </w:rPr>
        <w:t xml:space="preserve">Sin descarga de informes</w:t>
      </w:r>
    </w:p>
    <w:p>
      <w:pPr>
        <w:pStyle w:val="ListParagraph"/>
        <w:numPr>
          <w:ilvl w:val="0"/>
          <w:numId w:val="2"/>
        </w:numPr>
        <w:spacing w:after="60" w:before="60"/>
      </w:pPr>
      <w:r>
        <w:rPr>
          <w:rFonts w:ascii="Arial" w:cs="Arial" w:eastAsia="Arial" w:hAnsi="Arial"/>
          <w:b w:val="false"/>
          <w:bCs w:val="false"/>
          <w:color w:val="1C2833"/>
          <w:sz w:val="22"/>
          <w:szCs w:val="22"/>
        </w:rPr>
        <w:t xml:space="preserve">Con marca de agua BussinessLocator en capturas</w:t>
      </w:r>
    </w:p>
    <w:p>
      <w:pPr>
        <w:spacing w:after="0" w:before="80"/>
      </w:pPr>
      <w:r>
        <w:t xml:space="preserve"/>
      </w:r>
    </w:p>
    <w:p>
      <w:pPr>
        <w:spacing w:after="60" w:before="120"/>
      </w:pPr>
      <w:r>
        <w:rPr>
          <w:rFonts w:ascii="Arial" w:cs="Arial" w:eastAsia="Arial" w:hAnsi="Arial"/>
          <w:b/>
          <w:bCs/>
          <w:color w:val="1A3C6E"/>
          <w:sz w:val="22"/>
          <w:szCs w:val="22"/>
        </w:rPr>
        <w:t xml:space="preserve">Capa 2 — Suscripción SaaS (B2C / B2B pequeño)</w:t>
      </w:r>
    </w:p>
    <w:p>
      <w:pPr>
        <w:spacing w:after="80" w:before="80"/>
      </w:pPr>
      <w:r>
        <w:rPr>
          <w:rFonts w:ascii="Arial" w:cs="Arial" w:eastAsia="Arial" w:hAnsi="Arial"/>
          <w:color w:val="1C2833"/>
          <w:sz w:val="22"/>
          <w:szCs w:val="22"/>
        </w:rPr>
        <w:t xml:space="preserve">Para usuarios que necesitan más consultas, exportación de informes o acceso a funcionalidades avanzadas, se ofrecen planes de suscripción mensual o anual (con descuento del 20 %).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A3C6E" w:sz="1"/>
              <w:left w:val="single" w:color="1A3C6E" w:sz="1"/>
              <w:bottom w:val="single" w:color="1A3C6E" w:sz="1"/>
              <w:right w:val="single" w:color="1A3C6E" w:sz="1"/>
            </w:tcBorders>
            <w:shd w:fill="1A3C6E" w:val="clear"/>
            <w:tcMar>
              <w:top w:type="dxa" w:w="120"/>
              <w:left w:type="dxa" w:w="160"/>
              <w:bottom w:type="dxa" w:w="120"/>
              <w:right w:type="dxa" w:w="160"/>
            </w:tcMar>
          </w:tcPr>
          <w:p>
            <w:r>
              <w:rPr>
                <w:rFonts w:ascii="Arial" w:cs="Arial" w:eastAsia="Arial" w:hAnsi="Arial"/>
                <w:b/>
                <w:bCs/>
                <w:color w:val="FFFFFF"/>
                <w:sz w:val="22"/>
                <w:szCs w:val="22"/>
              </w:rPr>
              <w:t xml:space="preserve">Plan</w:t>
            </w:r>
          </w:p>
        </w:tc>
        <w:tc>
          <w:tcPr>
            <w:tcW w:type="dxa" w:w="2000"/>
            <w:tcBorders>
              <w:top w:val="single" w:color="1A3C6E" w:sz="1"/>
              <w:left w:val="single" w:color="1A3C6E" w:sz="1"/>
              <w:bottom w:val="single" w:color="1A3C6E" w:sz="1"/>
              <w:right w:val="single" w:color="1A3C6E" w:sz="1"/>
            </w:tcBorders>
            <w:shd w:fill="1A3C6E" w:val="clear"/>
            <w:tcMar>
              <w:top w:type="dxa" w:w="120"/>
              <w:left w:type="dxa" w:w="160"/>
              <w:bottom w:type="dxa" w:w="120"/>
              <w:right w:type="dxa" w:w="160"/>
            </w:tcMar>
          </w:tcPr>
          <w:p>
            <w:r>
              <w:rPr>
                <w:rFonts w:ascii="Arial" w:cs="Arial" w:eastAsia="Arial" w:hAnsi="Arial"/>
                <w:b/>
                <w:bCs/>
                <w:color w:val="FFFFFF"/>
                <w:sz w:val="22"/>
                <w:szCs w:val="22"/>
              </w:rPr>
              <w:t xml:space="preserve">Precio mensual</w:t>
            </w:r>
          </w:p>
        </w:tc>
        <w:tc>
          <w:tcPr>
            <w:tcW w:type="dxa" w:w="4860"/>
            <w:tcBorders>
              <w:top w:val="single" w:color="1A3C6E" w:sz="1"/>
              <w:left w:val="single" w:color="1A3C6E" w:sz="1"/>
              <w:bottom w:val="single" w:color="1A3C6E" w:sz="1"/>
              <w:right w:val="single" w:color="1A3C6E" w:sz="1"/>
            </w:tcBorders>
            <w:shd w:fill="1A3C6E" w:val="clear"/>
            <w:tcMar>
              <w:top w:type="dxa" w:w="120"/>
              <w:left w:type="dxa" w:w="160"/>
              <w:bottom w:type="dxa" w:w="120"/>
              <w:right w:type="dxa" w:w="160"/>
            </w:tcMar>
          </w:tcPr>
          <w:p>
            <w:r>
              <w:rPr>
                <w:rFonts w:ascii="Arial" w:cs="Arial" w:eastAsia="Arial" w:hAnsi="Arial"/>
                <w:b/>
                <w:bCs/>
                <w:color w:val="FFFFFF"/>
                <w:sz w:val="22"/>
                <w:szCs w:val="22"/>
              </w:rPr>
              <w:t xml:space="preserve">Incluye</w:t>
            </w:r>
          </w:p>
        </w:tc>
      </w:tr>
      <w:tr>
        <w:tc>
          <w:tcPr>
            <w:tcW w:type="dxa" w:w="2500"/>
            <w:tcBorders>
              <w:top w:val="single" w:color="2E86C1" w:sz="1"/>
              <w:left w:val="single" w:color="2E86C1" w:sz="1"/>
              <w:bottom w:val="single" w:color="2E86C1" w:sz="1"/>
              <w:right w:val="single" w:color="2E86C1" w:sz="1"/>
            </w:tcBorders>
            <w:shd w:fill="FFFFFF" w:val="clear"/>
            <w:tcMar>
              <w:top w:type="dxa" w:w="120"/>
              <w:left w:type="dxa" w:w="160"/>
              <w:bottom w:type="dxa" w:w="120"/>
              <w:right w:type="dxa" w:w="160"/>
            </w:tcMar>
            <w:vAlign w:val="center"/>
          </w:tcPr>
          <w:p>
            <w:r>
              <w:rPr>
                <w:rFonts w:ascii="Arial" w:cs="Arial" w:eastAsia="Arial" w:hAnsi="Arial"/>
                <w:b w:val="false"/>
                <w:bCs w:val="false"/>
                <w:color w:val="1A3C6E"/>
                <w:sz w:val="22"/>
                <w:szCs w:val="22"/>
              </w:rPr>
              <w:t xml:space="preserve">Starter</w:t>
            </w:r>
          </w:p>
        </w:tc>
        <w:tc>
          <w:tcPr>
            <w:tcW w:type="dxa" w:w="2000"/>
            <w:tcBorders>
              <w:top w:val="single" w:color="2E86C1" w:sz="1"/>
              <w:left w:val="single" w:color="2E86C1" w:sz="1"/>
              <w:bottom w:val="single" w:color="2E86C1" w:sz="1"/>
              <w:right w:val="single" w:color="2E86C1" w:sz="1"/>
            </w:tcBorders>
            <w:shd w:fill="FFFFFF" w:val="clear"/>
            <w:tcMar>
              <w:top w:type="dxa" w:w="120"/>
              <w:left w:type="dxa" w:w="160"/>
              <w:bottom w:type="dxa" w:w="120"/>
              <w:right w:type="dxa" w:w="160"/>
            </w:tcMar>
            <w:vAlign w:val="center"/>
          </w:tcPr>
          <w:p>
            <w:r>
              <w:rPr>
                <w:rFonts w:ascii="Arial" w:cs="Arial" w:eastAsia="Arial" w:hAnsi="Arial"/>
                <w:b/>
                <w:bCs/>
                <w:color w:val="1A3C6E"/>
                <w:sz w:val="22"/>
                <w:szCs w:val="22"/>
              </w:rPr>
              <w:t xml:space="preserve">USD 9 / mes</w:t>
            </w:r>
          </w:p>
        </w:tc>
        <w:tc>
          <w:tcPr>
            <w:tcW w:type="dxa" w:w="4860"/>
            <w:tcBorders>
              <w:top w:val="single" w:color="2E86C1" w:sz="1"/>
              <w:left w:val="single" w:color="2E86C1" w:sz="1"/>
              <w:bottom w:val="single" w:color="2E86C1" w:sz="1"/>
              <w:right w:val="single" w:color="2E86C1" w:sz="1"/>
            </w:tcBorders>
            <w:shd w:fill="FFFFFF" w:val="clear"/>
            <w:tcMar>
              <w:top w:type="dxa" w:w="120"/>
              <w:left w:type="dxa" w:w="160"/>
              <w:bottom w:type="dxa" w:w="120"/>
              <w:right w:type="dxa" w:w="160"/>
            </w:tcMar>
            <w:vAlign w:val="center"/>
          </w:tcPr>
          <w:p>
            <w:r>
              <w:rPr>
                <w:rFonts w:ascii="Arial" w:cs="Arial" w:eastAsia="Arial" w:hAnsi="Arial"/>
                <w:color w:val="1C2833"/>
                <w:sz w:val="21"/>
                <w:szCs w:val="21"/>
              </w:rPr>
              <w:t xml:space="preserve">15 consultas/mes, exportación PDF, 1 usuario</w:t>
            </w:r>
          </w:p>
        </w:tc>
      </w:tr>
      <w:tr>
        <w:tc>
          <w:tcPr>
            <w:tcW w:type="dxa" w:w="2500"/>
            <w:tcBorders>
              <w:top w:val="single" w:color="2E86C1" w:sz="1"/>
              <w:left w:val="single" w:color="2E86C1" w:sz="1"/>
              <w:bottom w:val="single" w:color="2E86C1" w:sz="1"/>
              <w:right w:val="single" w:color="2E86C1" w:sz="1"/>
            </w:tcBorders>
            <w:shd w:fill="AED6F1" w:val="clear"/>
            <w:tcMar>
              <w:top w:type="dxa" w:w="120"/>
              <w:left w:type="dxa" w:w="160"/>
              <w:bottom w:type="dxa" w:w="120"/>
              <w:right w:type="dxa" w:w="160"/>
            </w:tcMar>
            <w:vAlign w:val="center"/>
          </w:tcPr>
          <w:p>
            <w:r>
              <w:rPr>
                <w:rFonts w:ascii="Arial" w:cs="Arial" w:eastAsia="Arial" w:hAnsi="Arial"/>
                <w:b/>
                <w:bCs/>
                <w:color w:val="1A3C6E"/>
                <w:sz w:val="22"/>
                <w:szCs w:val="22"/>
              </w:rPr>
              <w:t xml:space="preserve">Pro</w:t>
            </w:r>
          </w:p>
        </w:tc>
        <w:tc>
          <w:tcPr>
            <w:tcW w:type="dxa" w:w="2000"/>
            <w:tcBorders>
              <w:top w:val="single" w:color="2E86C1" w:sz="1"/>
              <w:left w:val="single" w:color="2E86C1" w:sz="1"/>
              <w:bottom w:val="single" w:color="2E86C1" w:sz="1"/>
              <w:right w:val="single" w:color="2E86C1" w:sz="1"/>
            </w:tcBorders>
            <w:shd w:fill="AED6F1" w:val="clear"/>
            <w:tcMar>
              <w:top w:type="dxa" w:w="120"/>
              <w:left w:type="dxa" w:w="160"/>
              <w:bottom w:type="dxa" w:w="120"/>
              <w:right w:type="dxa" w:w="160"/>
            </w:tcMar>
            <w:vAlign w:val="center"/>
          </w:tcPr>
          <w:p>
            <w:r>
              <w:rPr>
                <w:rFonts w:ascii="Arial" w:cs="Arial" w:eastAsia="Arial" w:hAnsi="Arial"/>
                <w:b/>
                <w:bCs/>
                <w:color w:val="1A3C6E"/>
                <w:sz w:val="22"/>
                <w:szCs w:val="22"/>
              </w:rPr>
              <w:t xml:space="preserve">USD 29 / mes</w:t>
            </w:r>
          </w:p>
        </w:tc>
        <w:tc>
          <w:tcPr>
            <w:tcW w:type="dxa" w:w="4860"/>
            <w:tcBorders>
              <w:top w:val="single" w:color="2E86C1" w:sz="1"/>
              <w:left w:val="single" w:color="2E86C1" w:sz="1"/>
              <w:bottom w:val="single" w:color="2E86C1" w:sz="1"/>
              <w:right w:val="single" w:color="2E86C1" w:sz="1"/>
            </w:tcBorders>
            <w:shd w:fill="AED6F1" w:val="clear"/>
            <w:tcMar>
              <w:top w:type="dxa" w:w="120"/>
              <w:left w:type="dxa" w:w="160"/>
              <w:bottom w:type="dxa" w:w="120"/>
              <w:right w:type="dxa" w:w="160"/>
            </w:tcMar>
            <w:vAlign w:val="center"/>
          </w:tcPr>
          <w:p>
            <w:r>
              <w:rPr>
                <w:rFonts w:ascii="Arial" w:cs="Arial" w:eastAsia="Arial" w:hAnsi="Arial"/>
                <w:color w:val="1C2833"/>
                <w:sz w:val="21"/>
                <w:szCs w:val="21"/>
              </w:rPr>
              <w:t xml:space="preserve">Consultas ilimitadas, 3 usuarios, comparación de zonas, sin marca de agua</w:t>
            </w:r>
          </w:p>
        </w:tc>
      </w:tr>
      <w:tr>
        <w:tc>
          <w:tcPr>
            <w:tcW w:type="dxa" w:w="2500"/>
            <w:tcBorders>
              <w:top w:val="single" w:color="2E86C1" w:sz="1"/>
              <w:left w:val="single" w:color="2E86C1" w:sz="1"/>
              <w:bottom w:val="single" w:color="2E86C1" w:sz="1"/>
              <w:right w:val="single" w:color="2E86C1" w:sz="1"/>
            </w:tcBorders>
            <w:shd w:fill="FFFFFF" w:val="clear"/>
            <w:tcMar>
              <w:top w:type="dxa" w:w="120"/>
              <w:left w:type="dxa" w:w="160"/>
              <w:bottom w:type="dxa" w:w="120"/>
              <w:right w:type="dxa" w:w="160"/>
            </w:tcMar>
            <w:vAlign w:val="center"/>
          </w:tcPr>
          <w:p>
            <w:r>
              <w:rPr>
                <w:rFonts w:ascii="Arial" w:cs="Arial" w:eastAsia="Arial" w:hAnsi="Arial"/>
                <w:b w:val="false"/>
                <w:bCs w:val="false"/>
                <w:color w:val="1A3C6E"/>
                <w:sz w:val="22"/>
                <w:szCs w:val="22"/>
              </w:rPr>
              <w:t xml:space="preserve">Agency</w:t>
            </w:r>
          </w:p>
        </w:tc>
        <w:tc>
          <w:tcPr>
            <w:tcW w:type="dxa" w:w="2000"/>
            <w:tcBorders>
              <w:top w:val="single" w:color="2E86C1" w:sz="1"/>
              <w:left w:val="single" w:color="2E86C1" w:sz="1"/>
              <w:bottom w:val="single" w:color="2E86C1" w:sz="1"/>
              <w:right w:val="single" w:color="2E86C1" w:sz="1"/>
            </w:tcBorders>
            <w:shd w:fill="FFFFFF" w:val="clear"/>
            <w:tcMar>
              <w:top w:type="dxa" w:w="120"/>
              <w:left w:type="dxa" w:w="160"/>
              <w:bottom w:type="dxa" w:w="120"/>
              <w:right w:type="dxa" w:w="160"/>
            </w:tcMar>
            <w:vAlign w:val="center"/>
          </w:tcPr>
          <w:p>
            <w:r>
              <w:rPr>
                <w:rFonts w:ascii="Arial" w:cs="Arial" w:eastAsia="Arial" w:hAnsi="Arial"/>
                <w:b/>
                <w:bCs/>
                <w:color w:val="1A3C6E"/>
                <w:sz w:val="22"/>
                <w:szCs w:val="22"/>
              </w:rPr>
              <w:t xml:space="preserve">USD 79 / mes</w:t>
            </w:r>
          </w:p>
        </w:tc>
        <w:tc>
          <w:tcPr>
            <w:tcW w:type="dxa" w:w="4860"/>
            <w:tcBorders>
              <w:top w:val="single" w:color="2E86C1" w:sz="1"/>
              <w:left w:val="single" w:color="2E86C1" w:sz="1"/>
              <w:bottom w:val="single" w:color="2E86C1" w:sz="1"/>
              <w:right w:val="single" w:color="2E86C1" w:sz="1"/>
            </w:tcBorders>
            <w:shd w:fill="FFFFFF" w:val="clear"/>
            <w:tcMar>
              <w:top w:type="dxa" w:w="120"/>
              <w:left w:type="dxa" w:w="160"/>
              <w:bottom w:type="dxa" w:w="120"/>
              <w:right w:type="dxa" w:w="160"/>
            </w:tcMar>
            <w:vAlign w:val="center"/>
          </w:tcPr>
          <w:p>
            <w:r>
              <w:rPr>
                <w:rFonts w:ascii="Arial" w:cs="Arial" w:eastAsia="Arial" w:hAnsi="Arial"/>
                <w:color w:val="1C2833"/>
                <w:sz w:val="21"/>
                <w:szCs w:val="21"/>
              </w:rPr>
              <w:t xml:space="preserve">10 usuarios, API básica, informes con logo propio, soporte prioritario</w:t>
            </w:r>
          </w:p>
        </w:tc>
      </w:tr>
    </w:tbl>
    <w:p>
      <w:pPr>
        <w:spacing w:after="0" w:before="80"/>
      </w:pPr>
      <w:r>
        <w:t xml:space="preserve"/>
      </w:r>
    </w:p>
    <w:p>
      <w:pPr>
        <w:spacing w:after="60" w:before="60"/>
      </w:pPr>
      <w:r>
        <w:rPr>
          <w:rFonts w:ascii="Arial" w:cs="Arial" w:eastAsia="Arial" w:hAnsi="Arial"/>
          <w:i/>
          <w:iCs/>
          <w:color w:val="515A5A"/>
          <w:sz w:val="20"/>
          <w:szCs w:val="20"/>
        </w:rPr>
        <w:t xml:space="preserve">Todos los planes tienen prueba gratuita de 14 días sin tarjeta de crédito.</w:t>
      </w:r>
    </w:p>
    <w:p>
      <w:pPr>
        <w:spacing w:after="0" w:before="120"/>
      </w:pPr>
      <w:r>
        <w:t xml:space="preserve"/>
      </w:r>
    </w:p>
    <w:p>
      <w:pPr>
        <w:spacing w:after="60" w:before="120"/>
      </w:pPr>
      <w:r>
        <w:rPr>
          <w:rFonts w:ascii="Arial" w:cs="Arial" w:eastAsia="Arial" w:hAnsi="Arial"/>
          <w:b/>
          <w:bCs/>
          <w:color w:val="1A3C6E"/>
          <w:sz w:val="22"/>
          <w:szCs w:val="22"/>
        </w:rPr>
        <w:t xml:space="preserve">Capa 3 — Servicios Profesionales (B2B medio/grande)</w:t>
      </w:r>
    </w:p>
    <w:p>
      <w:pPr>
        <w:spacing w:after="80" w:before="80"/>
      </w:pPr>
      <w:r>
        <w:rPr>
          <w:rFonts w:ascii="Arial" w:cs="Arial" w:eastAsia="Arial" w:hAnsi="Arial"/>
          <w:color w:val="1C2833"/>
          <w:sz w:val="22"/>
          <w:szCs w:val="22"/>
        </w:rPr>
        <w:t xml:space="preserve">Para municipios, cámaras de comercio, consultoras inmobiliarias o cadenas de franquicias que necesitan análisis a mayor escala o integraciones personalizadas, se ofrece un servicio de implementación Enterprise con cotización a medida.</w:t>
      </w:r>
    </w:p>
    <w:p>
      <w:pPr>
        <w:pStyle w:val="ListParagraph"/>
        <w:numPr>
          <w:ilvl w:val="0"/>
          <w:numId w:val="2"/>
        </w:numPr>
        <w:spacing w:after="60" w:before="60"/>
      </w:pPr>
      <w:r>
        <w:rPr>
          <w:rFonts w:ascii="Arial" w:cs="Arial" w:eastAsia="Arial" w:hAnsi="Arial"/>
          <w:b w:val="false"/>
          <w:bCs w:val="false"/>
          <w:color w:val="1C2833"/>
          <w:sz w:val="22"/>
          <w:szCs w:val="22"/>
        </w:rPr>
        <w:t xml:space="preserve">Acceso a API completa con mayores límites de llamadas</w:t>
      </w:r>
    </w:p>
    <w:p>
      <w:pPr>
        <w:pStyle w:val="ListParagraph"/>
        <w:numPr>
          <w:ilvl w:val="0"/>
          <w:numId w:val="2"/>
        </w:numPr>
        <w:spacing w:after="60" w:before="60"/>
      </w:pPr>
      <w:r>
        <w:rPr>
          <w:rFonts w:ascii="Arial" w:cs="Arial" w:eastAsia="Arial" w:hAnsi="Arial"/>
          <w:b w:val="false"/>
          <w:bCs w:val="false"/>
          <w:color w:val="1C2833"/>
          <w:sz w:val="22"/>
          <w:szCs w:val="22"/>
        </w:rPr>
        <w:t xml:space="preserve">Integración con sistemas propios del cliente (CRM, GIS)</w:t>
      </w:r>
    </w:p>
    <w:p>
      <w:pPr>
        <w:pStyle w:val="ListParagraph"/>
        <w:numPr>
          <w:ilvl w:val="0"/>
          <w:numId w:val="2"/>
        </w:numPr>
        <w:spacing w:after="60" w:before="60"/>
      </w:pPr>
      <w:r>
        <w:rPr>
          <w:rFonts w:ascii="Arial" w:cs="Arial" w:eastAsia="Arial" w:hAnsi="Arial"/>
          <w:b w:val="false"/>
          <w:bCs w:val="false"/>
          <w:color w:val="1C2833"/>
          <w:sz w:val="22"/>
          <w:szCs w:val="22"/>
        </w:rPr>
        <w:t xml:space="preserve">Informes personalizados con marca del cliente</w:t>
      </w:r>
    </w:p>
    <w:p>
      <w:pPr>
        <w:pStyle w:val="ListParagraph"/>
        <w:numPr>
          <w:ilvl w:val="0"/>
          <w:numId w:val="2"/>
        </w:numPr>
        <w:spacing w:after="60" w:before="60"/>
      </w:pPr>
      <w:r>
        <w:rPr>
          <w:rFonts w:ascii="Arial" w:cs="Arial" w:eastAsia="Arial" w:hAnsi="Arial"/>
          <w:b w:val="false"/>
          <w:bCs w:val="false"/>
          <w:color w:val="1C2833"/>
          <w:sz w:val="22"/>
          <w:szCs w:val="22"/>
        </w:rPr>
        <w:t xml:space="preserve">SLA garantizado y gerente de cuenta dedicado</w:t>
      </w:r>
    </w:p>
    <w:p>
      <w:pPr>
        <w:pStyle w:val="ListParagraph"/>
        <w:numPr>
          <w:ilvl w:val="0"/>
          <w:numId w:val="3"/>
        </w:numPr>
        <w:spacing w:after="40" w:before="40"/>
      </w:pPr>
      <w:r>
        <w:rPr>
          <w:rFonts w:ascii="Arial" w:cs="Arial" w:eastAsia="Arial" w:hAnsi="Arial"/>
          <w:color w:val="515A5A"/>
          <w:sz w:val="21"/>
          <w:szCs w:val="21"/>
        </w:rPr>
        <w:t xml:space="preserve">Precio referencial: desde USD 500/mes o proyecto puntual desde USD 1.500</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2.3  Flujo de Ingresos y Proyección Inicial</w:t>
      </w:r>
    </w:p>
    <w:p>
      <w:pPr>
        <w:spacing w:after="80" w:before="80"/>
      </w:pPr>
      <w:r>
        <w:rPr>
          <w:rFonts w:ascii="Arial" w:cs="Arial" w:eastAsia="Arial" w:hAnsi="Arial"/>
          <w:color w:val="1C2833"/>
          <w:sz w:val="22"/>
          <w:szCs w:val="22"/>
        </w:rPr>
        <w:t xml:space="preserve">La siguiente tabla muestra una proyección conservadora para los primeros 12 meses, asumiendo lanzamiento en el mercado hispanohablante (Argentina, México, Colombia, España) con crecimiento orgánico y sin inversión publicitaria significativa.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80"/>
        <w:gridCol w:w="1780"/>
      </w:tblGrid>
      <w:tr>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FFFF"/>
                <w:sz w:val="21"/>
                <w:szCs w:val="21"/>
              </w:rPr>
              <w:t xml:space="preserve">Trimestre</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FFFF"/>
                <w:sz w:val="21"/>
                <w:szCs w:val="21"/>
              </w:rPr>
              <w:t xml:space="preserve">Usuarios activos</w:t>
            </w:r>
          </w:p>
        </w:tc>
        <w:tc>
          <w:tcPr>
            <w:tcW w:type="dxa" w:w="1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FFFF"/>
                <w:sz w:val="21"/>
                <w:szCs w:val="21"/>
              </w:rPr>
              <w:t xml:space="preserve">Pagos estimados</w:t>
            </w:r>
          </w:p>
        </w:tc>
        <w:tc>
          <w:tcPr>
            <w:tcW w:type="dxa" w:w="178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FFFF"/>
                <w:sz w:val="21"/>
                <w:szCs w:val="21"/>
              </w:rPr>
              <w:t xml:space="preserve">MRR estimado</w:t>
            </w:r>
          </w:p>
        </w:tc>
        <w:tc>
          <w:tcPr>
            <w:tcW w:type="dxa" w:w="178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tcPr>
          <w:p>
            <w:r>
              <w:rPr>
                <w:rFonts w:ascii="Arial" w:cs="Arial" w:eastAsia="Arial" w:hAnsi="Arial"/>
                <w:b/>
                <w:bCs/>
                <w:color w:val="FFFFFF"/>
                <w:sz w:val="21"/>
                <w:szCs w:val="21"/>
              </w:rPr>
              <w:t xml:space="preserve">ARR acumulado</w:t>
            </w:r>
          </w:p>
        </w:tc>
      </w:tr>
      <w:tr>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Q1 (lanzamiento)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200</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30 (15%)</w:t>
            </w:r>
          </w:p>
        </w:tc>
        <w:tc>
          <w:tcPr>
            <w:tcW w:type="dxa" w:w="17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~USD 600</w:t>
            </w:r>
          </w:p>
        </w:tc>
        <w:tc>
          <w:tcPr>
            <w:tcW w:type="dxa" w:w="17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~USD 1.800</w:t>
            </w:r>
          </w:p>
        </w:tc>
      </w:tr>
      <w:tr>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Arial" w:cs="Arial" w:eastAsia="Arial" w:hAnsi="Arial"/>
                <w:color w:val="1C2833"/>
                <w:sz w:val="21"/>
                <w:szCs w:val="21"/>
              </w:rPr>
              <w:t xml:space="preserve">Q2</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Arial" w:cs="Arial" w:eastAsia="Arial" w:hAnsi="Arial"/>
                <w:color w:val="1C2833"/>
                <w:sz w:val="21"/>
                <w:szCs w:val="21"/>
              </w:rPr>
              <w:t xml:space="preserve">600</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Arial" w:cs="Arial" w:eastAsia="Arial" w:hAnsi="Arial"/>
                <w:color w:val="1C2833"/>
                <w:sz w:val="21"/>
                <w:szCs w:val="21"/>
              </w:rPr>
              <w:t xml:space="preserve">100 (17%)</w:t>
            </w:r>
          </w:p>
        </w:tc>
        <w:tc>
          <w:tcPr>
            <w:tcW w:type="dxa" w:w="17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Arial" w:cs="Arial" w:eastAsia="Arial" w:hAnsi="Arial"/>
                <w:color w:val="1C2833"/>
                <w:sz w:val="21"/>
                <w:szCs w:val="21"/>
              </w:rPr>
              <w:t xml:space="preserve">~USD 2.000</w:t>
            </w:r>
          </w:p>
        </w:tc>
        <w:tc>
          <w:tcPr>
            <w:tcW w:type="dxa" w:w="17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Arial" w:cs="Arial" w:eastAsia="Arial" w:hAnsi="Arial"/>
                <w:color w:val="1C2833"/>
                <w:sz w:val="21"/>
                <w:szCs w:val="21"/>
              </w:rPr>
              <w:t xml:space="preserve">~USD 7.800</w:t>
            </w:r>
          </w:p>
        </w:tc>
      </w:tr>
      <w:tr>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Q3</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1.500</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270 (18%)</w:t>
            </w:r>
          </w:p>
        </w:tc>
        <w:tc>
          <w:tcPr>
            <w:tcW w:type="dxa" w:w="17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~USD 5.400</w:t>
            </w:r>
          </w:p>
        </w:tc>
        <w:tc>
          <w:tcPr>
            <w:tcW w:type="dxa" w:w="17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~USD 24.000</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tcPr>
          <w:p>
            <w:r>
              <w:rPr>
                <w:rFonts w:ascii="Arial" w:cs="Arial" w:eastAsia="Arial" w:hAnsi="Arial"/>
                <w:b/>
                <w:bCs/>
                <w:color w:val="1A3C6E"/>
                <w:sz w:val="21"/>
                <w:szCs w:val="21"/>
              </w:rPr>
              <w:t xml:space="preserve">Q4</w:t>
            </w:r>
          </w:p>
        </w:tc>
        <w:tc>
          <w:tcPr>
            <w:tcW w:type="dxa" w:w="18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tcPr>
          <w:p>
            <w:r>
              <w:rPr>
                <w:rFonts w:ascii="Arial" w:cs="Arial" w:eastAsia="Arial" w:hAnsi="Arial"/>
                <w:b/>
                <w:bCs/>
                <w:color w:val="1C2833"/>
                <w:sz w:val="21"/>
                <w:szCs w:val="21"/>
              </w:rPr>
              <w:t xml:space="preserve">3.000</w:t>
            </w:r>
          </w:p>
        </w:tc>
        <w:tc>
          <w:tcPr>
            <w:tcW w:type="dxa" w:w="18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tcPr>
          <w:p>
            <w:r>
              <w:rPr>
                <w:rFonts w:ascii="Arial" w:cs="Arial" w:eastAsia="Arial" w:hAnsi="Arial"/>
                <w:b/>
                <w:bCs/>
                <w:color w:val="1C2833"/>
                <w:sz w:val="21"/>
                <w:szCs w:val="21"/>
              </w:rPr>
              <w:t xml:space="preserve">600 (20%)</w:t>
            </w:r>
          </w:p>
        </w:tc>
        <w:tc>
          <w:tcPr>
            <w:tcW w:type="dxa" w:w="178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tcPr>
          <w:p>
            <w:r>
              <w:rPr>
                <w:rFonts w:ascii="Arial" w:cs="Arial" w:eastAsia="Arial" w:hAnsi="Arial"/>
                <w:b/>
                <w:bCs/>
                <w:color w:val="1A3C6E"/>
                <w:sz w:val="21"/>
                <w:szCs w:val="21"/>
              </w:rPr>
              <w:t xml:space="preserve">~USD 12.000</w:t>
            </w:r>
          </w:p>
        </w:tc>
        <w:tc>
          <w:tcPr>
            <w:tcW w:type="dxa" w:w="178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tcPr>
          <w:p>
            <w:r>
              <w:rPr>
                <w:rFonts w:ascii="Arial" w:cs="Arial" w:eastAsia="Arial" w:hAnsi="Arial"/>
                <w:b/>
                <w:bCs/>
                <w:color w:val="1A3C6E"/>
                <w:sz w:val="21"/>
                <w:szCs w:val="21"/>
              </w:rPr>
              <w:t xml:space="preserve">~USD 60.000</w:t>
            </w:r>
          </w:p>
        </w:tc>
      </w:tr>
    </w:tbl>
    <w:p>
      <w:pPr>
        <w:spacing w:after="0" w:before="60"/>
      </w:pPr>
      <w:r>
        <w:t xml:space="preserve"/>
      </w:r>
    </w:p>
    <w:p>
      <w:pPr>
        <w:spacing w:after="60" w:before="60"/>
      </w:pPr>
      <w:r>
        <w:rPr>
          <w:rFonts w:ascii="Arial" w:cs="Arial" w:eastAsia="Arial" w:hAnsi="Arial"/>
          <w:i/>
          <w:iCs/>
          <w:color w:val="515A5A"/>
          <w:sz w:val="20"/>
          <w:szCs w:val="20"/>
        </w:rPr>
        <w:t xml:space="preserve">* Proyección conservadora. Precio promedio ponderado estimado en USD 20/usuario pago/mes. No incluye ingresos Enterprise.</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2.4  Estrategia de Adquisición</w:t>
      </w:r>
    </w:p>
    <w:p>
      <w:pPr>
        <w:pStyle w:val="ListParagraph"/>
        <w:numPr>
          <w:ilvl w:val="0"/>
          <w:numId w:val="2"/>
        </w:numPr>
        <w:spacing w:after="60" w:before="60"/>
      </w:pPr>
      <w:r>
        <w:rPr>
          <w:rFonts w:ascii="Arial" w:cs="Arial" w:eastAsia="Arial" w:hAnsi="Arial"/>
          <w:b w:val="false"/>
          <w:bCs w:val="false"/>
          <w:color w:val="1C2833"/>
          <w:sz w:val="22"/>
          <w:szCs w:val="22"/>
        </w:rPr>
        <w:t xml:space="preserve">SEO / contenido: artículos sobre “cómo elegir dónde abrir un negocio” atraen tráfico orgánico de alta intención.</w:t>
      </w:r>
    </w:p>
    <w:p>
      <w:pPr>
        <w:pStyle w:val="ListParagraph"/>
        <w:numPr>
          <w:ilvl w:val="0"/>
          <w:numId w:val="2"/>
        </w:numPr>
        <w:spacing w:after="60" w:before="60"/>
      </w:pPr>
      <w:r>
        <w:rPr>
          <w:rFonts w:ascii="Arial" w:cs="Arial" w:eastAsia="Arial" w:hAnsi="Arial"/>
          <w:b w:val="false"/>
          <w:bCs w:val="false"/>
          <w:color w:val="1C2833"/>
          <w:sz w:val="22"/>
          <w:szCs w:val="22"/>
        </w:rPr>
        <w:t xml:space="preserve">Comunidades de emprendedores: grupos de Facebook, Reddit (/r/emprendimiento), LinkedIn, Meetups de startups en LATAM.</w:t>
      </w:r>
    </w:p>
    <w:p>
      <w:pPr>
        <w:pStyle w:val="ListParagraph"/>
        <w:numPr>
          <w:ilvl w:val="0"/>
          <w:numId w:val="2"/>
        </w:numPr>
        <w:spacing w:after="60" w:before="60"/>
      </w:pPr>
      <w:r>
        <w:rPr>
          <w:rFonts w:ascii="Arial" w:cs="Arial" w:eastAsia="Arial" w:hAnsi="Arial"/>
          <w:b w:val="false"/>
          <w:bCs w:val="false"/>
          <w:color w:val="1C2833"/>
          <w:sz w:val="22"/>
          <w:szCs w:val="22"/>
        </w:rPr>
        <w:t xml:space="preserve">Alianzas con incubadoras y aceleradoras: acceso gratuito Plan Pro para miembros, a cambio de visibilidad y referidos.</w:t>
      </w:r>
    </w:p>
    <w:p>
      <w:pPr>
        <w:pStyle w:val="ListParagraph"/>
        <w:numPr>
          <w:ilvl w:val="0"/>
          <w:numId w:val="2"/>
        </w:numPr>
        <w:spacing w:after="60" w:before="60"/>
      </w:pPr>
      <w:r>
        <w:rPr>
          <w:rFonts w:ascii="Arial" w:cs="Arial" w:eastAsia="Arial" w:hAnsi="Arial"/>
          <w:b w:val="false"/>
          <w:bCs w:val="false"/>
          <w:color w:val="1C2833"/>
          <w:sz w:val="22"/>
          <w:szCs w:val="22"/>
        </w:rPr>
        <w:t xml:space="preserve">Product Hunt / AppSumo: lanzamiento público para generación de backlinks y primeros usuarios pagos.</w:t>
      </w:r>
    </w:p>
    <w:p>
      <w:pPr>
        <w:pStyle w:val="ListParagraph"/>
        <w:numPr>
          <w:ilvl w:val="0"/>
          <w:numId w:val="2"/>
        </w:numPr>
        <w:spacing w:after="60" w:before="60"/>
      </w:pPr>
      <w:r>
        <w:rPr>
          <w:rFonts w:ascii="Arial" w:cs="Arial" w:eastAsia="Arial" w:hAnsi="Arial"/>
          <w:b w:val="false"/>
          <w:bCs w:val="false"/>
          <w:color w:val="1C2833"/>
          <w:sz w:val="22"/>
          <w:szCs w:val="22"/>
        </w:rPr>
        <w:t xml:space="preserve">Alianzas con inmobiliarias comerciales: co-marketing a cambio de planes Agency con descuento.</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2.5  Estructura de Costos Principales</w:t>
      </w:r>
    </w:p>
    <w:p>
      <w:pPr>
        <w:pStyle w:val="ListParagraph"/>
        <w:numPr>
          <w:ilvl w:val="0"/>
          <w:numId w:val="2"/>
        </w:numPr>
        <w:spacing w:after="60" w:before="60"/>
      </w:pPr>
      <w:r>
        <w:rPr>
          <w:rFonts w:ascii="Arial" w:cs="Arial" w:eastAsia="Arial" w:hAnsi="Arial"/>
          <w:b w:val="false"/>
          <w:bCs w:val="false"/>
          <w:color w:val="1C2833"/>
          <w:sz w:val="22"/>
          <w:szCs w:val="22"/>
        </w:rPr>
        <w:t xml:space="preserve">Infraestructura cloud (AWS / Vercel): USD 50–200/mes (escala con uso).</w:t>
      </w:r>
    </w:p>
    <w:p>
      <w:pPr>
        <w:pStyle w:val="ListParagraph"/>
        <w:numPr>
          <w:ilvl w:val="0"/>
          <w:numId w:val="2"/>
        </w:numPr>
        <w:spacing w:after="60" w:before="60"/>
      </w:pPr>
      <w:r>
        <w:rPr>
          <w:rFonts w:ascii="Arial" w:cs="Arial" w:eastAsia="Arial" w:hAnsi="Arial"/>
          <w:b w:val="false"/>
          <w:bCs w:val="false"/>
          <w:color w:val="1C2833"/>
          <w:sz w:val="22"/>
          <w:szCs w:val="22"/>
        </w:rPr>
        <w:t xml:space="preserve">API de Google Places o OpenStreetMap (Overpass): USD 0–200/mes según volumen de consultas.</w:t>
      </w:r>
    </w:p>
    <w:p>
      <w:pPr>
        <w:pStyle w:val="ListParagraph"/>
        <w:numPr>
          <w:ilvl w:val="0"/>
          <w:numId w:val="2"/>
        </w:numPr>
        <w:spacing w:after="60" w:before="60"/>
      </w:pPr>
      <w:r>
        <w:rPr>
          <w:rFonts w:ascii="Arial" w:cs="Arial" w:eastAsia="Arial" w:hAnsi="Arial"/>
          <w:b w:val="false"/>
          <w:bCs w:val="false"/>
          <w:color w:val="1C2833"/>
          <w:sz w:val="22"/>
          <w:szCs w:val="22"/>
        </w:rPr>
        <w:t xml:space="preserve">Desarrollo y mantenimiento: costo variable según equipo (puede iniciar con founder técnico).</w:t>
      </w:r>
    </w:p>
    <w:p>
      <w:pPr>
        <w:pStyle w:val="ListParagraph"/>
        <w:numPr>
          <w:ilvl w:val="0"/>
          <w:numId w:val="2"/>
        </w:numPr>
        <w:spacing w:after="60" w:before="60"/>
      </w:pPr>
      <w:r>
        <w:rPr>
          <w:rFonts w:ascii="Arial" w:cs="Arial" w:eastAsia="Arial" w:hAnsi="Arial"/>
          <w:b w:val="false"/>
          <w:bCs w:val="false"/>
          <w:color w:val="1C2833"/>
          <w:sz w:val="22"/>
          <w:szCs w:val="22"/>
        </w:rPr>
        <w:t xml:space="preserve">Pasarela de pagos (Stripe / MercadoPago): 2.9 % + USD 0.30 por transacción.</w:t>
      </w:r>
    </w:p>
    <w:p>
      <w:pPr>
        <w:pStyle w:val="ListParagraph"/>
        <w:numPr>
          <w:ilvl w:val="0"/>
          <w:numId w:val="2"/>
        </w:numPr>
        <w:spacing w:after="60" w:before="60"/>
      </w:pPr>
      <w:r>
        <w:rPr>
          <w:rFonts w:ascii="Arial" w:cs="Arial" w:eastAsia="Arial" w:hAnsi="Arial"/>
          <w:b w:val="false"/>
          <w:bCs w:val="false"/>
          <w:color w:val="1C2833"/>
          <w:sz w:val="22"/>
          <w:szCs w:val="22"/>
        </w:rPr>
        <w:t xml:space="preserve">Soporte al cliente: desde chatbot hasta agente humano a partir de escala.</w:t>
      </w:r>
    </w:p>
    <w:p>
      <w:pPr>
        <w:spacing w:after="0" w:before="120"/>
      </w:pPr>
      <w:r>
        <w:t xml:space="preserve"/>
      </w:r>
    </w:p>
    <w:p>
      <w:pPr>
        <w:pStyle w:val="Heading2"/>
        <w:pBdr>
          <w:bottom w:val="single" w:color="2E86C1" w:sz="4" w:space="1"/>
        </w:pBdr>
        <w:spacing w:after="120" w:before="240"/>
      </w:pPr>
      <w:r>
        <w:rPr>
          <w:rFonts w:ascii="Arial" w:cs="Arial" w:eastAsia="Arial" w:hAnsi="Arial"/>
          <w:b/>
          <w:bCs/>
          <w:color w:val="1A3C6E"/>
          <w:sz w:val="26"/>
          <w:szCs w:val="26"/>
        </w:rPr>
        <w:t xml:space="preserve">2.6  Indicadores Clave de Éxito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tcPr>
          <w:p>
            <w:r>
              <w:rPr>
                <w:rFonts w:ascii="Arial" w:cs="Arial" w:eastAsia="Arial" w:hAnsi="Arial"/>
                <w:b/>
                <w:bCs/>
                <w:color w:val="FFFFFF"/>
                <w:sz w:val="21"/>
                <w:szCs w:val="21"/>
              </w:rPr>
              <w:t xml:space="preserve">KPI</w:t>
            </w:r>
          </w:p>
        </w:tc>
        <w:tc>
          <w:tcPr>
            <w:tcW w:type="dxa" w:w="288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tcPr>
          <w:p>
            <w:r>
              <w:rPr>
                <w:rFonts w:ascii="Arial" w:cs="Arial" w:eastAsia="Arial" w:hAnsi="Arial"/>
                <w:b/>
                <w:bCs/>
                <w:color w:val="FFFFFF"/>
                <w:sz w:val="21"/>
                <w:szCs w:val="21"/>
              </w:rPr>
              <w:t xml:space="preserve">Meta M6</w:t>
            </w:r>
          </w:p>
        </w:tc>
        <w:tc>
          <w:tcPr>
            <w:tcW w:type="dxa" w:w="288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tcPr>
          <w:p>
            <w:r>
              <w:rPr>
                <w:rFonts w:ascii="Arial" w:cs="Arial" w:eastAsia="Arial" w:hAnsi="Arial"/>
                <w:b/>
                <w:bCs/>
                <w:color w:val="FFFFFF"/>
                <w:sz w:val="21"/>
                <w:szCs w:val="21"/>
              </w:rPr>
              <w:t xml:space="preserve">Meta M12</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val="false"/>
                <w:bCs w:val="false"/>
                <w:color w:val="1C2833"/>
                <w:sz w:val="21"/>
                <w:szCs w:val="21"/>
              </w:rPr>
              <w:t xml:space="preserve">MRR (Monthly Recurring Revenue)</w:t>
            </w:r>
          </w:p>
        </w:tc>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USD 2.000</w:t>
            </w:r>
          </w:p>
        </w:tc>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USD 12.000</w:t>
            </w:r>
          </w:p>
        </w:tc>
      </w:tr>
      <w:tr>
        <w:tc>
          <w:tcPr>
            <w:tcW w:type="dxa" w:w="360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val="false"/>
                <w:bCs w:val="false"/>
                <w:color w:val="1C2833"/>
                <w:sz w:val="21"/>
                <w:szCs w:val="21"/>
              </w:rPr>
              <w:t xml:space="preserve">Usuarios pagos activos</w:t>
            </w:r>
          </w:p>
        </w:tc>
        <w:tc>
          <w:tcPr>
            <w:tcW w:type="dxa" w:w="28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bCs/>
                <w:color w:val="1A3C6E"/>
                <w:sz w:val="21"/>
                <w:szCs w:val="21"/>
              </w:rPr>
              <w:t xml:space="preserve">100</w:t>
            </w:r>
          </w:p>
        </w:tc>
        <w:tc>
          <w:tcPr>
            <w:tcW w:type="dxa" w:w="28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bCs/>
                <w:color w:val="1A3C6E"/>
                <w:sz w:val="21"/>
                <w:szCs w:val="21"/>
              </w:rPr>
              <w:t xml:space="preserve">600</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val="false"/>
                <w:bCs w:val="false"/>
                <w:color w:val="1C2833"/>
                <w:sz w:val="21"/>
                <w:szCs w:val="21"/>
              </w:rPr>
              <w:t xml:space="preserve">Tasa de conversión Free → Pago</w:t>
            </w:r>
          </w:p>
        </w:tc>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15%</w:t>
            </w:r>
          </w:p>
        </w:tc>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20%</w:t>
            </w:r>
          </w:p>
        </w:tc>
      </w:tr>
      <w:tr>
        <w:tc>
          <w:tcPr>
            <w:tcW w:type="dxa" w:w="360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val="false"/>
                <w:bCs w:val="false"/>
                <w:color w:val="1C2833"/>
                <w:sz w:val="21"/>
                <w:szCs w:val="21"/>
              </w:rPr>
              <w:t xml:space="preserve">Churn mensual</w:t>
            </w:r>
          </w:p>
        </w:tc>
        <w:tc>
          <w:tcPr>
            <w:tcW w:type="dxa" w:w="28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bCs/>
                <w:color w:val="1A3C6E"/>
                <w:sz w:val="21"/>
                <w:szCs w:val="21"/>
              </w:rPr>
              <w:t xml:space="preserve">&lt; 5%</w:t>
            </w:r>
          </w:p>
        </w:tc>
        <w:tc>
          <w:tcPr>
            <w:tcW w:type="dxa" w:w="2880"/>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r>
              <w:rPr>
                <w:rFonts w:ascii="Arial" w:cs="Arial" w:eastAsia="Arial" w:hAnsi="Arial"/>
                <w:b/>
                <w:bCs/>
                <w:color w:val="1A3C6E"/>
                <w:sz w:val="21"/>
                <w:szCs w:val="21"/>
              </w:rPr>
              <w:t xml:space="preserve">&lt; 3%</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val="false"/>
                <w:bCs w:val="false"/>
                <w:color w:val="1C2833"/>
                <w:sz w:val="21"/>
                <w:szCs w:val="21"/>
              </w:rPr>
              <w:t xml:space="preserve">NPS (Net Promoter Score)</w:t>
            </w:r>
          </w:p>
        </w:tc>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&gt; 40</w:t>
            </w:r>
          </w:p>
        </w:tc>
        <w:tc>
          <w:tcPr>
            <w:tcW w:type="dxa" w:w="288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60"/>
            </w:tcMar>
          </w:tcPr>
          <w:p>
            <w:r>
              <w:rPr>
                <w:rFonts w:ascii="Arial" w:cs="Arial" w:eastAsia="Arial" w:hAnsi="Arial"/>
                <w:b/>
                <w:bCs/>
                <w:color w:val="1A3C6E"/>
                <w:sz w:val="21"/>
                <w:szCs w:val="21"/>
              </w:rPr>
              <w:t xml:space="preserve">&gt; 55</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60"/>
              <w:left w:type="dxa" w:w="240"/>
              <w:bottom w:type="dxa" w:w="160"/>
              <w:right w:type="dxa" w:w="240"/>
            </w:tcMar>
          </w:tcPr>
          <w:p>
            <w:pPr>
              <w:spacing w:after="80" w:before="0"/>
            </w:pPr>
            <w:r>
              <w:rPr>
                <w:rFonts w:ascii="Arial" w:cs="Arial" w:eastAsia="Arial" w:hAnsi="Arial"/>
                <w:b/>
                <w:bCs/>
                <w:color w:val="1A3C6E"/>
                <w:sz w:val="24"/>
                <w:szCs w:val="24"/>
              </w:rPr>
              <w:t xml:space="preserve">Próximos pasos</w:t>
            </w:r>
          </w:p>
          <w:p>
            <w:pPr>
              <w:spacing w:after="80" w:before="80"/>
            </w:pPr>
            <w:r>
              <w:rPr>
                <w:rFonts w:ascii="Arial" w:cs="Arial" w:eastAsia="Arial" w:hAnsi="Arial"/>
                <w:color w:val="1C2833"/>
                <w:sz w:val="22"/>
                <w:szCs w:val="22"/>
              </w:rPr>
              <w:t xml:space="preserve">Este documento sienta las bases para las siguientes etapas del proyecto:</w:t>
            </w:r>
          </w:p>
          <w:p>
            <w:pPr>
              <w:pStyle w:val="ListParagraph"/>
              <w:numPr>
                <w:ilvl w:val="0"/>
                <w:numId w:val="2"/>
              </w:numPr>
              <w:spacing w:after="60" w:before="60"/>
            </w:pPr>
            <w:r>
              <w:rPr>
                <w:rFonts w:ascii="Arial" w:cs="Arial" w:eastAsia="Arial" w:hAnsi="Arial"/>
                <w:b w:val="false"/>
                <w:bCs w:val="false"/>
                <w:color w:val="1C2833"/>
                <w:sz w:val="22"/>
                <w:szCs w:val="22"/>
              </w:rPr>
              <w:t xml:space="preserve">Especificación técnica y arquitectura de la aplicación web</w:t>
            </w:r>
          </w:p>
          <w:p>
            <w:pPr>
              <w:pStyle w:val="ListParagraph"/>
              <w:numPr>
                <w:ilvl w:val="0"/>
                <w:numId w:val="2"/>
              </w:numPr>
              <w:spacing w:after="60" w:before="60"/>
            </w:pPr>
            <w:r>
              <w:rPr>
                <w:rFonts w:ascii="Arial" w:cs="Arial" w:eastAsia="Arial" w:hAnsi="Arial"/>
                <w:b w:val="false"/>
                <w:bCs w:val="false"/>
                <w:color w:val="1C2833"/>
                <w:sz w:val="22"/>
                <w:szCs w:val="22"/>
              </w:rPr>
              <w:t xml:space="preserve">Diseño de interfaces (wireframes y mockups)</w:t>
            </w:r>
          </w:p>
          <w:p>
            <w:pPr>
              <w:pStyle w:val="ListParagraph"/>
              <w:numPr>
                <w:ilvl w:val="0"/>
                <w:numId w:val="2"/>
              </w:numPr>
              <w:spacing w:after="60" w:before="60"/>
            </w:pPr>
            <w:r>
              <w:rPr>
                <w:rFonts w:ascii="Arial" w:cs="Arial" w:eastAsia="Arial" w:hAnsi="Arial"/>
                <w:b w:val="false"/>
                <w:bCs w:val="false"/>
                <w:color w:val="1C2833"/>
                <w:sz w:val="22"/>
                <w:szCs w:val="22"/>
              </w:rPr>
              <w:t xml:space="preserve">Selección de stack tecnológico y APIs de geolocalizón</w:t>
            </w:r>
          </w:p>
          <w:p>
            <w:pPr>
              <w:pStyle w:val="ListParagraph"/>
              <w:numPr>
                <w:ilvl w:val="0"/>
                <w:numId w:val="2"/>
              </w:numPr>
              <w:spacing w:after="60" w:before="60"/>
            </w:pPr>
            <w:r>
              <w:rPr>
                <w:rFonts w:ascii="Arial" w:cs="Arial" w:eastAsia="Arial" w:hAnsi="Arial"/>
                <w:b w:val="false"/>
                <w:bCs w:val="false"/>
                <w:color w:val="1C2833"/>
                <w:sz w:val="22"/>
                <w:szCs w:val="22"/>
              </w:rPr>
              <w:t xml:space="preserve">Definición del MVP y roadmap de producto</w:t>
            </w:r>
          </w:p>
          <w:p>
            <w:pPr>
              <w:pStyle w:val="ListParagraph"/>
              <w:numPr>
                <w:ilvl w:val="0"/>
                <w:numId w:val="2"/>
              </w:numPr>
              <w:spacing w:after="60" w:before="60"/>
            </w:pPr>
            <w:r>
              <w:rPr>
                <w:rFonts w:ascii="Arial" w:cs="Arial" w:eastAsia="Arial" w:hAnsi="Arial"/>
                <w:b w:val="false"/>
                <w:bCs w:val="false"/>
                <w:color w:val="1C2833"/>
                <w:sz w:val="22"/>
                <w:szCs w:val="22"/>
              </w:rPr>
              <w:t xml:space="preserve">Estimación de costos de desarrollo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360"/>
      </w:tabs>
    </w:pPr>
    <w:r>
      <w:rPr>
        <w:rFonts w:ascii="Arial" w:cs="Arial" w:eastAsia="Arial" w:hAnsi="Arial"/>
        <w:color w:val="515A5A"/>
        <w:sz w:val="18"/>
        <w:szCs w:val="18"/>
      </w:rPr>
      <w:t xml:space="preserve">Confidencial — Marzo 2026</w:t>
    </w:r>
    <w:r>
      <w:rPr>
        <w:rFonts w:ascii="Arial" w:cs="Arial" w:eastAsia="Arial" w:hAnsi="Arial"/>
        <w:color w:val="515A5A"/>
        <w:sz w:val="18"/>
        <w:szCs w:val="18"/>
      </w:rPr>
      <w:t xml:space="preserve">	Página </w:t>
    </w:r>
    <w:r>
      <w:rPr>
        <w:rFonts w:ascii="Arial" w:cs="Arial" w:eastAsia="Arial" w:hAnsi="Arial"/>
        <w:color w:val="51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b/>
        <w:bCs/>
        <w:color w:val="1A3C6E"/>
        <w:sz w:val="20"/>
        <w:szCs w:val="20"/>
      </w:rPr>
      <w:t xml:space="preserve">BussinessLocator</w:t>
    </w:r>
    <w:r>
      <w:rPr>
        <w:rFonts w:ascii="Arial" w:cs="Arial" w:eastAsia="Arial" w:hAnsi="Arial"/>
        <w:color w:val="515A5A"/>
        <w:sz w:val="20"/>
        <w:szCs w:val="20"/>
      </w:rPr>
      <w:t xml:space="preserve">  —  Documento de Fundación del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2026-03-24T14:40:33.883Z</dcterms:created>
  <dcterms:modified xsi:type="dcterms:W3CDTF">2026-03-24T14:40:33.883Z</dcterms:modified>
</cp:coreProperties>
</file>

<file path=docProps/custom.xml><?xml version="1.0" encoding="utf-8"?>
<Properties xmlns="http://schemas.openxmlformats.org/officeDocument/2006/custom-properties" xmlns:vt="http://schemas.openxmlformats.org/officeDocument/2006/docPropsVTypes"/>
</file>