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OpesInsure Premium Visual Identity and Dashboard Specification</w:t>
      </w:r>
    </w:p>
    <w:p>
      <w:pPr>
        <w:widowControl/>
        <w:spacing w:after="480"/>
      </w:pPr>
      <w:r>
        <w:rPr>
          <w:b/>
        </w:rPr>
        <w:t>Cameroon Modern Assurance</w:t>
      </w:r>
      <w:r>
        <w:br/>
        <w:t>Authoritative visual system for every OpesInsure web experience</w:t>
      </w:r>
    </w:p>
    <w:p>
      <w:pPr>
        <w:widowControl/>
      </w:pPr>
      <w:r>
        <w:rPr>
          <w:b/>
        </w:rPr>
        <w:t xml:space="preserve">Design decision  </w:t>
      </w:r>
      <w:r>
        <w:t>OpesInsure must look like trusted insurance infrastructure authored in Cameroon for Africa. The interface must communicate financial seriousness, regulatory discipline, human protection and cultural confidence within the first five seconds.</w:t>
      </w:r>
    </w:p>
    <w:p>
      <w:pPr>
        <w:widowControl/>
      </w:pPr>
      <w:r>
        <w:rPr>
          <w:b/>
        </w:rPr>
        <w:t xml:space="preserve">Implementation authority  </w:t>
      </w:r>
      <w:r>
        <w:t>Claude and the engineering team must treat this document as the controlling specification for identity, dashboards, typography, cards, iconography, charts, responsive behavior and visual acceptance.</w:t>
      </w:r>
    </w:p>
    <w:p>
      <w:pPr>
        <w:widowControl/>
      </w:pPr>
      <w:r>
        <w:rPr>
          <w:b/>
        </w:rPr>
        <w:t xml:space="preserve">Prepared for  </w:t>
      </w:r>
      <w:r>
        <w:t>Opesware Technologies</w:t>
      </w:r>
    </w:p>
    <w:p>
      <w:pPr>
        <w:widowControl/>
      </w:pPr>
      <w:r>
        <w:rPr>
          <w:b/>
        </w:rPr>
        <w:t xml:space="preserve">Product  </w:t>
      </w:r>
      <w:r>
        <w:t>OpesInsure</w:t>
      </w:r>
    </w:p>
    <w:p>
      <w:pPr>
        <w:widowControl/>
      </w:pPr>
      <w:r>
        <w:rPr>
          <w:b/>
        </w:rPr>
        <w:t xml:space="preserve">Version  </w:t>
      </w:r>
      <w:r>
        <w:t>3.0</w:t>
      </w:r>
    </w:p>
    <w:p>
      <w:pPr>
        <w:widowControl/>
      </w:pPr>
      <w:r>
        <w:rPr>
          <w:b/>
        </w:rPr>
        <w:t xml:space="preserve">Status  </w:t>
      </w:r>
      <w:r>
        <w:t>Authoritative</w:t>
      </w:r>
    </w:p>
    <w:p>
      <w:pPr>
        <w:widowControl/>
      </w:pPr>
      <w:r>
        <w:rPr>
          <w:b/>
        </w:rPr>
        <w:t xml:space="preserve">Date  </w:t>
      </w:r>
      <w:r>
        <w:t>21 September 2026</w:t>
      </w:r>
    </w:p>
    <w:p>
      <w:pPr>
        <w:widowControl/>
      </w:pPr>
      <w:r>
        <w:br w:type="page"/>
      </w:r>
    </w:p>
    <w:p>
      <w:pPr>
        <w:pStyle w:val="Heading1"/>
        <w:widowControl/>
      </w:pPr>
      <w:r>
        <w:t>Specification map</w:t>
      </w:r>
    </w:p>
    <w:p>
      <w:pPr>
        <w:widowControl/>
        <w:spacing w:after="60"/>
      </w:pPr>
      <w:r>
        <w:rPr>
          <w:b/>
        </w:rPr>
        <w:t>01</w:t>
      </w:r>
      <w:r>
        <w:t xml:space="preserve">  Executive design decision</w:t>
      </w:r>
    </w:p>
    <w:p>
      <w:pPr>
        <w:widowControl/>
        <w:spacing w:after="60"/>
      </w:pPr>
      <w:r>
        <w:rPr>
          <w:b/>
        </w:rPr>
        <w:t>02</w:t>
      </w:r>
      <w:r>
        <w:t xml:space="preserve">  What premium means for OpesInsure</w:t>
      </w:r>
    </w:p>
    <w:p>
      <w:pPr>
        <w:widowControl/>
        <w:spacing w:after="60"/>
      </w:pPr>
      <w:r>
        <w:rPr>
          <w:b/>
        </w:rPr>
        <w:t>03</w:t>
      </w:r>
      <w:r>
        <w:t xml:space="preserve">  The OpesInsure visual signature</w:t>
      </w:r>
    </w:p>
    <w:p>
      <w:pPr>
        <w:widowControl/>
        <w:spacing w:after="60"/>
      </w:pPr>
      <w:r>
        <w:rPr>
          <w:b/>
        </w:rPr>
        <w:t>04</w:t>
      </w:r>
      <w:r>
        <w:t xml:space="preserve">  Authoritative color system</w:t>
      </w:r>
    </w:p>
    <w:p>
      <w:pPr>
        <w:widowControl/>
        <w:spacing w:after="60"/>
      </w:pPr>
      <w:r>
        <w:rPr>
          <w:b/>
        </w:rPr>
        <w:t>05</w:t>
      </w:r>
      <w:r>
        <w:t xml:space="preserve">  Typography system</w:t>
      </w:r>
    </w:p>
    <w:p>
      <w:pPr>
        <w:widowControl/>
        <w:spacing w:after="60"/>
      </w:pPr>
      <w:r>
        <w:rPr>
          <w:b/>
        </w:rPr>
        <w:t>06</w:t>
      </w:r>
      <w:r>
        <w:t xml:space="preserve">  Iconography and visual symbols</w:t>
      </w:r>
    </w:p>
    <w:p>
      <w:pPr>
        <w:widowControl/>
        <w:spacing w:after="60"/>
      </w:pPr>
      <w:r>
        <w:rPr>
          <w:b/>
        </w:rPr>
        <w:t>07</w:t>
      </w:r>
      <w:r>
        <w:t xml:space="preserve">  Heritage language</w:t>
      </w:r>
    </w:p>
    <w:p>
      <w:pPr>
        <w:widowControl/>
        <w:spacing w:after="60"/>
      </w:pPr>
      <w:r>
        <w:rPr>
          <w:b/>
        </w:rPr>
        <w:t>08</w:t>
      </w:r>
      <w:r>
        <w:t xml:space="preserve">  Photography and illustration</w:t>
      </w:r>
    </w:p>
    <w:p>
      <w:pPr>
        <w:widowControl/>
        <w:spacing w:after="60"/>
      </w:pPr>
      <w:r>
        <w:rPr>
          <w:b/>
        </w:rPr>
        <w:t>09</w:t>
      </w:r>
      <w:r>
        <w:t xml:space="preserve">  Surface and material system</w:t>
      </w:r>
    </w:p>
    <w:p>
      <w:pPr>
        <w:widowControl/>
        <w:spacing w:after="60"/>
      </w:pPr>
      <w:r>
        <w:rPr>
          <w:b/>
        </w:rPr>
        <w:t>10</w:t>
      </w:r>
      <w:r>
        <w:t xml:space="preserve">  Card specifications</w:t>
      </w:r>
    </w:p>
    <w:p>
      <w:pPr>
        <w:widowControl/>
        <w:spacing w:after="60"/>
      </w:pPr>
      <w:r>
        <w:rPr>
          <w:b/>
        </w:rPr>
        <w:t>11</w:t>
      </w:r>
      <w:r>
        <w:t xml:space="preserve">  Dashboard composition architecture</w:t>
      </w:r>
    </w:p>
    <w:p>
      <w:pPr>
        <w:widowControl/>
        <w:spacing w:after="60"/>
      </w:pPr>
      <w:r>
        <w:rPr>
          <w:b/>
        </w:rPr>
        <w:t>12</w:t>
      </w:r>
      <w:r>
        <w:t xml:space="preserve">  Quick views</w:t>
      </w:r>
    </w:p>
    <w:p>
      <w:pPr>
        <w:widowControl/>
        <w:spacing w:after="60"/>
      </w:pPr>
      <w:r>
        <w:rPr>
          <w:b/>
        </w:rPr>
        <w:t>13</w:t>
      </w:r>
      <w:r>
        <w:t xml:space="preserve">  Charts and statistics</w:t>
      </w:r>
    </w:p>
    <w:p>
      <w:pPr>
        <w:widowControl/>
        <w:spacing w:after="60"/>
      </w:pPr>
      <w:r>
        <w:rPr>
          <w:b/>
        </w:rPr>
        <w:t>14</w:t>
      </w:r>
      <w:r>
        <w:t xml:space="preserve">  Navigation and shell</w:t>
      </w:r>
    </w:p>
    <w:p>
      <w:pPr>
        <w:widowControl/>
        <w:spacing w:after="60"/>
      </w:pPr>
      <w:r>
        <w:rPr>
          <w:b/>
        </w:rPr>
        <w:t>15</w:t>
      </w:r>
      <w:r>
        <w:t xml:space="preserve">  Responsive grid and spacing</w:t>
      </w:r>
    </w:p>
    <w:p>
      <w:pPr>
        <w:widowControl/>
        <w:spacing w:after="60"/>
      </w:pPr>
      <w:r>
        <w:rPr>
          <w:b/>
        </w:rPr>
        <w:t>16</w:t>
      </w:r>
      <w:r>
        <w:t xml:space="preserve">  Forms and controls</w:t>
      </w:r>
    </w:p>
    <w:p>
      <w:pPr>
        <w:widowControl/>
        <w:spacing w:after="60"/>
      </w:pPr>
      <w:r>
        <w:rPr>
          <w:b/>
        </w:rPr>
        <w:t>17</w:t>
      </w:r>
      <w:r>
        <w:t xml:space="preserve">  Tables and dense operational screens</w:t>
      </w:r>
    </w:p>
    <w:p>
      <w:pPr>
        <w:widowControl/>
        <w:spacing w:after="60"/>
      </w:pPr>
      <w:r>
        <w:rPr>
          <w:b/>
        </w:rPr>
        <w:t>18</w:t>
      </w:r>
      <w:r>
        <w:t xml:space="preserve">  Motion and interaction</w:t>
      </w:r>
    </w:p>
    <w:p>
      <w:pPr>
        <w:widowControl/>
        <w:spacing w:after="60"/>
      </w:pPr>
      <w:r>
        <w:rPr>
          <w:b/>
        </w:rPr>
        <w:t>19</w:t>
      </w:r>
      <w:r>
        <w:t xml:space="preserve">  Insurance proof and trust patterns</w:t>
      </w:r>
    </w:p>
    <w:p>
      <w:pPr>
        <w:widowControl/>
        <w:spacing w:after="60"/>
      </w:pPr>
      <w:r>
        <w:rPr>
          <w:b/>
        </w:rPr>
        <w:t>20</w:t>
      </w:r>
      <w:r>
        <w:t xml:space="preserve">  Accessibility and bilingual quality</w:t>
      </w:r>
    </w:p>
    <w:p>
      <w:pPr>
        <w:widowControl/>
        <w:spacing w:after="60"/>
      </w:pPr>
      <w:r>
        <w:rPr>
          <w:b/>
        </w:rPr>
        <w:t>21</w:t>
      </w:r>
      <w:r>
        <w:t xml:space="preserve">  Performance and resilience</w:t>
      </w:r>
    </w:p>
    <w:p>
      <w:pPr>
        <w:widowControl/>
        <w:spacing w:after="60"/>
      </w:pPr>
      <w:r>
        <w:rPr>
          <w:b/>
        </w:rPr>
        <w:t>22</w:t>
      </w:r>
      <w:r>
        <w:t xml:space="preserve">  Dashboard acceptance standard</w:t>
      </w:r>
    </w:p>
    <w:p>
      <w:pPr>
        <w:widowControl/>
        <w:spacing w:after="60"/>
      </w:pPr>
      <w:r>
        <w:rPr>
          <w:b/>
        </w:rPr>
        <w:t>23</w:t>
      </w:r>
      <w:r>
        <w:t xml:space="preserve">  Instructions for Claude</w:t>
      </w:r>
    </w:p>
    <w:p>
      <w:pPr>
        <w:widowControl/>
        <w:spacing w:after="60"/>
      </w:pPr>
      <w:r>
        <w:rPr>
          <w:b/>
        </w:rPr>
        <w:t>24</w:t>
      </w:r>
      <w:r>
        <w:t xml:space="preserve">  Final design test</w:t>
      </w:r>
    </w:p>
    <w:p>
      <w:pPr>
        <w:widowControl/>
      </w:pPr>
      <w:r>
        <w:br w:type="page"/>
      </w:r>
    </w:p>
    <w:p>
      <w:pPr>
        <w:pStyle w:val="Heading1"/>
        <w:widowControl/>
      </w:pPr>
      <w:r>
        <w:t>1 Executive design decision</w:t>
      </w:r>
    </w:p>
    <w:p>
      <w:pPr>
        <w:widowControl/>
      </w:pPr>
      <w:r>
        <w:rPr>
          <w:b w:val="0"/>
        </w:rPr>
        <w:t>OpesInsure must look like trusted insurance infrastructure built in Cameroon for Africa, not a generic global dashboard recolored with blue and gold. The product must communicate financial seriousness, regulatory discipline, human protection and African authorship within the first five seconds.</w:t>
      </w:r>
    </w:p>
    <w:p>
      <w:pPr>
        <w:widowControl/>
      </w:pPr>
      <w:r>
        <w:rPr>
          <w:b w:val="0"/>
        </w:rPr>
        <w:t xml:space="preserve">The design language is named </w:t>
      </w:r>
      <w:r>
        <w:rPr>
          <w:b/>
        </w:rPr>
        <w:t>Cameroon Modern Assurance</w:t>
      </w:r>
      <w:r>
        <w:rPr>
          <w:b w:val="0"/>
        </w:rPr>
        <w:t>. It combines institutional Atlantic navy, precise insurance blue, aged brass gold, warm mineral neutrals, authentic Cameroonian editorial imagery and a restrained geometric identity derived from weaving, protection and interconnected communities.</w:t>
      </w:r>
    </w:p>
    <w:p>
      <w:pPr>
        <w:widowControl/>
      </w:pPr>
      <w:r>
        <w:rPr>
          <w:b w:val="0"/>
        </w:rPr>
        <w:t>The result must feel premium without becoming ornamental, luxurious without becoming flashy, and culturally rooted without turning heritage into decoration. Carrier brands, including AXA, Activa and SanlamAllianz, must appear respected inside OpesInsure rather than visually dominating it.</w:t>
      </w:r>
    </w:p>
    <w:p>
      <w:pPr>
        <w:pStyle w:val="Heading1"/>
        <w:widowControl/>
      </w:pPr>
      <w:r>
        <w:t>2 What premium means for OpesInsure</w:t>
      </w:r>
    </w:p>
    <w:p>
      <w:pPr>
        <w:widowControl/>
      </w:pPr>
      <w:r>
        <w:rPr>
          <w:b w:val="0"/>
        </w:rPr>
        <w:t>Premium is not a dark background, excessive gold, oversized headings or glass effects. For OpesInsure, premium means:</w:t>
      </w:r>
    </w:p>
    <w:p>
      <w:pPr>
        <w:pStyle w:val="ListBullet"/>
        <w:widowControl/>
      </w:pPr>
      <w:r>
        <w:rPr>
          <w:b w:val="0"/>
        </w:rPr>
        <w:t>calm information hierarchy;</w:t>
      </w:r>
    </w:p>
    <w:p>
      <w:pPr>
        <w:pStyle w:val="ListBullet"/>
        <w:widowControl/>
      </w:pPr>
      <w:r>
        <w:rPr>
          <w:b w:val="0"/>
        </w:rPr>
        <w:t>excellent typography and numeric alignment;</w:t>
      </w:r>
    </w:p>
    <w:p>
      <w:pPr>
        <w:pStyle w:val="ListBullet"/>
        <w:widowControl/>
      </w:pPr>
      <w:r>
        <w:rPr>
          <w:b w:val="0"/>
        </w:rPr>
        <w:t>deliberate whitespace;</w:t>
      </w:r>
    </w:p>
    <w:p>
      <w:pPr>
        <w:pStyle w:val="ListBullet"/>
        <w:widowControl/>
      </w:pPr>
      <w:r>
        <w:rPr>
          <w:b w:val="0"/>
        </w:rPr>
        <w:t>exact state communication;</w:t>
      </w:r>
    </w:p>
    <w:p>
      <w:pPr>
        <w:pStyle w:val="ListBullet"/>
        <w:widowControl/>
      </w:pPr>
      <w:r>
        <w:rPr>
          <w:b w:val="0"/>
        </w:rPr>
        <w:t>restrained materials and depth;</w:t>
      </w:r>
    </w:p>
    <w:p>
      <w:pPr>
        <w:pStyle w:val="ListBullet"/>
        <w:widowControl/>
      </w:pPr>
      <w:r>
        <w:rPr>
          <w:b w:val="0"/>
        </w:rPr>
        <w:t>authentic, licensed Cameroonian imagery;</w:t>
      </w:r>
    </w:p>
    <w:p>
      <w:pPr>
        <w:pStyle w:val="ListBullet"/>
        <w:widowControl/>
      </w:pPr>
      <w:r>
        <w:rPr>
          <w:b w:val="0"/>
        </w:rPr>
        <w:t>consistent custom insurance iconography;</w:t>
      </w:r>
    </w:p>
    <w:p>
      <w:pPr>
        <w:pStyle w:val="ListBullet"/>
        <w:widowControl/>
      </w:pPr>
      <w:r>
        <w:rPr>
          <w:b w:val="0"/>
        </w:rPr>
        <w:t>immediate operational usefulness;</w:t>
      </w:r>
    </w:p>
    <w:p>
      <w:pPr>
        <w:pStyle w:val="ListBullet"/>
        <w:widowControl/>
      </w:pPr>
      <w:r>
        <w:rPr>
          <w:b w:val="0"/>
        </w:rPr>
        <w:t>invisible technical complexity;</w:t>
      </w:r>
    </w:p>
    <w:p>
      <w:pPr>
        <w:pStyle w:val="ListBullet"/>
        <w:widowControl/>
      </w:pPr>
      <w:r>
        <w:rPr>
          <w:b w:val="0"/>
        </w:rPr>
        <w:t>confident bilingual composition;</w:t>
      </w:r>
    </w:p>
    <w:p>
      <w:pPr>
        <w:pStyle w:val="ListBullet"/>
        <w:widowControl/>
      </w:pPr>
      <w:r>
        <w:rPr>
          <w:b w:val="0"/>
        </w:rPr>
        <w:t>flawless behavior on modest mobile devices;</w:t>
      </w:r>
    </w:p>
    <w:p>
      <w:pPr>
        <w:pStyle w:val="ListBullet"/>
        <w:widowControl/>
      </w:pPr>
      <w:r>
        <w:rPr>
          <w:b w:val="0"/>
        </w:rPr>
        <w:t>evidence of security, custody and regulatory control.</w:t>
      </w:r>
    </w:p>
    <w:p>
      <w:pPr>
        <w:widowControl/>
      </w:pPr>
      <w:r>
        <w:rPr>
          <w:b w:val="0"/>
        </w:rPr>
        <w:t>No screen may look like an off-the-shelf admin template, a cryptocurrency wallet, a betting application, a generic marketplace or a carrier clone.</w:t>
      </w:r>
    </w:p>
    <w:p>
      <w:pPr>
        <w:pStyle w:val="Heading1"/>
        <w:widowControl/>
      </w:pPr>
      <w:r>
        <w:t>3 The OpesInsure visual signature</w:t>
      </w:r>
    </w:p>
    <w:p>
      <w:pPr>
        <w:widowControl/>
      </w:pPr>
      <w:r>
        <w:rPr>
          <w:b w:val="0"/>
        </w:rPr>
        <w:t>Every major screen must express at least three of the following five signature elements. Minor screens must express at least two.</w:t>
      </w:r>
    </w:p>
    <w:p>
      <w:pPr>
        <w:pStyle w:val="Heading3"/>
        <w:widowControl/>
      </w:pPr>
      <w:r>
        <w:t>3.1 The assurance frame</w:t>
      </w:r>
    </w:p>
    <w:p>
      <w:pPr>
        <w:widowControl/>
      </w:pPr>
      <w:r>
        <w:rPr>
          <w:b w:val="0"/>
        </w:rPr>
        <w:t>A thin structural frame or edge treatment suggests protection without drawing a literal shield around every object. It appears as a 1 px navy or mineral border, an inset line, or a controlled corner treatment. It must never become a glowing outline.</w:t>
      </w:r>
    </w:p>
    <w:p>
      <w:pPr>
        <w:pStyle w:val="Heading3"/>
        <w:widowControl/>
      </w:pPr>
      <w:r>
        <w:t>3.2 The heritage thread</w:t>
      </w:r>
    </w:p>
    <w:p>
      <w:pPr>
        <w:widowControl/>
      </w:pPr>
      <w:r>
        <w:rPr>
          <w:b w:val="0"/>
        </w:rPr>
        <w:t>A narrow 3 px identity thread uses Cameroon green, red and brass gold in a fixed sequence. It may appear at the top edge of the authenticated shell, inside document headers or on the left edge of important institutional panels. It is decorative identity, never a status indicator.</w:t>
      </w:r>
    </w:p>
    <w:p>
      <w:pPr>
        <w:pStyle w:val="Heading3"/>
        <w:widowControl/>
      </w:pPr>
      <w:r>
        <w:t>3.3 The woven protection field</w:t>
      </w:r>
    </w:p>
    <w:p>
      <w:pPr>
        <w:widowControl/>
      </w:pPr>
      <w:r>
        <w:rPr>
          <w:b w:val="0"/>
        </w:rPr>
        <w:t>A custom low-contrast pattern uses interlocking diamonds, stepped lines and shield-like negative space. It references weaving and collective protection without copying a sacred, ceremonial or community-owned motif. It is used at 2 to 5 percent opacity on light surfaces and 5 to 8 percent on navy.</w:t>
      </w:r>
    </w:p>
    <w:p>
      <w:pPr>
        <w:pStyle w:val="Heading3"/>
        <w:widowControl/>
      </w:pPr>
      <w:r>
        <w:t>3.4 The assurance glow</w:t>
      </w:r>
    </w:p>
    <w:p>
      <w:pPr>
        <w:widowControl/>
      </w:pPr>
      <w:r>
        <w:rPr>
          <w:b w:val="0"/>
        </w:rPr>
        <w:t>Important selected or verified elements may use a restrained blue edge light or pale-blue surface. The effect is flat and precise, not neon. It must not appear on more than one major region in a viewport.</w:t>
      </w:r>
    </w:p>
    <w:p>
      <w:pPr>
        <w:pStyle w:val="Heading3"/>
        <w:widowControl/>
      </w:pPr>
      <w:r>
        <w:t>3.5 The proof mark</w:t>
      </w:r>
    </w:p>
    <w:p>
      <w:pPr>
        <w:widowControl/>
      </w:pPr>
      <w:r>
        <w:rPr>
          <w:b w:val="0"/>
        </w:rPr>
        <w:t>Verified, issued, paid and acknowledged records use a consistent proof mark composed of icon, label, timestamp and reference. The proof mark communicates auditable certainty and is never represented by a green tick alone.</w:t>
      </w:r>
    </w:p>
    <w:p>
      <w:pPr>
        <w:pStyle w:val="Heading1"/>
        <w:widowControl/>
      </w:pPr>
      <w:r>
        <w:t>4 Authoritative color system</w:t>
      </w:r>
    </w:p>
    <w:p>
      <w:pPr>
        <w:pStyle w:val="Heading3"/>
        <w:widowControl/>
      </w:pPr>
      <w:r>
        <w:t>4.1 Institutional brand colors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3312"/>
            <w:tcMar>
              <w:top w:w="110" w:type="dxa"/>
              <w:start w:w="110" w:type="dxa"/>
              <w:bottom w:w="110" w:type="dxa"/>
              <w:end w:w="110" w:type="dxa"/>
            </w:tcMar>
            <w:vAlign w:val="center"/>
            <w:shd w:fill="071A2B"/>
          </w:tcPr>
          <w:p>
            <w:pPr>
              <w:spacing w:after="0" w:line="252" w:lineRule="auto"/>
            </w:pPr>
            <w:r>
              <w:rPr>
                <w:rFonts w:ascii="Arial" w:hAnsi="Arial"/>
                <w:b/>
                <w:color w:val="FFFFFF"/>
                <w:sz w:val="17"/>
              </w:rPr>
              <w:t>Token</w:t>
            </w:r>
          </w:p>
        </w:tc>
        <w:tc>
          <w:tcPr>
            <w:tcW w:type="dxa" w:w="3312"/>
            <w:tcMar>
              <w:top w:w="110" w:type="dxa"/>
              <w:start w:w="110" w:type="dxa"/>
              <w:bottom w:w="110" w:type="dxa"/>
              <w:end w:w="110" w:type="dxa"/>
            </w:tcMar>
            <w:vAlign w:val="center"/>
            <w:shd w:fill="071A2B"/>
          </w:tcPr>
          <w:p>
            <w:pPr>
              <w:spacing w:after="0" w:line="252" w:lineRule="auto"/>
            </w:pPr>
            <w:r>
              <w:rPr>
                <w:rFonts w:ascii="Arial" w:hAnsi="Arial"/>
                <w:b/>
                <w:color w:val="FFFFFF"/>
                <w:sz w:val="17"/>
              </w:rPr>
              <w:t>Hex</w:t>
            </w:r>
          </w:p>
        </w:tc>
        <w:tc>
          <w:tcPr>
            <w:tcW w:type="dxa" w:w="3312"/>
            <w:tcMar>
              <w:top w:w="110" w:type="dxa"/>
              <w:start w:w="110" w:type="dxa"/>
              <w:bottom w:w="110" w:type="dxa"/>
              <w:end w:w="110" w:type="dxa"/>
            </w:tcMar>
            <w:vAlign w:val="center"/>
            <w:shd w:fill="071A2B"/>
          </w:tcPr>
          <w:p>
            <w:pPr>
              <w:spacing w:after="0" w:line="252" w:lineRule="auto"/>
            </w:pPr>
            <w:r>
              <w:rPr>
                <w:rFonts w:ascii="Arial" w:hAnsi="Arial"/>
                <w:b/>
                <w:color w:val="FFFFFF"/>
                <w:sz w:val="17"/>
              </w:rPr>
              <w:t>Purpose</w:t>
            </w:r>
          </w:p>
        </w:tc>
      </w:tr>
      <w:tr>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Obsidian Navy 1000</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#04131F</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Premium dark canvas, executive and authentication surfaces</w:t>
            </w:r>
          </w:p>
        </w:tc>
      </w:tr>
      <w:tr>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Assurance Navy 950</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#071A2B</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Primary text, navigation and institutional headers</w:t>
            </w:r>
          </w:p>
        </w:tc>
      </w:tr>
      <w:tr>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Atlantic Navy 850</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#0E3048</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Elevated dark surface and selected navigation</w:t>
            </w:r>
          </w:p>
        </w:tc>
      </w:tr>
      <w:tr>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Insurance Blue 650</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#155FCC</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Primary action, link, focus and selected controls</w:t>
            </w:r>
          </w:p>
        </w:tc>
      </w:tr>
      <w:tr>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Insurance Blue 550</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#2F78E6</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Hover and dark-surface interaction</w:t>
            </w:r>
          </w:p>
        </w:tc>
      </w:tr>
      <w:tr>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Insurance Blue 100</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#DCEAFF</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Selected rows and soft action surfaces</w:t>
            </w:r>
          </w:p>
        </w:tc>
      </w:tr>
      <w:tr>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Insurance Blue 50</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#EFF5FF</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Information and comparison surfaces</w:t>
            </w:r>
          </w:p>
        </w:tc>
      </w:tr>
      <w:tr>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Heritage Brass 650</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#A96F13</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Premium text and icon accent on pale surfaces</w:t>
            </w:r>
          </w:p>
        </w:tc>
      </w:tr>
      <w:tr>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Heritage Brass 500</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#D5A13C</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Signature detail, proof seal and executive emphasis</w:t>
            </w:r>
          </w:p>
        </w:tc>
      </w:tr>
      <w:tr>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Heritage Brass 100</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#F3DFAF</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Decorative edge and pattern detail</w:t>
            </w:r>
          </w:p>
        </w:tc>
      </w:tr>
      <w:tr>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Heritage Brass 50</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#FCF7EA</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Premium highlight surface</w:t>
            </w:r>
          </w:p>
        </w:tc>
      </w:tr>
    </w:tbl>
    <w:p>
      <w:pPr>
        <w:widowControl/>
        <w:spacing w:after="20"/>
      </w:pPr>
    </w:p>
    <w:p>
      <w:pPr>
        <w:widowControl/>
      </w:pPr>
      <w:r>
        <w:rPr>
          <w:b w:val="0"/>
        </w:rPr>
        <w:t>Insurance Blue is the only general interactive brand color. Brass is not a normal button color. Navy provides authority; blue provides action; brass provides distinction.</w:t>
      </w:r>
    </w:p>
    <w:p>
      <w:pPr>
        <w:pStyle w:val="Heading3"/>
        <w:widowControl/>
      </w:pPr>
      <w:r>
        <w:t>4.2 Mineral neutral colors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rPr>
          <w:tblHeader w:val="true"/>
        </w:trPr>
        <w:tc>
          <w:tcPr>
            <w:tcW w:type="dxa" w:w="3312"/>
            <w:tcMar>
              <w:top w:w="110" w:type="dxa"/>
              <w:start w:w="110" w:type="dxa"/>
              <w:bottom w:w="110" w:type="dxa"/>
              <w:end w:w="110" w:type="dxa"/>
            </w:tcMar>
            <w:vAlign w:val="center"/>
            <w:shd w:fill="071A2B"/>
          </w:tcPr>
          <w:p>
            <w:pPr>
              <w:spacing w:after="0" w:line="252" w:lineRule="auto"/>
            </w:pPr>
            <w:r>
              <w:rPr>
                <w:rFonts w:ascii="Arial" w:hAnsi="Arial"/>
                <w:b/>
                <w:color w:val="FFFFFF"/>
                <w:sz w:val="17"/>
              </w:rPr>
              <w:t>Token</w:t>
            </w:r>
          </w:p>
        </w:tc>
        <w:tc>
          <w:tcPr>
            <w:tcW w:type="dxa" w:w="3312"/>
            <w:tcMar>
              <w:top w:w="110" w:type="dxa"/>
              <w:start w:w="110" w:type="dxa"/>
              <w:bottom w:w="110" w:type="dxa"/>
              <w:end w:w="110" w:type="dxa"/>
            </w:tcMar>
            <w:vAlign w:val="center"/>
            <w:shd w:fill="071A2B"/>
          </w:tcPr>
          <w:p>
            <w:pPr>
              <w:spacing w:after="0" w:line="252" w:lineRule="auto"/>
            </w:pPr>
            <w:r>
              <w:rPr>
                <w:rFonts w:ascii="Arial" w:hAnsi="Arial"/>
                <w:b/>
                <w:color w:val="FFFFFF"/>
                <w:sz w:val="17"/>
              </w:rPr>
              <w:t>Hex</w:t>
            </w:r>
          </w:p>
        </w:tc>
        <w:tc>
          <w:tcPr>
            <w:tcW w:type="dxa" w:w="3312"/>
            <w:tcMar>
              <w:top w:w="110" w:type="dxa"/>
              <w:start w:w="110" w:type="dxa"/>
              <w:bottom w:w="110" w:type="dxa"/>
              <w:end w:w="110" w:type="dxa"/>
            </w:tcMar>
            <w:vAlign w:val="center"/>
            <w:shd w:fill="071A2B"/>
          </w:tcPr>
          <w:p>
            <w:pPr>
              <w:spacing w:after="0" w:line="252" w:lineRule="auto"/>
            </w:pPr>
            <w:r>
              <w:rPr>
                <w:rFonts w:ascii="Arial" w:hAnsi="Arial"/>
                <w:b/>
                <w:color w:val="FFFFFF"/>
                <w:sz w:val="17"/>
              </w:rPr>
              <w:t>Purpose</w:t>
            </w:r>
          </w:p>
        </w:tc>
      </w:tr>
      <w:tr>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Ink 950</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#111820</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Strong text on light surfaces</w:t>
            </w:r>
          </w:p>
        </w:tc>
      </w:tr>
      <w:tr>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Graphite 800</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#26333F</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Headings and data labels</w:t>
            </w:r>
          </w:p>
        </w:tc>
      </w:tr>
      <w:tr>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Slate 700</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#3C4C5B</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Secondary text</w:t>
            </w:r>
          </w:p>
        </w:tc>
      </w:tr>
      <w:tr>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Slate 600</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#566776</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Muted readable text</w:t>
            </w:r>
          </w:p>
        </w:tc>
      </w:tr>
      <w:tr>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Stone 400</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#94A0AA</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Placeholder and disabled icon only</w:t>
            </w:r>
          </w:p>
        </w:tc>
      </w:tr>
      <w:tr>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Mist 300</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#C3CCD3</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Disabled border</w:t>
            </w:r>
          </w:p>
        </w:tc>
      </w:tr>
      <w:tr>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Mist 200</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#DCE3E8</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Dividers and card borders</w:t>
            </w:r>
          </w:p>
        </w:tc>
      </w:tr>
      <w:tr>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Mist 100</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#ECF0F3</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Hover and skeleton surface</w:t>
            </w:r>
          </w:p>
        </w:tc>
      </w:tr>
      <w:tr>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Mineral 50</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#F5F7F8</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Main application canvas</w:t>
            </w:r>
          </w:p>
        </w:tc>
      </w:tr>
      <w:tr>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Warm Ivory 25</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#FCFBF7</w:t>
            </w:r>
          </w:p>
        </w:tc>
        <w:tc>
          <w:tcPr>
            <w:tcW w:type="dxa" w:w="3312"/>
            <w:tcMar>
              <w:top w:w="110" w:type="dxa"/>
              <w:start w:w="110" w:type="dxa"/>
              <w:bottom w:w="110" w:type="dxa"/>
              <w:end w:w="110" w:type="dxa"/>
            </w:tcMar>
            <w:vAlign w:val="center"/>
            <w:shd w:fill="EFF5FF"/>
          </w:tcPr>
          <w:p>
            <w:pPr>
              <w:spacing w:after="0" w:line="252" w:lineRule="auto"/>
            </w:pPr>
            <w:r>
              <w:rPr>
                <w:rFonts w:ascii="Arial" w:hAnsi="Arial"/>
                <w:sz w:val="17"/>
              </w:rPr>
              <w:t>Editorial and premium welcome surface only</w:t>
            </w:r>
          </w:p>
        </w:tc>
      </w:tr>
      <w:tr>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White</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#FFFFFF</w:t>
            </w:r>
          </w:p>
        </w:tc>
        <w:tc>
          <w:tcPr>
            <w:tcW w:type="dxa" w:w="3312"/>
            <w:tcMar>
              <w:top w:w="110" w:type="dxa"/>
              <w:start w:w="110" w:type="dxa"/>
              <w:bottom w:w="110" w:type="dxa"/>
              <w:end w:w="110" w:type="dxa"/>
            </w:tcMar>
            <w:vAlign w:val="center"/>
            <w:shd w:fill="FFFFFF"/>
          </w:tcPr>
          <w:p>
            <w:pPr>
              <w:spacing w:after="0" w:line="252" w:lineRule="auto"/>
            </w:pPr>
            <w:r>
              <w:rPr>
                <w:rFonts w:ascii="Arial" w:hAnsi="Arial"/>
                <w:sz w:val="17"/>
              </w:rPr>
              <w:t>Cards, sheets and input surfaces</w:t>
            </w:r>
          </w:p>
        </w:tc>
      </w:tr>
    </w:tbl>
    <w:p>
      <w:pPr>
        <w:widowControl/>
        <w:spacing w:after="20"/>
      </w:pPr>
    </w:p>
    <w:p>
      <w:pPr>
        <w:widowControl/>
      </w:pPr>
      <w:r>
        <w:rPr>
          <w:b w:val="0"/>
        </w:rPr>
        <w:t>Mineral 50 is the operational canvas. Warm Ivory is reserved for signature welcome areas, public storytelling and premium summaries. They must not alternate randomly.</w:t>
      </w:r>
    </w:p>
    <w:p>
      <w:pPr>
        <w:pStyle w:val="Heading3"/>
        <w:widowControl/>
      </w:pPr>
      <w:r>
        <w:t>4.3 Semantic colors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7"/>
        <w:gridCol w:w="1987"/>
        <w:gridCol w:w="1987"/>
        <w:gridCol w:w="1987"/>
        <w:gridCol w:w="1987"/>
      </w:tblGrid>
      <w:tr>
        <w:trPr>
          <w:tblHeader w:val="true"/>
        </w:trPr>
        <w:tc>
          <w:tcPr>
            <w:tcW w:type="dxa" w:w="1987"/>
            <w:tcMar>
              <w:top w:w="110" w:type="dxa"/>
              <w:start w:w="110" w:type="dxa"/>
              <w:bottom w:w="110" w:type="dxa"/>
              <w:end w:w="110" w:type="dxa"/>
            </w:tcMar>
            <w:vAlign w:val="center"/>
            <w:shd w:fill="071A2B"/>
          </w:tcPr>
          <w:p>
            <w:pPr>
              <w:spacing w:after="0" w:line="252" w:lineRule="auto"/>
            </w:pPr>
            <w:r>
              <w:rPr>
                <w:rFonts w:ascii="Arial" w:hAnsi="Arial"/>
                <w:b/>
                <w:color w:val="FFFFFF"/>
                <w:sz w:val="17"/>
              </w:rPr>
              <w:t>Meaning</w:t>
            </w:r>
          </w:p>
        </w:tc>
        <w:tc>
          <w:tcPr>
            <w:tcW w:type="dxa" w:w="1987"/>
            <w:tcMar>
              <w:top w:w="110" w:type="dxa"/>
              <w:start w:w="110" w:type="dxa"/>
              <w:bottom w:w="110" w:type="dxa"/>
              <w:end w:w="110" w:type="dxa"/>
            </w:tcMar>
            <w:vAlign w:val="center"/>
            <w:shd w:fill="071A2B"/>
          </w:tcPr>
          <w:p>
            <w:pPr>
              <w:spacing w:after="0" w:line="252" w:lineRule="auto"/>
            </w:pPr>
            <w:r>
              <w:rPr>
                <w:rFonts w:ascii="Arial" w:hAnsi="Arial"/>
                <w:b/>
                <w:color w:val="FFFFFF"/>
                <w:sz w:val="17"/>
              </w:rPr>
              <w:t>Strong</w:t>
            </w:r>
          </w:p>
        </w:tc>
        <w:tc>
          <w:tcPr>
            <w:tcW w:type="dxa" w:w="1987"/>
            <w:tcMar>
              <w:top w:w="110" w:type="dxa"/>
              <w:start w:w="110" w:type="dxa"/>
              <w:bottom w:w="110" w:type="dxa"/>
              <w:end w:w="110" w:type="dxa"/>
            </w:tcMar>
            <w:vAlign w:val="center"/>
            <w:shd w:fill="071A2B"/>
          </w:tcPr>
          <w:p>
            <w:pPr>
              <w:spacing w:after="0" w:line="252" w:lineRule="auto"/>
            </w:pPr>
            <w:r>
              <w:rPr>
                <w:rFonts w:ascii="Arial" w:hAnsi="Arial"/>
                <w:b/>
                <w:color w:val="FFFFFF"/>
                <w:sz w:val="17"/>
              </w:rPr>
              <w:t>Soft surface</w:t>
            </w:r>
          </w:p>
        </w:tc>
        <w:tc>
          <w:tcPr>
            <w:tcW w:type="dxa" w:w="1987"/>
            <w:tcMar>
              <w:top w:w="110" w:type="dxa"/>
              <w:start w:w="110" w:type="dxa"/>
              <w:bottom w:w="110" w:type="dxa"/>
              <w:end w:w="110" w:type="dxa"/>
            </w:tcMar>
            <w:vAlign w:val="center"/>
            <w:shd w:fill="071A2B"/>
          </w:tcPr>
          <w:p>
            <w:pPr>
              <w:spacing w:after="0" w:line="252" w:lineRule="auto"/>
            </w:pPr>
            <w:r>
              <w:rPr>
                <w:rFonts w:ascii="Arial" w:hAnsi="Arial"/>
                <w:b/>
                <w:color w:val="FFFFFF"/>
                <w:sz w:val="17"/>
              </w:rPr>
              <w:t>Border</w:t>
            </w:r>
          </w:p>
        </w:tc>
        <w:tc>
          <w:tcPr>
            <w:tcW w:type="dxa" w:w="1987"/>
            <w:tcMar>
              <w:top w:w="110" w:type="dxa"/>
              <w:start w:w="110" w:type="dxa"/>
              <w:bottom w:w="110" w:type="dxa"/>
              <w:end w:w="110" w:type="dxa"/>
            </w:tcMar>
            <w:vAlign w:val="center"/>
            <w:shd w:fill="071A2B"/>
          </w:tcPr>
          <w:p>
            <w:pPr>
              <w:spacing w:after="0" w:line="252" w:lineRule="auto"/>
            </w:pPr>
            <w:r>
              <w:rPr>
                <w:rFonts w:ascii="Arial" w:hAnsi="Arial"/>
                <w:b/>
                <w:color w:val="FFFFFF"/>
                <w:sz w:val="17"/>
              </w:rPr>
              <w:t>Text</w:t>
            </w:r>
          </w:p>
        </w:tc>
      </w:tr>
      <w:tr>
        <w:tc>
          <w:tcPr>
            <w:tcW w:type="dxa" w:w="1987"/>
            <w:tcMar>
              <w:top w:w="110" w:type="dxa"/>
              <w:start w:w="110" w:type="dxa"/>
              <w:bottom w:w="110" w:type="dxa"/>
              <w:end w:w="110" w:type="dxa"/>
            </w:tcMar>
            <w:vAlign w:val="center"/>
            <w:shd w:fill="FFFFFF"/>
          </w:tcPr>
          <w:p>
            <w:pPr>
              <w:spacing w:after="0" w:line="252" w:lineRule="auto"/>
            </w:pPr>
            <w:r>
              <w:rPr>
                <w:rFonts w:ascii="Arial" w:hAnsi="Arial"/>
                <w:sz w:val="17"/>
              </w:rPr>
              <w:t>Verified active paid</w:t>
            </w:r>
          </w:p>
        </w:tc>
        <w:tc>
          <w:tcPr>
            <w:tcW w:type="dxa" w:w="1987"/>
            <w:tcMar>
              <w:top w:w="110" w:type="dxa"/>
              <w:start w:w="110" w:type="dxa"/>
              <w:bottom w:w="110" w:type="dxa"/>
              <w:end w:w="110" w:type="dxa"/>
            </w:tcMar>
            <w:vAlign w:val="center"/>
            <w:shd w:fill="FFFFFF"/>
          </w:tcPr>
          <w:p>
            <w:pPr>
              <w:spacing w:after="0" w:line="252" w:lineRule="auto"/>
            </w:pPr>
            <w:r>
              <w:rPr>
                <w:rFonts w:ascii="Arial" w:hAnsi="Arial"/>
                <w:sz w:val="17"/>
              </w:rPr>
              <w:t>#07855B</w:t>
            </w:r>
          </w:p>
        </w:tc>
        <w:tc>
          <w:tcPr>
            <w:tcW w:type="dxa" w:w="1987"/>
            <w:tcMar>
              <w:top w:w="110" w:type="dxa"/>
              <w:start w:w="110" w:type="dxa"/>
              <w:bottom w:w="110" w:type="dxa"/>
              <w:end w:w="110" w:type="dxa"/>
            </w:tcMar>
            <w:vAlign w:val="center"/>
            <w:shd w:fill="FFFFFF"/>
          </w:tcPr>
          <w:p>
            <w:pPr>
              <w:spacing w:after="0" w:line="252" w:lineRule="auto"/>
            </w:pPr>
            <w:r>
              <w:rPr>
                <w:rFonts w:ascii="Arial" w:hAnsi="Arial"/>
                <w:sz w:val="17"/>
              </w:rPr>
              <w:t>#E7F6F0</w:t>
            </w:r>
          </w:p>
        </w:tc>
        <w:tc>
          <w:tcPr>
            <w:tcW w:type="dxa" w:w="1987"/>
            <w:tcMar>
              <w:top w:w="110" w:type="dxa"/>
              <w:start w:w="110" w:type="dxa"/>
              <w:bottom w:w="110" w:type="dxa"/>
              <w:end w:w="110" w:type="dxa"/>
            </w:tcMar>
            <w:vAlign w:val="center"/>
            <w:shd w:fill="FFFFFF"/>
          </w:tcPr>
          <w:p>
            <w:pPr>
              <w:spacing w:after="0" w:line="252" w:lineRule="auto"/>
            </w:pPr>
            <w:r>
              <w:rPr>
                <w:rFonts w:ascii="Arial" w:hAnsi="Arial"/>
                <w:sz w:val="17"/>
              </w:rPr>
              <w:t>#9DDAC6</w:t>
            </w:r>
          </w:p>
        </w:tc>
        <w:tc>
          <w:tcPr>
            <w:tcW w:type="dxa" w:w="1987"/>
            <w:tcMar>
              <w:top w:w="110" w:type="dxa"/>
              <w:start w:w="110" w:type="dxa"/>
              <w:bottom w:w="110" w:type="dxa"/>
              <w:end w:w="110" w:type="dxa"/>
            </w:tcMar>
            <w:vAlign w:val="center"/>
            <w:shd w:fill="FFFFFF"/>
          </w:tcPr>
          <w:p>
            <w:pPr>
              <w:spacing w:after="0" w:line="252" w:lineRule="auto"/>
            </w:pPr>
            <w:r>
              <w:rPr>
                <w:rFonts w:ascii="Arial" w:hAnsi="Arial"/>
                <w:sz w:val="17"/>
              </w:rPr>
              <w:t>#056B49</w:t>
            </w:r>
          </w:p>
        </w:tc>
      </w:tr>
      <w:tr>
        <w:tc>
          <w:tcPr>
            <w:tcW w:type="dxa" w:w="1987"/>
            <w:tcMar>
              <w:top w:w="110" w:type="dxa"/>
              <w:start w:w="110" w:type="dxa"/>
              <w:bottom w:w="110" w:type="dxa"/>
              <w:end w:w="110" w:type="dxa"/>
            </w:tcMar>
            <w:vAlign w:val="center"/>
            <w:shd w:fill="EFF5FF"/>
          </w:tcPr>
          <w:p>
            <w:pPr>
              <w:spacing w:after="0" w:line="252" w:lineRule="auto"/>
            </w:pPr>
            <w:r>
              <w:rPr>
                <w:rFonts w:ascii="Arial" w:hAnsi="Arial"/>
                <w:sz w:val="17"/>
              </w:rPr>
              <w:t>Informational processing</w:t>
            </w:r>
          </w:p>
        </w:tc>
        <w:tc>
          <w:tcPr>
            <w:tcW w:type="dxa" w:w="1987"/>
            <w:tcMar>
              <w:top w:w="110" w:type="dxa"/>
              <w:start w:w="110" w:type="dxa"/>
              <w:bottom w:w="110" w:type="dxa"/>
              <w:end w:w="110" w:type="dxa"/>
            </w:tcMar>
            <w:vAlign w:val="center"/>
            <w:shd w:fill="EFF5FF"/>
          </w:tcPr>
          <w:p>
            <w:pPr>
              <w:spacing w:after="0" w:line="252" w:lineRule="auto"/>
            </w:pPr>
            <w:r>
              <w:rPr>
                <w:rFonts w:ascii="Arial" w:hAnsi="Arial"/>
                <w:sz w:val="17"/>
              </w:rPr>
              <w:t>#155FCC</w:t>
            </w:r>
          </w:p>
        </w:tc>
        <w:tc>
          <w:tcPr>
            <w:tcW w:type="dxa" w:w="1987"/>
            <w:tcMar>
              <w:top w:w="110" w:type="dxa"/>
              <w:start w:w="110" w:type="dxa"/>
              <w:bottom w:w="110" w:type="dxa"/>
              <w:end w:w="110" w:type="dxa"/>
            </w:tcMar>
            <w:vAlign w:val="center"/>
            <w:shd w:fill="EFF5FF"/>
          </w:tcPr>
          <w:p>
            <w:pPr>
              <w:spacing w:after="0" w:line="252" w:lineRule="auto"/>
            </w:pPr>
            <w:r>
              <w:rPr>
                <w:rFonts w:ascii="Arial" w:hAnsi="Arial"/>
                <w:sz w:val="17"/>
              </w:rPr>
              <w:t>#EFF5FF</w:t>
            </w:r>
          </w:p>
        </w:tc>
        <w:tc>
          <w:tcPr>
            <w:tcW w:type="dxa" w:w="1987"/>
            <w:tcMar>
              <w:top w:w="110" w:type="dxa"/>
              <w:start w:w="110" w:type="dxa"/>
              <w:bottom w:w="110" w:type="dxa"/>
              <w:end w:w="110" w:type="dxa"/>
            </w:tcMar>
            <w:vAlign w:val="center"/>
            <w:shd w:fill="EFF5FF"/>
          </w:tcPr>
          <w:p>
            <w:pPr>
              <w:spacing w:after="0" w:line="252" w:lineRule="auto"/>
            </w:pPr>
            <w:r>
              <w:rPr>
                <w:rFonts w:ascii="Arial" w:hAnsi="Arial"/>
                <w:sz w:val="17"/>
              </w:rPr>
              <w:t>#AFCDF7</w:t>
            </w:r>
          </w:p>
        </w:tc>
        <w:tc>
          <w:tcPr>
            <w:tcW w:type="dxa" w:w="1987"/>
            <w:tcMar>
              <w:top w:w="110" w:type="dxa"/>
              <w:start w:w="110" w:type="dxa"/>
              <w:bottom w:w="110" w:type="dxa"/>
              <w:end w:w="110" w:type="dxa"/>
            </w:tcMar>
            <w:vAlign w:val="center"/>
            <w:shd w:fill="EFF5FF"/>
          </w:tcPr>
          <w:p>
            <w:pPr>
              <w:spacing w:after="0" w:line="252" w:lineRule="auto"/>
            </w:pPr>
            <w:r>
              <w:rPr>
                <w:rFonts w:ascii="Arial" w:hAnsi="Arial"/>
                <w:sz w:val="17"/>
              </w:rPr>
              <w:t>#124FA9</w:t>
            </w:r>
          </w:p>
        </w:tc>
      </w:tr>
      <w:tr>
        <w:tc>
          <w:tcPr>
            <w:tcW w:type="dxa" w:w="1987"/>
            <w:tcMar>
              <w:top w:w="110" w:type="dxa"/>
              <w:start w:w="110" w:type="dxa"/>
              <w:bottom w:w="110" w:type="dxa"/>
              <w:end w:w="110" w:type="dxa"/>
            </w:tcMar>
            <w:vAlign w:val="center"/>
            <w:shd w:fill="FFFFFF"/>
          </w:tcPr>
          <w:p>
            <w:pPr>
              <w:spacing w:after="0" w:line="252" w:lineRule="auto"/>
            </w:pPr>
            <w:r>
              <w:rPr>
                <w:rFonts w:ascii="Arial" w:hAnsi="Arial"/>
                <w:sz w:val="17"/>
              </w:rPr>
              <w:t>Pending expiring warning</w:t>
            </w:r>
          </w:p>
        </w:tc>
        <w:tc>
          <w:tcPr>
            <w:tcW w:type="dxa" w:w="1987"/>
            <w:tcMar>
              <w:top w:w="110" w:type="dxa"/>
              <w:start w:w="110" w:type="dxa"/>
              <w:bottom w:w="110" w:type="dxa"/>
              <w:end w:w="110" w:type="dxa"/>
            </w:tcMar>
            <w:vAlign w:val="center"/>
            <w:shd w:fill="FFFFFF"/>
          </w:tcPr>
          <w:p>
            <w:pPr>
              <w:spacing w:after="0" w:line="252" w:lineRule="auto"/>
            </w:pPr>
            <w:r>
              <w:rPr>
                <w:rFonts w:ascii="Arial" w:hAnsi="Arial"/>
                <w:sz w:val="17"/>
              </w:rPr>
              <w:t>#B77800</w:t>
            </w:r>
          </w:p>
        </w:tc>
        <w:tc>
          <w:tcPr>
            <w:tcW w:type="dxa" w:w="1987"/>
            <w:tcMar>
              <w:top w:w="110" w:type="dxa"/>
              <w:start w:w="110" w:type="dxa"/>
              <w:bottom w:w="110" w:type="dxa"/>
              <w:end w:w="110" w:type="dxa"/>
            </w:tcMar>
            <w:vAlign w:val="center"/>
            <w:shd w:fill="FFFFFF"/>
          </w:tcPr>
          <w:p>
            <w:pPr>
              <w:spacing w:after="0" w:line="252" w:lineRule="auto"/>
            </w:pPr>
            <w:r>
              <w:rPr>
                <w:rFonts w:ascii="Arial" w:hAnsi="Arial"/>
                <w:sz w:val="17"/>
              </w:rPr>
              <w:t>#FFF6DD</w:t>
            </w:r>
          </w:p>
        </w:tc>
        <w:tc>
          <w:tcPr>
            <w:tcW w:type="dxa" w:w="1987"/>
            <w:tcMar>
              <w:top w:w="110" w:type="dxa"/>
              <w:start w:w="110" w:type="dxa"/>
              <w:bottom w:w="110" w:type="dxa"/>
              <w:end w:w="110" w:type="dxa"/>
            </w:tcMar>
            <w:vAlign w:val="center"/>
            <w:shd w:fill="FFFFFF"/>
          </w:tcPr>
          <w:p>
            <w:pPr>
              <w:spacing w:after="0" w:line="252" w:lineRule="auto"/>
            </w:pPr>
            <w:r>
              <w:rPr>
                <w:rFonts w:ascii="Arial" w:hAnsi="Arial"/>
                <w:sz w:val="17"/>
              </w:rPr>
              <w:t>#EAC66F</w:t>
            </w:r>
          </w:p>
        </w:tc>
        <w:tc>
          <w:tcPr>
            <w:tcW w:type="dxa" w:w="1987"/>
            <w:tcMar>
              <w:top w:w="110" w:type="dxa"/>
              <w:start w:w="110" w:type="dxa"/>
              <w:bottom w:w="110" w:type="dxa"/>
              <w:end w:w="110" w:type="dxa"/>
            </w:tcMar>
            <w:vAlign w:val="center"/>
            <w:shd w:fill="FFFFFF"/>
          </w:tcPr>
          <w:p>
            <w:pPr>
              <w:spacing w:after="0" w:line="252" w:lineRule="auto"/>
            </w:pPr>
            <w:r>
              <w:rPr>
                <w:rFonts w:ascii="Arial" w:hAnsi="Arial"/>
                <w:sz w:val="17"/>
              </w:rPr>
              <w:t>#764B00</w:t>
            </w:r>
          </w:p>
        </w:tc>
      </w:tr>
      <w:tr>
        <w:tc>
          <w:tcPr>
            <w:tcW w:type="dxa" w:w="1987"/>
            <w:tcMar>
              <w:top w:w="110" w:type="dxa"/>
              <w:start w:w="110" w:type="dxa"/>
              <w:bottom w:w="110" w:type="dxa"/>
              <w:end w:w="110" w:type="dxa"/>
            </w:tcMar>
            <w:vAlign w:val="center"/>
            <w:shd w:fill="EFF5FF"/>
          </w:tcPr>
          <w:p>
            <w:pPr>
              <w:spacing w:after="0" w:line="252" w:lineRule="auto"/>
            </w:pPr>
            <w:r>
              <w:rPr>
                <w:rFonts w:ascii="Arial" w:hAnsi="Arial"/>
                <w:sz w:val="17"/>
              </w:rPr>
              <w:t>Failed destructive critical</w:t>
            </w:r>
          </w:p>
        </w:tc>
        <w:tc>
          <w:tcPr>
            <w:tcW w:type="dxa" w:w="1987"/>
            <w:tcMar>
              <w:top w:w="110" w:type="dxa"/>
              <w:start w:w="110" w:type="dxa"/>
              <w:bottom w:w="110" w:type="dxa"/>
              <w:end w:w="110" w:type="dxa"/>
            </w:tcMar>
            <w:vAlign w:val="center"/>
            <w:shd w:fill="EFF5FF"/>
          </w:tcPr>
          <w:p>
            <w:pPr>
              <w:spacing w:after="0" w:line="252" w:lineRule="auto"/>
            </w:pPr>
            <w:r>
              <w:rPr>
                <w:rFonts w:ascii="Arial" w:hAnsi="Arial"/>
                <w:sz w:val="17"/>
              </w:rPr>
              <w:t>#C9363E</w:t>
            </w:r>
          </w:p>
        </w:tc>
        <w:tc>
          <w:tcPr>
            <w:tcW w:type="dxa" w:w="1987"/>
            <w:tcMar>
              <w:top w:w="110" w:type="dxa"/>
              <w:start w:w="110" w:type="dxa"/>
              <w:bottom w:w="110" w:type="dxa"/>
              <w:end w:w="110" w:type="dxa"/>
            </w:tcMar>
            <w:vAlign w:val="center"/>
            <w:shd w:fill="EFF5FF"/>
          </w:tcPr>
          <w:p>
            <w:pPr>
              <w:spacing w:after="0" w:line="252" w:lineRule="auto"/>
            </w:pPr>
            <w:r>
              <w:rPr>
                <w:rFonts w:ascii="Arial" w:hAnsi="Arial"/>
                <w:sz w:val="17"/>
              </w:rPr>
              <w:t>#FDEDEF</w:t>
            </w:r>
          </w:p>
        </w:tc>
        <w:tc>
          <w:tcPr>
            <w:tcW w:type="dxa" w:w="1987"/>
            <w:tcMar>
              <w:top w:w="110" w:type="dxa"/>
              <w:start w:w="110" w:type="dxa"/>
              <w:bottom w:w="110" w:type="dxa"/>
              <w:end w:w="110" w:type="dxa"/>
            </w:tcMar>
            <w:vAlign w:val="center"/>
            <w:shd w:fill="EFF5FF"/>
          </w:tcPr>
          <w:p>
            <w:pPr>
              <w:spacing w:after="0" w:line="252" w:lineRule="auto"/>
            </w:pPr>
            <w:r>
              <w:rPr>
                <w:rFonts w:ascii="Arial" w:hAnsi="Arial"/>
                <w:sz w:val="17"/>
              </w:rPr>
              <w:t>#E8A9AE</w:t>
            </w:r>
          </w:p>
        </w:tc>
        <w:tc>
          <w:tcPr>
            <w:tcW w:type="dxa" w:w="1987"/>
            <w:tcMar>
              <w:top w:w="110" w:type="dxa"/>
              <w:start w:w="110" w:type="dxa"/>
              <w:bottom w:w="110" w:type="dxa"/>
              <w:end w:w="110" w:type="dxa"/>
            </w:tcMar>
            <w:vAlign w:val="center"/>
            <w:shd w:fill="EFF5FF"/>
          </w:tcPr>
          <w:p>
            <w:pPr>
              <w:spacing w:after="0" w:line="252" w:lineRule="auto"/>
            </w:pPr>
            <w:r>
              <w:rPr>
                <w:rFonts w:ascii="Arial" w:hAnsi="Arial"/>
                <w:sz w:val="17"/>
              </w:rPr>
              <w:t>#98272E</w:t>
            </w:r>
          </w:p>
        </w:tc>
      </w:tr>
      <w:tr>
        <w:tc>
          <w:tcPr>
            <w:tcW w:type="dxa" w:w="1987"/>
            <w:tcMar>
              <w:top w:w="110" w:type="dxa"/>
              <w:start w:w="110" w:type="dxa"/>
              <w:bottom w:w="110" w:type="dxa"/>
              <w:end w:w="110" w:type="dxa"/>
            </w:tcMar>
            <w:vAlign w:val="center"/>
            <w:shd w:fill="FFFFFF"/>
          </w:tcPr>
          <w:p>
            <w:pPr>
              <w:spacing w:after="0" w:line="252" w:lineRule="auto"/>
            </w:pPr>
            <w:r>
              <w:rPr>
                <w:rFonts w:ascii="Arial" w:hAnsi="Arial"/>
                <w:sz w:val="17"/>
              </w:rPr>
              <w:t>Draft inactive neutral</w:t>
            </w:r>
          </w:p>
        </w:tc>
        <w:tc>
          <w:tcPr>
            <w:tcW w:type="dxa" w:w="1987"/>
            <w:tcMar>
              <w:top w:w="110" w:type="dxa"/>
              <w:start w:w="110" w:type="dxa"/>
              <w:bottom w:w="110" w:type="dxa"/>
              <w:end w:w="110" w:type="dxa"/>
            </w:tcMar>
            <w:vAlign w:val="center"/>
            <w:shd w:fill="FFFFFF"/>
          </w:tcPr>
          <w:p>
            <w:pPr>
              <w:spacing w:after="0" w:line="252" w:lineRule="auto"/>
            </w:pPr>
            <w:r>
              <w:rPr>
                <w:rFonts w:ascii="Arial" w:hAnsi="Arial"/>
                <w:sz w:val="17"/>
              </w:rPr>
              <w:t>#566776</w:t>
            </w:r>
          </w:p>
        </w:tc>
        <w:tc>
          <w:tcPr>
            <w:tcW w:type="dxa" w:w="1987"/>
            <w:tcMar>
              <w:top w:w="110" w:type="dxa"/>
              <w:start w:w="110" w:type="dxa"/>
              <w:bottom w:w="110" w:type="dxa"/>
              <w:end w:w="110" w:type="dxa"/>
            </w:tcMar>
            <w:vAlign w:val="center"/>
            <w:shd w:fill="FFFFFF"/>
          </w:tcPr>
          <w:p>
            <w:pPr>
              <w:spacing w:after="0" w:line="252" w:lineRule="auto"/>
            </w:pPr>
            <w:r>
              <w:rPr>
                <w:rFonts w:ascii="Arial" w:hAnsi="Arial"/>
                <w:sz w:val="17"/>
              </w:rPr>
              <w:t>#F1F4F6</w:t>
            </w:r>
          </w:p>
        </w:tc>
        <w:tc>
          <w:tcPr>
            <w:tcW w:type="dxa" w:w="1987"/>
            <w:tcMar>
              <w:top w:w="110" w:type="dxa"/>
              <w:start w:w="110" w:type="dxa"/>
              <w:bottom w:w="110" w:type="dxa"/>
              <w:end w:w="110" w:type="dxa"/>
            </w:tcMar>
            <w:vAlign w:val="center"/>
            <w:shd w:fill="FFFFFF"/>
          </w:tcPr>
          <w:p>
            <w:pPr>
              <w:spacing w:after="0" w:line="252" w:lineRule="auto"/>
            </w:pPr>
            <w:r>
              <w:rPr>
                <w:rFonts w:ascii="Arial" w:hAnsi="Arial"/>
                <w:sz w:val="17"/>
              </w:rPr>
              <w:t>#CDD5DC</w:t>
            </w:r>
          </w:p>
        </w:tc>
        <w:tc>
          <w:tcPr>
            <w:tcW w:type="dxa" w:w="1987"/>
            <w:tcMar>
              <w:top w:w="110" w:type="dxa"/>
              <w:start w:w="110" w:type="dxa"/>
              <w:bottom w:w="110" w:type="dxa"/>
              <w:end w:w="110" w:type="dxa"/>
            </w:tcMar>
            <w:vAlign w:val="center"/>
            <w:shd w:fill="FFFFFF"/>
          </w:tcPr>
          <w:p>
            <w:pPr>
              <w:spacing w:after="0" w:line="252" w:lineRule="auto"/>
            </w:pPr>
            <w:r>
              <w:rPr>
                <w:rFonts w:ascii="Arial" w:hAnsi="Arial"/>
                <w:sz w:val="17"/>
              </w:rPr>
              <w:t>#344454</w:t>
            </w:r>
          </w:p>
        </w:tc>
      </w:tr>
    </w:tbl>
    <w:p>
      <w:pPr>
        <w:widowControl/>
        <w:spacing w:after="20"/>
      </w:pPr>
    </w:p>
    <w:p>
      <w:pPr>
        <w:widowControl/>
      </w:pPr>
      <w:r>
        <w:rPr>
          <w:b w:val="0"/>
        </w:rPr>
        <w:t>Status always includes icon, explicit label and relevant time or reason. Green never means “click.” Blue never means “paid.” Brass never replaces warning yellow. Red is never decorative.</w:t>
      </w:r>
    </w:p>
    <w:p>
      <w:pPr>
        <w:pStyle w:val="Heading3"/>
        <w:widowControl/>
      </w:pPr>
      <w:r>
        <w:t>4.4 Cameroon identity colors</w:t>
      </w:r>
    </w:p>
    <w:p>
      <w:pPr>
        <w:widowControl/>
      </w:pPr>
      <w:r>
        <w:rPr>
          <w:b w:val="0"/>
        </w:rPr>
        <w:t>The identity thread uses Cameroon green #07855B, Cameroon red #C9363E and Heritage Brass #D5A13C. These colors must not be used as three adjacent actions, chart categories or competing page blocks. Their combined presence is limited to approximately 3 percent of the visible interface.</w:t>
      </w:r>
    </w:p>
    <w:p>
      <w:pPr>
        <w:pStyle w:val="Heading3"/>
        <w:widowControl/>
      </w:pPr>
      <w:r>
        <w:t>4.5 Chart palette</w:t>
      </w:r>
    </w:p>
    <w:p>
      <w:pPr>
        <w:widowControl/>
      </w:pPr>
      <w:r>
        <w:rPr>
          <w:b w:val="0"/>
        </w:rPr>
        <w:t>Use in order: Insurance Blue #155FCC, Emerald #07855B, Royal Violet #7655C8, Heritage Brass #D5A13C, Atlantic Cyan #14758A, Red #C9363E and Slate #566776. Every series also needs a label, shape, line style or direct value. Red and green alone may not distinguish categories.</w:t>
      </w:r>
    </w:p>
    <w:p>
      <w:pPr>
        <w:pStyle w:val="Heading1"/>
        <w:widowControl/>
      </w:pPr>
      <w:r>
        <w:t>5 Typography system</w:t>
      </w:r>
    </w:p>
    <w:p>
      <w:pPr>
        <w:pStyle w:val="Heading3"/>
        <w:widowControl/>
      </w:pPr>
      <w:r>
        <w:t>5.1 Font families</w:t>
      </w:r>
    </w:p>
    <w:p>
      <w:pPr>
        <w:widowControl/>
      </w:pPr>
      <w:r>
        <w:rPr>
          <w:b w:val="0"/>
        </w:rPr>
        <w:t xml:space="preserve">Use </w:t>
      </w:r>
      <w:r>
        <w:rPr>
          <w:b/>
        </w:rPr>
        <w:t>Manrope Variable</w:t>
      </w:r>
      <w:r>
        <w:rPr>
          <w:b w:val="0"/>
        </w:rPr>
        <w:t xml:space="preserve"> for display headings, section headings, major financial figures and executive dashboard titles. Use </w:t>
      </w:r>
      <w:r>
        <w:rPr>
          <w:b/>
        </w:rPr>
        <w:t>Inter Variable</w:t>
      </w:r>
      <w:r>
        <w:rPr>
          <w:b w:val="0"/>
        </w:rPr>
        <w:t xml:space="preserve"> for body copy, controls, tables, forms, metadata and dense operational information.</w:t>
      </w:r>
    </w:p>
    <w:p>
      <w:pPr>
        <w:widowControl/>
      </w:pPr>
      <w:r>
        <w:rPr>
          <w:b w:val="0"/>
        </w:rPr>
        <w:t>Load locally as WOFF2 with `font-display: swap`. Do not call external font services in production. The fallback stack is system UI, Segoe UI, Roboto, Arial and sans-serif.</w:t>
      </w:r>
    </w:p>
    <w:p>
      <w:pPr>
        <w:widowControl/>
      </w:pPr>
      <w:r>
        <w:rPr>
          <w:b w:val="0"/>
        </w:rPr>
        <w:t>Two font families are the maximum. Decorative, serif, condensed and handwritten fonts are prohibited in the application interface.</w:t>
      </w:r>
    </w:p>
    <w:p>
      <w:pPr>
        <w:pStyle w:val="Heading3"/>
        <w:widowControl/>
      </w:pPr>
      <w:r>
        <w:t>5.2 Type scale</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1656"/>
        <w:gridCol w:w="1656"/>
        <w:gridCol w:w="1656"/>
        <w:gridCol w:w="1656"/>
        <w:gridCol w:w="1656"/>
      </w:tblGrid>
      <w:tr>
        <w:trPr>
          <w:tblHeader w:val="true"/>
        </w:trPr>
        <w:tc>
          <w:tcPr>
            <w:tcW w:type="dxa" w:w="1656"/>
            <w:tcMar>
              <w:top w:w="110" w:type="dxa"/>
              <w:start w:w="110" w:type="dxa"/>
              <w:bottom w:w="110" w:type="dxa"/>
              <w:end w:w="110" w:type="dxa"/>
            </w:tcMar>
            <w:vAlign w:val="center"/>
            <w:shd w:fill="071A2B"/>
          </w:tcPr>
          <w:p>
            <w:pPr>
              <w:spacing w:after="0" w:line="252" w:lineRule="auto"/>
            </w:pPr>
            <w:r>
              <w:rPr>
                <w:rFonts w:ascii="Arial" w:hAnsi="Arial"/>
                <w:b/>
                <w:color w:val="FFFFFF"/>
                <w:sz w:val="17"/>
              </w:rPr>
              <w:t>Role</w:t>
            </w:r>
          </w:p>
        </w:tc>
        <w:tc>
          <w:tcPr>
            <w:tcW w:type="dxa" w:w="1656"/>
            <w:tcMar>
              <w:top w:w="110" w:type="dxa"/>
              <w:start w:w="110" w:type="dxa"/>
              <w:bottom w:w="110" w:type="dxa"/>
              <w:end w:w="110" w:type="dxa"/>
            </w:tcMar>
            <w:vAlign w:val="center"/>
            <w:shd w:fill="071A2B"/>
          </w:tcPr>
          <w:p>
            <w:pPr>
              <w:spacing w:after="0" w:line="252" w:lineRule="auto"/>
            </w:pPr>
            <w:r>
              <w:rPr>
                <w:rFonts w:ascii="Arial" w:hAnsi="Arial"/>
                <w:b/>
                <w:color w:val="FFFFFF"/>
                <w:sz w:val="17"/>
              </w:rPr>
              <w:t>Mobile</w:t>
            </w:r>
          </w:p>
        </w:tc>
        <w:tc>
          <w:tcPr>
            <w:tcW w:type="dxa" w:w="1656"/>
            <w:tcMar>
              <w:top w:w="110" w:type="dxa"/>
              <w:start w:w="110" w:type="dxa"/>
              <w:bottom w:w="110" w:type="dxa"/>
              <w:end w:w="110" w:type="dxa"/>
            </w:tcMar>
            <w:vAlign w:val="center"/>
            <w:shd w:fill="071A2B"/>
          </w:tcPr>
          <w:p>
            <w:pPr>
              <w:spacing w:after="0" w:line="252" w:lineRule="auto"/>
            </w:pPr>
            <w:r>
              <w:rPr>
                <w:rFonts w:ascii="Arial" w:hAnsi="Arial"/>
                <w:b/>
                <w:color w:val="FFFFFF"/>
                <w:sz w:val="17"/>
              </w:rPr>
              <w:t>Desktop</w:t>
            </w:r>
          </w:p>
        </w:tc>
        <w:tc>
          <w:tcPr>
            <w:tcW w:type="dxa" w:w="1656"/>
            <w:tcMar>
              <w:top w:w="110" w:type="dxa"/>
              <w:start w:w="110" w:type="dxa"/>
              <w:bottom w:w="110" w:type="dxa"/>
              <w:end w:w="110" w:type="dxa"/>
            </w:tcMar>
            <w:vAlign w:val="center"/>
            <w:shd w:fill="071A2B"/>
          </w:tcPr>
          <w:p>
            <w:pPr>
              <w:spacing w:after="0" w:line="252" w:lineRule="auto"/>
            </w:pPr>
            <w:r>
              <w:rPr>
                <w:rFonts w:ascii="Arial" w:hAnsi="Arial"/>
                <w:b/>
                <w:color w:val="FFFFFF"/>
                <w:sz w:val="17"/>
              </w:rPr>
              <w:t>Weight</w:t>
            </w:r>
          </w:p>
        </w:tc>
        <w:tc>
          <w:tcPr>
            <w:tcW w:type="dxa" w:w="1656"/>
            <w:tcMar>
              <w:top w:w="110" w:type="dxa"/>
              <w:start w:w="110" w:type="dxa"/>
              <w:bottom w:w="110" w:type="dxa"/>
              <w:end w:w="110" w:type="dxa"/>
            </w:tcMar>
            <w:vAlign w:val="center"/>
            <w:shd w:fill="071A2B"/>
          </w:tcPr>
          <w:p>
            <w:pPr>
              <w:spacing w:after="0" w:line="252" w:lineRule="auto"/>
            </w:pPr>
            <w:r>
              <w:rPr>
                <w:rFonts w:ascii="Arial" w:hAnsi="Arial"/>
                <w:b/>
                <w:color w:val="FFFFFF"/>
                <w:sz w:val="17"/>
              </w:rPr>
              <w:t>Line height</w:t>
            </w:r>
          </w:p>
        </w:tc>
        <w:tc>
          <w:tcPr>
            <w:tcW w:type="dxa" w:w="1656"/>
            <w:tcMar>
              <w:top w:w="110" w:type="dxa"/>
              <w:start w:w="110" w:type="dxa"/>
              <w:bottom w:w="110" w:type="dxa"/>
              <w:end w:w="110" w:type="dxa"/>
            </w:tcMar>
            <w:vAlign w:val="center"/>
            <w:shd w:fill="071A2B"/>
          </w:tcPr>
          <w:p>
            <w:pPr>
              <w:spacing w:after="0" w:line="252" w:lineRule="auto"/>
            </w:pPr>
            <w:r>
              <w:rPr>
                <w:rFonts w:ascii="Arial" w:hAnsi="Arial"/>
                <w:b/>
                <w:color w:val="FFFFFF"/>
                <w:sz w:val="17"/>
              </w:rPr>
              <w:t>Font</w:t>
            </w:r>
          </w:p>
        </w:tc>
      </w:tr>
      <w:tr>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Executive display</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34 px</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48 px</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650</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1.08</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Manrope</w:t>
            </w:r>
          </w:p>
        </w:tc>
      </w:tr>
      <w:tr>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Page title</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27 px</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32 px</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650</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1.18</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Manrope</w:t>
            </w:r>
          </w:p>
        </w:tc>
      </w:tr>
      <w:tr>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Section title</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21 px</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24 px</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650</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1.24</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Manrope</w:t>
            </w:r>
          </w:p>
        </w:tc>
      </w:tr>
      <w:tr>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Card title</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17 px</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18 px</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650</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1.32</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Manrope</w:t>
            </w:r>
          </w:p>
        </w:tc>
      </w:tr>
      <w:tr>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Hero financial value</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32 px</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38 px</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650</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1.10</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Manrope</w:t>
            </w:r>
          </w:p>
        </w:tc>
      </w:tr>
      <w:tr>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KPI value</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25 px</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30 px</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650</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1.15</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Manrope</w:t>
            </w:r>
          </w:p>
        </w:tc>
      </w:tr>
      <w:tr>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Body large</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17 px</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17 px</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450</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1.55</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Inter</w:t>
            </w:r>
          </w:p>
        </w:tc>
      </w:tr>
      <w:tr>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Body standard</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16 px</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16 px</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400</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1.50</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Inter</w:t>
            </w:r>
          </w:p>
        </w:tc>
      </w:tr>
      <w:tr>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Dense ERP body</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15 px</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14 px</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400</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1.45</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Inter</w:t>
            </w:r>
          </w:p>
        </w:tc>
      </w:tr>
      <w:tr>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Label and button</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14 px</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14 px</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600</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1.35</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Inter</w:t>
            </w:r>
          </w:p>
        </w:tc>
      </w:tr>
      <w:tr>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Supporting metadata</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13 px</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13 px</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500</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1.40</w:t>
            </w:r>
          </w:p>
        </w:tc>
        <w:tc>
          <w:tcPr>
            <w:tcW w:type="dxa" w:w="1656"/>
            <w:tcMar>
              <w:top w:w="110" w:type="dxa"/>
              <w:start w:w="110" w:type="dxa"/>
              <w:bottom w:w="110" w:type="dxa"/>
              <w:end w:w="110" w:type="dxa"/>
            </w:tcMar>
            <w:vAlign w:val="center"/>
            <w:shd w:fill="FFFFFF"/>
          </w:tcPr>
          <w:p>
            <w:pPr>
              <w:spacing w:after="0" w:line="252" w:lineRule="auto"/>
            </w:pPr>
            <w:r>
              <w:rPr>
                <w:rFonts w:ascii="Arial" w:hAnsi="Arial"/>
                <w:sz w:val="17"/>
              </w:rPr>
              <w:t>Inter</w:t>
            </w:r>
          </w:p>
        </w:tc>
      </w:tr>
      <w:tr>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Badge and eyebrow</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12 px</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12 px</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650</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1.30</w:t>
            </w:r>
          </w:p>
        </w:tc>
        <w:tc>
          <w:tcPr>
            <w:tcW w:type="dxa" w:w="1656"/>
            <w:tcMar>
              <w:top w:w="110" w:type="dxa"/>
              <w:start w:w="110" w:type="dxa"/>
              <w:bottom w:w="110" w:type="dxa"/>
              <w:end w:w="110" w:type="dxa"/>
            </w:tcMar>
            <w:vAlign w:val="center"/>
            <w:shd w:fill="EFF5FF"/>
          </w:tcPr>
          <w:p>
            <w:pPr>
              <w:spacing w:after="0" w:line="252" w:lineRule="auto"/>
            </w:pPr>
            <w:r>
              <w:rPr>
                <w:rFonts w:ascii="Arial" w:hAnsi="Arial"/>
                <w:sz w:val="17"/>
              </w:rPr>
              <w:t>Inter</w:t>
            </w:r>
          </w:p>
        </w:tc>
      </w:tr>
    </w:tbl>
    <w:p>
      <w:pPr>
        <w:widowControl/>
        <w:spacing w:after="20"/>
      </w:pPr>
    </w:p>
    <w:p>
      <w:pPr>
        <w:widowControl/>
      </w:pPr>
      <w:r>
        <w:rPr>
          <w:b w:val="0"/>
        </w:rPr>
        <w:t>Inputs remain at least 16 px on phones. No meaningful mobile text may be smaller than 12 px. Use tabular numerals for money, policy numbers, references, dates, percentages and OTPs.</w:t>
      </w:r>
    </w:p>
    <w:p>
      <w:pPr>
        <w:pStyle w:val="Heading3"/>
        <w:widowControl/>
      </w:pPr>
      <w:r>
        <w:t>5.3 Typography behavior</w:t>
      </w:r>
    </w:p>
    <w:p>
      <w:pPr>
        <w:pStyle w:val="ListBullet"/>
        <w:widowControl/>
      </w:pPr>
      <w:r>
        <w:rPr>
          <w:b w:val="0"/>
        </w:rPr>
        <w:t>Use sentence case throughout.</w:t>
      </w:r>
    </w:p>
    <w:p>
      <w:pPr>
        <w:pStyle w:val="ListBullet"/>
        <w:widowControl/>
      </w:pPr>
      <w:r>
        <w:rPr>
          <w:b w:val="0"/>
        </w:rPr>
        <w:t>All caps are limited to short 12 px eyebrow labels.</w:t>
      </w:r>
    </w:p>
    <w:p>
      <w:pPr>
        <w:pStyle w:val="ListBullet"/>
        <w:widowControl/>
      </w:pPr>
      <w:r>
        <w:rPr>
          <w:b w:val="0"/>
        </w:rPr>
        <w:t>Do not make every heading bold; hierarchy comes from size, spacing and position.</w:t>
      </w:r>
    </w:p>
    <w:p>
      <w:pPr>
        <w:pStyle w:val="ListBullet"/>
        <w:widowControl/>
      </w:pPr>
      <w:r>
        <w:rPr>
          <w:b w:val="0"/>
        </w:rPr>
        <w:t>Permit headings to wrap to two lines.</w:t>
      </w:r>
    </w:p>
    <w:p>
      <w:pPr>
        <w:pStyle w:val="ListBullet"/>
        <w:widowControl/>
      </w:pPr>
      <w:r>
        <w:rPr>
          <w:b w:val="0"/>
        </w:rPr>
        <w:t>Give French labels 35 percent expansion space.</w:t>
      </w:r>
    </w:p>
    <w:p>
      <w:pPr>
        <w:pStyle w:val="ListBullet"/>
        <w:widowControl/>
      </w:pPr>
      <w:r>
        <w:rPr>
          <w:b w:val="0"/>
        </w:rPr>
        <w:t>Avoid centered body copy except on short empty states and verification results.</w:t>
      </w:r>
    </w:p>
    <w:p>
      <w:pPr>
        <w:pStyle w:val="ListBullet"/>
        <w:widowControl/>
      </w:pPr>
      <w:r>
        <w:rPr>
          <w:b w:val="0"/>
        </w:rPr>
        <w:t>Maximum reading measure is 72 characters on desktop and 38 to 55 on mobile.</w:t>
      </w:r>
    </w:p>
    <w:p>
      <w:pPr>
        <w:pStyle w:val="Heading1"/>
        <w:widowControl/>
      </w:pPr>
      <w:r>
        <w:t>6 Iconography and visual symbols</w:t>
      </w:r>
    </w:p>
    <w:p>
      <w:pPr>
        <w:pStyle w:val="Heading3"/>
        <w:widowControl/>
      </w:pPr>
      <w:r>
        <w:t>6.1 Functional icons</w:t>
      </w:r>
    </w:p>
    <w:p>
      <w:pPr>
        <w:widowControl/>
      </w:pPr>
      <w:r>
        <w:rPr>
          <w:b w:val="0"/>
        </w:rPr>
        <w:t>Use Lucide outline icons at 2 px stroke with round caps and joins. Use 16 px for dense inline use, 20 px for controls, 24 px for navigation and 28 to 32 px for empty states.</w:t>
      </w:r>
    </w:p>
    <w:p>
      <w:pPr>
        <w:widowControl/>
      </w:pPr>
      <w:r>
        <w:rPr>
          <w:b w:val="0"/>
        </w:rPr>
        <w:t>Icons must use current color and never contain arbitrary embedded colors. Icon-only controls require a 44 px target, accessible name and tooltip on hover-capable devices.</w:t>
      </w:r>
    </w:p>
    <w:p>
      <w:pPr>
        <w:pStyle w:val="Heading3"/>
        <w:widowControl/>
      </w:pPr>
      <w:r>
        <w:t>6.2 Custom OpesInsure insurance icons</w:t>
      </w:r>
    </w:p>
    <w:p>
      <w:pPr>
        <w:widowControl/>
      </w:pPr>
      <w:r>
        <w:rPr>
          <w:b w:val="0"/>
        </w:rPr>
        <w:t>Create a proprietary companion set only where Lucide lacks the required meaning. Required custom symbols include:</w:t>
      </w:r>
    </w:p>
    <w:p>
      <w:pPr>
        <w:pStyle w:val="ListBullet"/>
        <w:widowControl/>
      </w:pPr>
      <w:r>
        <w:rPr>
          <w:b w:val="0"/>
        </w:rPr>
        <w:t>motor third-party cover;</w:t>
      </w:r>
    </w:p>
    <w:p>
      <w:pPr>
        <w:pStyle w:val="ListBullet"/>
        <w:widowControl/>
      </w:pPr>
      <w:r>
        <w:rPr>
          <w:b w:val="0"/>
        </w:rPr>
        <w:t>comprehensive motor cover;</w:t>
      </w:r>
    </w:p>
    <w:p>
      <w:pPr>
        <w:pStyle w:val="ListBullet"/>
        <w:widowControl/>
      </w:pPr>
      <w:r>
        <w:rPr>
          <w:b w:val="0"/>
        </w:rPr>
        <w:t>physical insurance sticker;</w:t>
      </w:r>
    </w:p>
    <w:p>
      <w:pPr>
        <w:pStyle w:val="ListBullet"/>
        <w:widowControl/>
      </w:pPr>
      <w:r>
        <w:rPr>
          <w:b w:val="0"/>
        </w:rPr>
        <w:t>policy schedule;</w:t>
      </w:r>
    </w:p>
    <w:p>
      <w:pPr>
        <w:pStyle w:val="ListBullet"/>
        <w:widowControl/>
      </w:pPr>
      <w:r>
        <w:rPr>
          <w:b w:val="0"/>
        </w:rPr>
        <w:t>carrier delegated authority;</w:t>
      </w:r>
    </w:p>
    <w:p>
      <w:pPr>
        <w:pStyle w:val="ListBullet"/>
        <w:widowControl/>
      </w:pPr>
      <w:r>
        <w:rPr>
          <w:b w:val="0"/>
        </w:rPr>
        <w:t>permanent client attribution;</w:t>
      </w:r>
    </w:p>
    <w:p>
      <w:pPr>
        <w:pStyle w:val="ListBullet"/>
        <w:widowControl/>
      </w:pPr>
      <w:r>
        <w:rPr>
          <w:b w:val="0"/>
        </w:rPr>
        <w:t>fiduciary premium holding;</w:t>
      </w:r>
    </w:p>
    <w:p>
      <w:pPr>
        <w:pStyle w:val="ListBullet"/>
        <w:widowControl/>
      </w:pPr>
      <w:r>
        <w:rPr>
          <w:b w:val="0"/>
        </w:rPr>
        <w:t>commission vesting;</w:t>
      </w:r>
    </w:p>
    <w:p>
      <w:pPr>
        <w:pStyle w:val="ListBullet"/>
        <w:widowControl/>
      </w:pPr>
      <w:r>
        <w:rPr>
          <w:b w:val="0"/>
        </w:rPr>
        <w:t>bordereau;</w:t>
      </w:r>
    </w:p>
    <w:p>
      <w:pPr>
        <w:pStyle w:val="ListBullet"/>
        <w:widowControl/>
      </w:pPr>
      <w:r>
        <w:rPr>
          <w:b w:val="0"/>
        </w:rPr>
        <w:t>claims evidence custody;</w:t>
      </w:r>
    </w:p>
    <w:p>
      <w:pPr>
        <w:pStyle w:val="ListBullet"/>
        <w:widowControl/>
      </w:pPr>
      <w:r>
        <w:rPr>
          <w:b w:val="0"/>
        </w:rPr>
        <w:t>broker licence;</w:t>
      </w:r>
    </w:p>
    <w:p>
      <w:pPr>
        <w:pStyle w:val="ListBullet"/>
        <w:widowControl/>
      </w:pPr>
      <w:r>
        <w:rPr>
          <w:b w:val="0"/>
        </w:rPr>
        <w:t>CIMA tariff;</w:t>
      </w:r>
    </w:p>
    <w:p>
      <w:pPr>
        <w:pStyle w:val="ListBullet"/>
        <w:widowControl/>
      </w:pPr>
      <w:r>
        <w:rPr>
          <w:b w:val="0"/>
        </w:rPr>
        <w:t>public certificate verification.</w:t>
      </w:r>
    </w:p>
    <w:p>
      <w:pPr>
        <w:widowControl/>
      </w:pPr>
      <w:r>
        <w:rPr>
          <w:b w:val="0"/>
        </w:rPr>
        <w:t>Every custom icon uses a 24 by 24 viewBox, 2 px optical stroke, round caps, no fill by default and the same visual weight as Lucide. Each must have a semantic name and source SVG. No clip art, 3D icons, emoji or mixed icon families.</w:t>
      </w:r>
    </w:p>
    <w:p>
      <w:pPr>
        <w:pStyle w:val="Heading3"/>
        <w:widowControl/>
      </w:pPr>
      <w:r>
        <w:t>6.3 Icon containers</w:t>
      </w:r>
    </w:p>
    <w:p>
      <w:pPr>
        <w:widowControl/>
      </w:pPr>
      <w:r>
        <w:rPr>
          <w:b w:val="0"/>
        </w:rPr>
        <w:t>Functional icon containers are 36 or 40 px with a 10 px radius and a soft neutral or semantic tint. Large colored circles behind every icon are prohibited. Executive proof marks may use a 44 px brass-edged medallion, but never more than one per panel.</w:t>
      </w:r>
    </w:p>
    <w:p>
      <w:pPr>
        <w:pStyle w:val="Heading1"/>
        <w:widowControl/>
      </w:pPr>
      <w:r>
        <w:t>7 Heritage language</w:t>
      </w:r>
    </w:p>
    <w:p>
      <w:pPr>
        <w:pStyle w:val="Heading3"/>
        <w:widowControl/>
      </w:pPr>
      <w:r>
        <w:t>7.1 Cultural principle</w:t>
      </w:r>
    </w:p>
    <w:p>
      <w:pPr>
        <w:widowControl/>
      </w:pPr>
      <w:r>
        <w:rPr>
          <w:b w:val="0"/>
        </w:rPr>
        <w:t>Heritage must communicate continuity, collective protection, craftsmanship and place. It must not become a costume placed over generic software.</w:t>
      </w:r>
    </w:p>
    <w:p>
      <w:pPr>
        <w:pStyle w:val="Heading3"/>
        <w:widowControl/>
      </w:pPr>
      <w:r>
        <w:t>7.2 Approved motifs</w:t>
      </w:r>
    </w:p>
    <w:p>
      <w:pPr>
        <w:widowControl/>
        <w:ind w:left="331" w:hanging="331"/>
      </w:pPr>
      <w:r>
        <w:rPr>
          <w:b/>
        </w:rPr>
        <w:t xml:space="preserve">1. </w:t>
      </w:r>
      <w:r>
        <w:rPr>
          <w:b w:val="0"/>
        </w:rPr>
        <w:t>Woven Protection Field: interlocking diamonds and stepped lines.</w:t>
      </w:r>
    </w:p>
    <w:p>
      <w:pPr>
        <w:widowControl/>
        <w:ind w:left="331" w:hanging="331"/>
      </w:pPr>
      <w:r>
        <w:rPr>
          <w:b/>
        </w:rPr>
        <w:t xml:space="preserve">2. </w:t>
      </w:r>
      <w:r>
        <w:rPr>
          <w:b w:val="0"/>
        </w:rPr>
        <w:t>Community Link: connected nodes forming a subtle protective chain.</w:t>
      </w:r>
    </w:p>
    <w:p>
      <w:pPr>
        <w:widowControl/>
        <w:ind w:left="331" w:hanging="331"/>
      </w:pPr>
      <w:r>
        <w:rPr>
          <w:b/>
        </w:rPr>
        <w:t xml:space="preserve">3. </w:t>
      </w:r>
      <w:r>
        <w:rPr>
          <w:b w:val="0"/>
        </w:rPr>
        <w:t>Assurance Shield Negative Space: shield form created by surrounding geometry rather than a literal badge.</w:t>
      </w:r>
    </w:p>
    <w:p>
      <w:pPr>
        <w:widowControl/>
        <w:ind w:left="331" w:hanging="331"/>
      </w:pPr>
      <w:r>
        <w:rPr>
          <w:b/>
        </w:rPr>
        <w:t xml:space="preserve">4. </w:t>
      </w:r>
      <w:r>
        <w:rPr>
          <w:b w:val="0"/>
        </w:rPr>
        <w:t>River Line: a controlled flowing line used in onboarding or journey transitions.</w:t>
      </w:r>
    </w:p>
    <w:p>
      <w:pPr>
        <w:widowControl/>
        <w:ind w:left="331" w:hanging="331"/>
      </w:pPr>
      <w:r>
        <w:rPr>
          <w:b/>
        </w:rPr>
        <w:t xml:space="preserve">5. </w:t>
      </w:r>
      <w:r>
        <w:rPr>
          <w:b w:val="0"/>
        </w:rPr>
        <w:t>Identity Thread: the 3 px green, red and brass signature.</w:t>
      </w:r>
    </w:p>
    <w:p>
      <w:pPr>
        <w:pStyle w:val="Heading3"/>
        <w:widowControl/>
      </w:pPr>
      <w:r>
        <w:t>7.3 Pattern standards</w:t>
      </w:r>
    </w:p>
    <w:p>
      <w:pPr>
        <w:widowControl/>
      </w:pPr>
      <w:r>
        <w:rPr>
          <w:b w:val="0"/>
        </w:rPr>
        <w:t>Pattern tile sizes are 32, 48 or 64 px. Line width is 1 px. Light-surface opacity is 2 to 5 percent. Navy-surface opacity is 5 to 8 percent. Only one patterned region may dominate a viewport. Patterns never sit behind tables, forms, legal text, amounts, charts or QR codes.</w:t>
      </w:r>
    </w:p>
    <w:p>
      <w:pPr>
        <w:pStyle w:val="Heading3"/>
        <w:widowControl/>
      </w:pPr>
      <w:r>
        <w:t>7.4 Cultural governance</w:t>
      </w:r>
    </w:p>
    <w:p>
      <w:pPr>
        <w:widowControl/>
      </w:pPr>
      <w:r>
        <w:rPr>
          <w:b w:val="0"/>
        </w:rPr>
        <w:t>Do not copy named royal, sacred, ceremonial or community-owned motifs without documented authorization. All production patterns must be original abstractions reviewed for respectful use. Document the design origin, intended meaning and permitted contexts.</w:t>
      </w:r>
    </w:p>
    <w:p>
      <w:pPr>
        <w:pStyle w:val="Heading1"/>
        <w:widowControl/>
      </w:pPr>
      <w:r>
        <w:t>8 Photography and illustration</w:t>
      </w:r>
    </w:p>
    <w:p>
      <w:pPr>
        <w:widowControl/>
      </w:pPr>
      <w:r>
        <w:rPr>
          <w:b w:val="0"/>
        </w:rPr>
        <w:t>Photography must be authentic to Cameroon and the actual insurance ecosystem. Prioritize real customers, agents, brokers, carrier professionals, vehicles, offices, streets and cities with documented image rights.</w:t>
      </w:r>
    </w:p>
    <w:p>
      <w:pPr>
        <w:widowControl/>
      </w:pPr>
      <w:r>
        <w:rPr>
          <w:b w:val="0"/>
        </w:rPr>
        <w:t>Use natural daylight, honest skin tones, confident eye-level framing and editorial composition. Avoid generic Western families, handshakes, staged call centers, blue-tinted stock photos and exaggerated poverty or luxury imagery.</w:t>
      </w:r>
    </w:p>
    <w:p>
      <w:pPr>
        <w:widowControl/>
      </w:pPr>
      <w:r>
        <w:rPr>
          <w:b w:val="0"/>
        </w:rPr>
        <w:t>Images must leave negative space for text and crop safely from 16 by 9 desktop to 4 by 5 mobile. Apply a restrained navy tonal treatment only where necessary for text contrast.</w:t>
      </w:r>
    </w:p>
    <w:p>
      <w:pPr>
        <w:widowControl/>
      </w:pPr>
      <w:r>
        <w:rPr>
          <w:b w:val="0"/>
        </w:rPr>
        <w:t>Illustrations use navy linework, mineral neutrals, insurance blue interaction accents and limited brass details. Do not use cartoon mascots, inflated 3D people or generic isometric office scenes.</w:t>
      </w:r>
    </w:p>
    <w:p>
      <w:pPr>
        <w:pStyle w:val="Heading1"/>
        <w:widowControl/>
      </w:pPr>
      <w:r>
        <w:t>9 Surface and material system</w:t>
      </w:r>
    </w:p>
    <w:p>
      <w:pPr>
        <w:pStyle w:val="Heading3"/>
        <w:widowControl/>
      </w:pPr>
      <w:r>
        <w:t>9.1 Canvas hierarchy</w:t>
      </w:r>
    </w:p>
    <w:p>
      <w:pPr>
        <w:widowControl/>
      </w:pPr>
      <w:r>
        <w:rPr>
          <w:b w:val="0"/>
        </w:rPr>
        <w:t>The operational canvas is Mineral 50. Standard cards are white. Signature welcome or executive summary areas may use Warm Ivory. Institutional navigation uses Assurance Navy. Critical security and release surfaces may use Obsidian Navy.</w:t>
      </w:r>
    </w:p>
    <w:p>
      <w:pPr>
        <w:pStyle w:val="Heading3"/>
        <w:widowControl/>
      </w:pPr>
      <w:r>
        <w:t>9.2 Radius system</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rPr>
          <w:tblHeader w:val="true"/>
        </w:trPr>
        <w:tc>
          <w:tcPr>
            <w:tcW w:type="dxa" w:w="4968"/>
            <w:tcMar>
              <w:top w:w="110" w:type="dxa"/>
              <w:start w:w="110" w:type="dxa"/>
              <w:bottom w:w="110" w:type="dxa"/>
              <w:end w:w="110" w:type="dxa"/>
            </w:tcMar>
            <w:vAlign w:val="center"/>
            <w:shd w:fill="071A2B"/>
          </w:tcPr>
          <w:p>
            <w:pPr>
              <w:spacing w:after="0" w:line="252" w:lineRule="auto"/>
            </w:pPr>
            <w:r>
              <w:rPr>
                <w:rFonts w:ascii="Arial" w:hAnsi="Arial"/>
                <w:b/>
                <w:color w:val="FFFFFF"/>
                <w:sz w:val="17"/>
              </w:rPr>
              <w:t>Element</w:t>
            </w:r>
          </w:p>
        </w:tc>
        <w:tc>
          <w:tcPr>
            <w:tcW w:type="dxa" w:w="4968"/>
            <w:tcMar>
              <w:top w:w="110" w:type="dxa"/>
              <w:start w:w="110" w:type="dxa"/>
              <w:bottom w:w="110" w:type="dxa"/>
              <w:end w:w="110" w:type="dxa"/>
            </w:tcMar>
            <w:vAlign w:val="center"/>
            <w:shd w:fill="071A2B"/>
          </w:tcPr>
          <w:p>
            <w:pPr>
              <w:spacing w:after="0" w:line="252" w:lineRule="auto"/>
            </w:pPr>
            <w:r>
              <w:rPr>
                <w:rFonts w:ascii="Arial" w:hAnsi="Arial"/>
                <w:b/>
                <w:color w:val="FFFFFF"/>
                <w:sz w:val="17"/>
              </w:rPr>
              <w:t>Radius</w:t>
            </w:r>
          </w:p>
        </w:tc>
      </w:tr>
      <w:tr>
        <w:tc>
          <w:tcPr>
            <w:tcW w:type="dxa" w:w="4968"/>
            <w:tcMar>
              <w:top w:w="110" w:type="dxa"/>
              <w:start w:w="110" w:type="dxa"/>
              <w:bottom w:w="110" w:type="dxa"/>
              <w:end w:w="110" w:type="dxa"/>
            </w:tcMar>
            <w:vAlign w:val="center"/>
            <w:shd w:fill="FFFFFF"/>
          </w:tcPr>
          <w:p>
            <w:pPr>
              <w:spacing w:after="0" w:line="252" w:lineRule="auto"/>
            </w:pPr>
            <w:r>
              <w:rPr>
                <w:rFonts w:ascii="Arial" w:hAnsi="Arial"/>
                <w:sz w:val="17"/>
              </w:rPr>
              <w:t>Inputs buttons chips</w:t>
            </w:r>
          </w:p>
        </w:tc>
        <w:tc>
          <w:tcPr>
            <w:tcW w:type="dxa" w:w="4968"/>
            <w:tcMar>
              <w:top w:w="110" w:type="dxa"/>
              <w:start w:w="110" w:type="dxa"/>
              <w:bottom w:w="110" w:type="dxa"/>
              <w:end w:w="110" w:type="dxa"/>
            </w:tcMar>
            <w:vAlign w:val="center"/>
            <w:shd w:fill="FFFFFF"/>
          </w:tcPr>
          <w:p>
            <w:pPr>
              <w:spacing w:after="0" w:line="252" w:lineRule="auto"/>
            </w:pPr>
            <w:r>
              <w:rPr>
                <w:rFonts w:ascii="Arial" w:hAnsi="Arial"/>
                <w:sz w:val="17"/>
              </w:rPr>
              <w:t>10 px</w:t>
            </w:r>
          </w:p>
        </w:tc>
      </w:tr>
      <w:tr>
        <w:tc>
          <w:tcPr>
            <w:tcW w:type="dxa" w:w="4968"/>
            <w:tcMar>
              <w:top w:w="110" w:type="dxa"/>
              <w:start w:w="110" w:type="dxa"/>
              <w:bottom w:w="110" w:type="dxa"/>
              <w:end w:w="110" w:type="dxa"/>
            </w:tcMar>
            <w:vAlign w:val="center"/>
            <w:shd w:fill="EFF5FF"/>
          </w:tcPr>
          <w:p>
            <w:pPr>
              <w:spacing w:after="0" w:line="252" w:lineRule="auto"/>
            </w:pPr>
            <w:r>
              <w:rPr>
                <w:rFonts w:ascii="Arial" w:hAnsi="Arial"/>
                <w:sz w:val="17"/>
              </w:rPr>
              <w:t>Operational cards</w:t>
            </w:r>
          </w:p>
        </w:tc>
        <w:tc>
          <w:tcPr>
            <w:tcW w:type="dxa" w:w="4968"/>
            <w:tcMar>
              <w:top w:w="110" w:type="dxa"/>
              <w:start w:w="110" w:type="dxa"/>
              <w:bottom w:w="110" w:type="dxa"/>
              <w:end w:w="110" w:type="dxa"/>
            </w:tcMar>
            <w:vAlign w:val="center"/>
            <w:shd w:fill="EFF5FF"/>
          </w:tcPr>
          <w:p>
            <w:pPr>
              <w:spacing w:after="0" w:line="252" w:lineRule="auto"/>
            </w:pPr>
            <w:r>
              <w:rPr>
                <w:rFonts w:ascii="Arial" w:hAnsi="Arial"/>
                <w:sz w:val="17"/>
              </w:rPr>
              <w:t>12 px</w:t>
            </w:r>
          </w:p>
        </w:tc>
      </w:tr>
      <w:tr>
        <w:tc>
          <w:tcPr>
            <w:tcW w:type="dxa" w:w="4968"/>
            <w:tcMar>
              <w:top w:w="110" w:type="dxa"/>
              <w:start w:w="110" w:type="dxa"/>
              <w:bottom w:w="110" w:type="dxa"/>
              <w:end w:w="110" w:type="dxa"/>
            </w:tcMar>
            <w:vAlign w:val="center"/>
            <w:shd w:fill="FFFFFF"/>
          </w:tcPr>
          <w:p>
            <w:pPr>
              <w:spacing w:after="0" w:line="252" w:lineRule="auto"/>
            </w:pPr>
            <w:r>
              <w:rPr>
                <w:rFonts w:ascii="Arial" w:hAnsi="Arial"/>
                <w:sz w:val="17"/>
              </w:rPr>
              <w:t>Signature and insight cards</w:t>
            </w:r>
          </w:p>
        </w:tc>
        <w:tc>
          <w:tcPr>
            <w:tcW w:type="dxa" w:w="4968"/>
            <w:tcMar>
              <w:top w:w="110" w:type="dxa"/>
              <w:start w:w="110" w:type="dxa"/>
              <w:bottom w:w="110" w:type="dxa"/>
              <w:end w:w="110" w:type="dxa"/>
            </w:tcMar>
            <w:vAlign w:val="center"/>
            <w:shd w:fill="FFFFFF"/>
          </w:tcPr>
          <w:p>
            <w:pPr>
              <w:spacing w:after="0" w:line="252" w:lineRule="auto"/>
            </w:pPr>
            <w:r>
              <w:rPr>
                <w:rFonts w:ascii="Arial" w:hAnsi="Arial"/>
                <w:sz w:val="17"/>
              </w:rPr>
              <w:t>16 px</w:t>
            </w:r>
          </w:p>
        </w:tc>
      </w:tr>
      <w:tr>
        <w:tc>
          <w:tcPr>
            <w:tcW w:type="dxa" w:w="4968"/>
            <w:tcMar>
              <w:top w:w="110" w:type="dxa"/>
              <w:start w:w="110" w:type="dxa"/>
              <w:bottom w:w="110" w:type="dxa"/>
              <w:end w:w="110" w:type="dxa"/>
            </w:tcMar>
            <w:vAlign w:val="center"/>
            <w:shd w:fill="EFF5FF"/>
          </w:tcPr>
          <w:p>
            <w:pPr>
              <w:spacing w:after="0" w:line="252" w:lineRule="auto"/>
            </w:pPr>
            <w:r>
              <w:rPr>
                <w:rFonts w:ascii="Arial" w:hAnsi="Arial"/>
                <w:sz w:val="17"/>
              </w:rPr>
              <w:t>Hero summary and mobile sheets</w:t>
            </w:r>
          </w:p>
        </w:tc>
        <w:tc>
          <w:tcPr>
            <w:tcW w:type="dxa" w:w="4968"/>
            <w:tcMar>
              <w:top w:w="110" w:type="dxa"/>
              <w:start w:w="110" w:type="dxa"/>
              <w:bottom w:w="110" w:type="dxa"/>
              <w:end w:w="110" w:type="dxa"/>
            </w:tcMar>
            <w:vAlign w:val="center"/>
            <w:shd w:fill="EFF5FF"/>
          </w:tcPr>
          <w:p>
            <w:pPr>
              <w:spacing w:after="0" w:line="252" w:lineRule="auto"/>
            </w:pPr>
            <w:r>
              <w:rPr>
                <w:rFonts w:ascii="Arial" w:hAnsi="Arial"/>
                <w:sz w:val="17"/>
              </w:rPr>
              <w:t>20 px</w:t>
            </w:r>
          </w:p>
        </w:tc>
      </w:tr>
      <w:tr>
        <w:tc>
          <w:tcPr>
            <w:tcW w:type="dxa" w:w="4968"/>
            <w:tcMar>
              <w:top w:w="110" w:type="dxa"/>
              <w:start w:w="110" w:type="dxa"/>
              <w:bottom w:w="110" w:type="dxa"/>
              <w:end w:w="110" w:type="dxa"/>
            </w:tcMar>
            <w:vAlign w:val="center"/>
            <w:shd w:fill="FFFFFF"/>
          </w:tcPr>
          <w:p>
            <w:pPr>
              <w:spacing w:after="0" w:line="252" w:lineRule="auto"/>
            </w:pPr>
            <w:r>
              <w:rPr>
                <w:rFonts w:ascii="Arial" w:hAnsi="Arial"/>
                <w:sz w:val="17"/>
              </w:rPr>
              <w:t>Status pills</w:t>
            </w:r>
          </w:p>
        </w:tc>
        <w:tc>
          <w:tcPr>
            <w:tcW w:type="dxa" w:w="4968"/>
            <w:tcMar>
              <w:top w:w="110" w:type="dxa"/>
              <w:start w:w="110" w:type="dxa"/>
              <w:bottom w:w="110" w:type="dxa"/>
              <w:end w:w="110" w:type="dxa"/>
            </w:tcMar>
            <w:vAlign w:val="center"/>
            <w:shd w:fill="FFFFFF"/>
          </w:tcPr>
          <w:p>
            <w:pPr>
              <w:spacing w:after="0" w:line="252" w:lineRule="auto"/>
            </w:pPr>
            <w:r>
              <w:rPr>
                <w:rFonts w:ascii="Arial" w:hAnsi="Arial"/>
                <w:sz w:val="17"/>
              </w:rPr>
              <w:t>999 px</w:t>
            </w:r>
          </w:p>
        </w:tc>
      </w:tr>
    </w:tbl>
    <w:p>
      <w:pPr>
        <w:widowControl/>
        <w:spacing w:after="20"/>
      </w:pPr>
    </w:p>
    <w:p>
      <w:pPr>
        <w:widowControl/>
      </w:pPr>
      <w:r>
        <w:rPr>
          <w:b w:val="0"/>
        </w:rPr>
        <w:t>Do not make every panel highly rounded. Operational ERP screens use 12 px cards. Premium feature surfaces use 16 or 20 px only when hierarchy requires it.</w:t>
      </w:r>
    </w:p>
    <w:p>
      <w:pPr>
        <w:pStyle w:val="Heading3"/>
        <w:widowControl/>
      </w:pPr>
      <w:r>
        <w:t>9.3 Borders and depth</w:t>
      </w:r>
    </w:p>
    <w:p>
      <w:pPr>
        <w:pStyle w:val="ListBullet"/>
        <w:widowControl/>
      </w:pPr>
      <w:r>
        <w:rPr>
          <w:b w:val="0"/>
        </w:rPr>
        <w:t>Standard border: 1 px Mist 200.</w:t>
      </w:r>
    </w:p>
    <w:p>
      <w:pPr>
        <w:pStyle w:val="ListBullet"/>
        <w:widowControl/>
      </w:pPr>
      <w:r>
        <w:rPr>
          <w:b w:val="0"/>
        </w:rPr>
        <w:t>Important inset frame: 1 px rgba navy at 10 percent.</w:t>
      </w:r>
    </w:p>
    <w:p>
      <w:pPr>
        <w:pStyle w:val="ListBullet"/>
        <w:widowControl/>
      </w:pPr>
      <w:r>
        <w:rPr>
          <w:b w:val="0"/>
        </w:rPr>
        <w:t>Selected border: 2 px Insurance Blue with compensated padding.</w:t>
      </w:r>
    </w:p>
    <w:p>
      <w:pPr>
        <w:pStyle w:val="ListBullet"/>
        <w:widowControl/>
      </w:pPr>
      <w:r>
        <w:rPr>
          <w:b w:val="0"/>
        </w:rPr>
        <w:t>Default operational shadow: none.</w:t>
      </w:r>
    </w:p>
    <w:p>
      <w:pPr>
        <w:pStyle w:val="ListBullet"/>
        <w:widowControl/>
      </w:pPr>
      <w:r>
        <w:rPr>
          <w:b w:val="0"/>
        </w:rPr>
        <w:t>Lifted action or popover shadow: 0 10 px 30 px rgba 4 19 31 at 12 percent.</w:t>
      </w:r>
    </w:p>
    <w:p>
      <w:pPr>
        <w:pStyle w:val="ListBullet"/>
        <w:widowControl/>
      </w:pPr>
      <w:r>
        <w:rPr>
          <w:b w:val="0"/>
        </w:rPr>
        <w:t>Executive hero shadow: 0 20 px 50 px rgba 4 19 31 at 14 percent.</w:t>
      </w:r>
    </w:p>
    <w:p>
      <w:pPr>
        <w:widowControl/>
      </w:pPr>
      <w:r>
        <w:rPr>
          <w:b w:val="0"/>
        </w:rPr>
        <w:t>Use borders, spacing and surface contrast before shadows. Glassmorphism, frosted panels, colored glow, bevels, metallic gradients and floating card walls are prohibited.</w:t>
      </w:r>
    </w:p>
    <w:p>
      <w:pPr>
        <w:pStyle w:val="Heading1"/>
        <w:widowControl/>
      </w:pPr>
      <w:r>
        <w:t>10 Card specifications</w:t>
      </w:r>
    </w:p>
    <w:p>
      <w:pPr>
        <w:pStyle w:val="Heading3"/>
        <w:widowControl/>
      </w:pPr>
      <w:r>
        <w:t>10.1 Standard operational card</w:t>
      </w:r>
    </w:p>
    <w:p>
      <w:pPr>
        <w:widowControl/>
      </w:pPr>
      <w:r>
        <w:rPr>
          <w:b w:val="0"/>
        </w:rPr>
        <w:t>Fluid width, 16 px mobile padding, 20 px desktop padding, 12 px radius, 1 px Mist border and no default shadow. It may contain one title, one content group and one action region.</w:t>
      </w:r>
    </w:p>
    <w:p>
      <w:pPr>
        <w:pStyle w:val="Heading3"/>
        <w:widowControl/>
      </w:pPr>
      <w:r>
        <w:t>10.2 Executive metric card</w:t>
      </w:r>
    </w:p>
    <w:p>
      <w:pPr>
        <w:widowControl/>
      </w:pPr>
      <w:r>
        <w:rPr>
          <w:b w:val="0"/>
        </w:rPr>
        <w:t>Minimum height 124 px mobile and 136 px desktop. It includes a 12 to 13 px label, a 25 to 30 px value, one comparison or context line and an optional 36 px icon container. No decorative chart is added unless it explains the value.</w:t>
      </w:r>
    </w:p>
    <w:p>
      <w:pPr>
        <w:pStyle w:val="Heading3"/>
        <w:widowControl/>
      </w:pPr>
      <w:r>
        <w:t>10.3 Signature assurance card</w:t>
      </w:r>
    </w:p>
    <w:p>
      <w:pPr>
        <w:widowControl/>
      </w:pPr>
      <w:r>
        <w:rPr>
          <w:b w:val="0"/>
        </w:rPr>
        <w:t>Used once per dashboard for the most important status or decision. It may use Atlantic Navy or Warm Ivory, a subtle woven field, one proof mark and a single primary action. It must not compete with five other feature cards.</w:t>
      </w:r>
    </w:p>
    <w:p>
      <w:pPr>
        <w:pStyle w:val="Heading3"/>
        <w:widowControl/>
      </w:pPr>
      <w:r>
        <w:t>10.4 Policy card</w:t>
      </w:r>
    </w:p>
    <w:p>
      <w:pPr>
        <w:widowControl/>
      </w:pPr>
      <w:r>
        <w:rPr>
          <w:b w:val="0"/>
        </w:rPr>
        <w:t>Minimum height 176 px mobile and 188 px desktop. Show carrier mark in a neutral 40 px frame, product name, explicit policy state, policy number with copy action, insured asset, coverage dates, renewal progress and one primary action. Secondary actions move into an overflow menu.</w:t>
      </w:r>
    </w:p>
    <w:p>
      <w:pPr>
        <w:pStyle w:val="Heading3"/>
        <w:widowControl/>
      </w:pPr>
      <w:r>
        <w:t>10.5 Quote offer card</w:t>
      </w:r>
    </w:p>
    <w:p>
      <w:pPr>
        <w:widowControl/>
      </w:pPr>
      <w:r>
        <w:rPr>
          <w:b w:val="0"/>
        </w:rPr>
        <w:t>Mobile width is the smaller of 86 viewport width or 360 px. Desktop width is 280 to 360 px. Show carrier, cover, key exclusions, excess, gross premium, separate fees, total, validity and fulfilment. A recommended label requires a visible reason such as lowest total, widest cover or fastest issuance.</w:t>
      </w:r>
    </w:p>
    <w:p>
      <w:pPr>
        <w:pStyle w:val="Heading3"/>
        <w:widowControl/>
      </w:pPr>
      <w:r>
        <w:t>10.6 Alert and exception card</w:t>
      </w:r>
    </w:p>
    <w:p>
      <w:pPr>
        <w:widowControl/>
      </w:pPr>
      <w:r>
        <w:rPr>
          <w:b w:val="0"/>
        </w:rPr>
        <w:t>Use a neutral card with a semantic left edge, icon, explicit title, impact, age, responsible role and recovery action. Do not fill the whole card red or yellow.</w:t>
      </w:r>
    </w:p>
    <w:p>
      <w:pPr>
        <w:pStyle w:val="Heading3"/>
        <w:widowControl/>
      </w:pPr>
      <w:r>
        <w:t>10.7 Prohibited card behavior</w:t>
      </w:r>
    </w:p>
    <w:p>
      <w:pPr>
        <w:pStyle w:val="ListBullet"/>
        <w:widowControl/>
      </w:pPr>
      <w:r>
        <w:rPr>
          <w:b w:val="0"/>
        </w:rPr>
        <w:t>No card inside a card unless the inner item is an interactive record.</w:t>
      </w:r>
    </w:p>
    <w:p>
      <w:pPr>
        <w:pStyle w:val="ListBullet"/>
        <w:widowControl/>
      </w:pPr>
      <w:r>
        <w:rPr>
          <w:b w:val="0"/>
        </w:rPr>
        <w:t>No fixed heights that clip French text.</w:t>
      </w:r>
    </w:p>
    <w:p>
      <w:pPr>
        <w:pStyle w:val="ListBullet"/>
        <w:widowControl/>
      </w:pPr>
      <w:r>
        <w:rPr>
          <w:b w:val="0"/>
        </w:rPr>
        <w:t>No more than four executive KPI cards in a desktop first row.</w:t>
      </w:r>
    </w:p>
    <w:p>
      <w:pPr>
        <w:pStyle w:val="ListBullet"/>
        <w:widowControl/>
      </w:pPr>
      <w:r>
        <w:rPr>
          <w:b w:val="0"/>
        </w:rPr>
        <w:t>No endless grid of equal cards without hierarchy.</w:t>
      </w:r>
    </w:p>
    <w:p>
      <w:pPr>
        <w:pStyle w:val="ListBullet"/>
        <w:widowControl/>
      </w:pPr>
      <w:r>
        <w:rPr>
          <w:b w:val="0"/>
        </w:rPr>
        <w:t>No card used merely to wrap a heading or sentence.</w:t>
      </w:r>
    </w:p>
    <w:p>
      <w:pPr>
        <w:pStyle w:val="Heading1"/>
        <w:widowControl/>
      </w:pPr>
      <w:r>
        <w:t>11 Dashboard composition architecture</w:t>
      </w:r>
    </w:p>
    <w:p>
      <w:pPr>
        <w:widowControl/>
      </w:pPr>
      <w:r>
        <w:rPr>
          <w:b w:val="0"/>
        </w:rPr>
        <w:t>OpesInsure has 26 canonical dashboards: five primary portal dashboards and 21 specialist operational dashboards. Every dashboard follows the same decision hierarchy but adapts content to the role.</w:t>
      </w:r>
    </w:p>
    <w:p>
      <w:pPr>
        <w:pStyle w:val="Heading3"/>
        <w:widowControl/>
      </w:pPr>
      <w:r>
        <w:t>11.1 The first viewport</w:t>
      </w:r>
    </w:p>
    <w:p>
      <w:pPr>
        <w:widowControl/>
      </w:pPr>
      <w:r>
        <w:rPr>
          <w:b w:val="0"/>
        </w:rPr>
        <w:t>The first viewport must answer five questions before the user scrolls:</w:t>
      </w:r>
    </w:p>
    <w:p>
      <w:pPr>
        <w:widowControl/>
        <w:ind w:left="331" w:hanging="331"/>
      </w:pPr>
      <w:r>
        <w:rPr>
          <w:b/>
        </w:rPr>
        <w:t xml:space="preserve">1. </w:t>
      </w:r>
      <w:r>
        <w:rPr>
          <w:b w:val="0"/>
        </w:rPr>
        <w:t>What is the current state of my insurance work or responsibility?</w:t>
      </w:r>
    </w:p>
    <w:p>
      <w:pPr>
        <w:widowControl/>
        <w:ind w:left="331" w:hanging="331"/>
      </w:pPr>
      <w:r>
        <w:rPr>
          <w:b/>
        </w:rPr>
        <w:t xml:space="preserve">2. </w:t>
      </w:r>
      <w:r>
        <w:rPr>
          <w:b w:val="0"/>
        </w:rPr>
        <w:t>What must I do next?</w:t>
      </w:r>
    </w:p>
    <w:p>
      <w:pPr>
        <w:widowControl/>
        <w:ind w:left="331" w:hanging="331"/>
      </w:pPr>
      <w:r>
        <w:rPr>
          <w:b/>
        </w:rPr>
        <w:t xml:space="preserve">3. </w:t>
      </w:r>
      <w:r>
        <w:rPr>
          <w:b w:val="0"/>
        </w:rPr>
        <w:t>What is at financial, service or regulatory risk?</w:t>
      </w:r>
    </w:p>
    <w:p>
      <w:pPr>
        <w:widowControl/>
        <w:ind w:left="331" w:hanging="331"/>
      </w:pPr>
      <w:r>
        <w:rPr>
          <w:b/>
        </w:rPr>
        <w:t xml:space="preserve">4. </w:t>
      </w:r>
      <w:r>
        <w:rPr>
          <w:b w:val="0"/>
        </w:rPr>
        <w:t>What deadline or SLA is approaching?</w:t>
      </w:r>
    </w:p>
    <w:p>
      <w:pPr>
        <w:widowControl/>
        <w:ind w:left="331" w:hanging="331"/>
      </w:pPr>
      <w:r>
        <w:rPr>
          <w:b/>
        </w:rPr>
        <w:t xml:space="preserve">5. </w:t>
      </w:r>
      <w:r>
        <w:rPr>
          <w:b w:val="0"/>
        </w:rPr>
        <w:t>Where can I see supporting detail?</w:t>
      </w:r>
    </w:p>
    <w:p>
      <w:pPr>
        <w:pStyle w:val="Heading3"/>
        <w:widowControl/>
      </w:pPr>
      <w:r>
        <w:t>11.2 Mobile first viewport</w:t>
      </w:r>
    </w:p>
    <w:p>
      <w:pPr>
        <w:widowControl/>
      </w:pPr>
      <w:r>
        <w:rPr>
          <w:b w:val="0"/>
        </w:rPr>
        <w:t>Order:</w:t>
      </w:r>
    </w:p>
    <w:p>
      <w:pPr>
        <w:widowControl/>
        <w:ind w:left="331" w:hanging="331"/>
      </w:pPr>
      <w:r>
        <w:rPr>
          <w:b/>
        </w:rPr>
        <w:t xml:space="preserve">1. </w:t>
      </w:r>
      <w:r>
        <w:rPr>
          <w:b w:val="0"/>
        </w:rPr>
        <w:t>Compact role and organization context.</w:t>
      </w:r>
    </w:p>
    <w:p>
      <w:pPr>
        <w:widowControl/>
        <w:ind w:left="331" w:hanging="331"/>
      </w:pPr>
      <w:r>
        <w:rPr>
          <w:b/>
        </w:rPr>
        <w:t xml:space="preserve">2. </w:t>
      </w:r>
      <w:r>
        <w:rPr>
          <w:b w:val="0"/>
        </w:rPr>
        <w:t>Page title and one contextual sentence.</w:t>
      </w:r>
    </w:p>
    <w:p>
      <w:pPr>
        <w:widowControl/>
        <w:ind w:left="331" w:hanging="331"/>
      </w:pPr>
      <w:r>
        <w:rPr>
          <w:b/>
        </w:rPr>
        <w:t xml:space="preserve">3. </w:t>
      </w:r>
      <w:r>
        <w:rPr>
          <w:b w:val="0"/>
        </w:rPr>
        <w:t>Signature assurance card with the single highest-priority action.</w:t>
      </w:r>
    </w:p>
    <w:p>
      <w:pPr>
        <w:widowControl/>
        <w:ind w:left="331" w:hanging="331"/>
      </w:pPr>
      <w:r>
        <w:rPr>
          <w:b/>
        </w:rPr>
        <w:t xml:space="preserve">4. </w:t>
      </w:r>
      <w:r>
        <w:rPr>
          <w:b w:val="0"/>
        </w:rPr>
        <w:t>Two compact KPI cards.</w:t>
      </w:r>
    </w:p>
    <w:p>
      <w:pPr>
        <w:widowControl/>
        <w:ind w:left="331" w:hanging="331"/>
      </w:pPr>
      <w:r>
        <w:rPr>
          <w:b/>
        </w:rPr>
        <w:t xml:space="preserve">5. </w:t>
      </w:r>
      <w:r>
        <w:rPr>
          <w:b w:val="0"/>
        </w:rPr>
        <w:t>Urgent work queue or status timeline.</w:t>
      </w:r>
    </w:p>
    <w:p>
      <w:pPr>
        <w:widowControl/>
        <w:ind w:left="331" w:hanging="331"/>
      </w:pPr>
      <w:r>
        <w:rPr>
          <w:b/>
        </w:rPr>
        <w:t xml:space="preserve">6. </w:t>
      </w:r>
      <w:r>
        <w:rPr>
          <w:b w:val="0"/>
        </w:rPr>
        <w:t>Remaining KPIs and charts below the fold.</w:t>
      </w:r>
    </w:p>
    <w:p>
      <w:pPr>
        <w:widowControl/>
      </w:pPr>
      <w:r>
        <w:rPr>
          <w:b w:val="0"/>
        </w:rPr>
        <w:t>Do not start a mobile dashboard with four or six metric cards. The user must first see the one action that protects cover, money, SLA or compliance.</w:t>
      </w:r>
    </w:p>
    <w:p>
      <w:pPr>
        <w:pStyle w:val="Heading3"/>
        <w:widowControl/>
      </w:pPr>
      <w:r>
        <w:t>11.3 Desktop first viewport</w:t>
      </w:r>
    </w:p>
    <w:p>
      <w:pPr>
        <w:widowControl/>
      </w:pPr>
      <w:r>
        <w:rPr>
          <w:b w:val="0"/>
        </w:rPr>
        <w:t>Use a 12-column grid with a restrained header. The signature assurance area occupies 8 columns and the priority queue or risk summary occupies 4. Below it, show up to four KPI cards. Analytics follow after operational priority.</w:t>
      </w:r>
    </w:p>
    <w:p>
      <w:pPr>
        <w:pStyle w:val="Heading3"/>
        <w:widowControl/>
      </w:pPr>
      <w:r>
        <w:t>11.4 Dashboard zones</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val="true"/>
        </w:trPr>
        <w:tc>
          <w:tcPr>
            <w:tcW w:type="dxa" w:w="2484"/>
            <w:tcMar>
              <w:top w:w="110" w:type="dxa"/>
              <w:start w:w="110" w:type="dxa"/>
              <w:bottom w:w="110" w:type="dxa"/>
              <w:end w:w="110" w:type="dxa"/>
            </w:tcMar>
            <w:vAlign w:val="center"/>
            <w:shd w:fill="071A2B"/>
          </w:tcPr>
          <w:p>
            <w:pPr>
              <w:spacing w:after="0" w:line="252" w:lineRule="auto"/>
            </w:pPr>
            <w:r>
              <w:rPr>
                <w:rFonts w:ascii="Arial" w:hAnsi="Arial"/>
                <w:b/>
                <w:color w:val="FFFFFF"/>
                <w:sz w:val="17"/>
              </w:rPr>
              <w:t>Zone</w:t>
            </w:r>
          </w:p>
        </w:tc>
        <w:tc>
          <w:tcPr>
            <w:tcW w:type="dxa" w:w="2484"/>
            <w:tcMar>
              <w:top w:w="110" w:type="dxa"/>
              <w:start w:w="110" w:type="dxa"/>
              <w:bottom w:w="110" w:type="dxa"/>
              <w:end w:w="110" w:type="dxa"/>
            </w:tcMar>
            <w:vAlign w:val="center"/>
            <w:shd w:fill="071A2B"/>
          </w:tcPr>
          <w:p>
            <w:pPr>
              <w:spacing w:after="0" w:line="252" w:lineRule="auto"/>
            </w:pPr>
            <w:r>
              <w:rPr>
                <w:rFonts w:ascii="Arial" w:hAnsi="Arial"/>
                <w:b/>
                <w:color w:val="FFFFFF"/>
                <w:sz w:val="17"/>
              </w:rPr>
              <w:t>Purpose</w:t>
            </w:r>
          </w:p>
        </w:tc>
        <w:tc>
          <w:tcPr>
            <w:tcW w:type="dxa" w:w="2484"/>
            <w:tcMar>
              <w:top w:w="110" w:type="dxa"/>
              <w:start w:w="110" w:type="dxa"/>
              <w:bottom w:w="110" w:type="dxa"/>
              <w:end w:w="110" w:type="dxa"/>
            </w:tcMar>
            <w:vAlign w:val="center"/>
            <w:shd w:fill="071A2B"/>
          </w:tcPr>
          <w:p>
            <w:pPr>
              <w:spacing w:after="0" w:line="252" w:lineRule="auto"/>
            </w:pPr>
            <w:r>
              <w:rPr>
                <w:rFonts w:ascii="Arial" w:hAnsi="Arial"/>
                <w:b/>
                <w:color w:val="FFFFFF"/>
                <w:sz w:val="17"/>
              </w:rPr>
              <w:t>Mobile</w:t>
            </w:r>
          </w:p>
        </w:tc>
        <w:tc>
          <w:tcPr>
            <w:tcW w:type="dxa" w:w="2484"/>
            <w:tcMar>
              <w:top w:w="110" w:type="dxa"/>
              <w:start w:w="110" w:type="dxa"/>
              <w:bottom w:w="110" w:type="dxa"/>
              <w:end w:w="110" w:type="dxa"/>
            </w:tcMar>
            <w:vAlign w:val="center"/>
            <w:shd w:fill="071A2B"/>
          </w:tcPr>
          <w:p>
            <w:pPr>
              <w:spacing w:after="0" w:line="252" w:lineRule="auto"/>
            </w:pPr>
            <w:r>
              <w:rPr>
                <w:rFonts w:ascii="Arial" w:hAnsi="Arial"/>
                <w:b/>
                <w:color w:val="FFFFFF"/>
                <w:sz w:val="17"/>
              </w:rPr>
              <w:t>Desktop</w:t>
            </w:r>
          </w:p>
        </w:tc>
      </w:tr>
      <w:tr>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Context bar</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Role tenant date and scope</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Compact stacked</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Single line</w:t>
            </w:r>
          </w:p>
        </w:tc>
      </w:tr>
      <w:tr>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Signature summary</w:t>
            </w:r>
          </w:p>
        </w:tc>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State and primary action</w:t>
            </w:r>
          </w:p>
        </w:tc>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Full width first</w:t>
            </w:r>
          </w:p>
        </w:tc>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8 columns</w:t>
            </w:r>
          </w:p>
        </w:tc>
      </w:tr>
      <w:tr>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Priority queue</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Urgent actionable items</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Second or third</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4 columns</w:t>
            </w:r>
          </w:p>
        </w:tc>
      </w:tr>
      <w:tr>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KPI strip</w:t>
            </w:r>
          </w:p>
        </w:tc>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Four key measures maximum</w:t>
            </w:r>
          </w:p>
        </w:tc>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Two columns</w:t>
            </w:r>
          </w:p>
        </w:tc>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Four columns</w:t>
            </w:r>
          </w:p>
        </w:tc>
      </w:tr>
      <w:tr>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Operational view</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Tasks records timeline</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Full width</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7 or 8 columns</w:t>
            </w:r>
          </w:p>
        </w:tc>
      </w:tr>
      <w:tr>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Insight view</w:t>
            </w:r>
          </w:p>
        </w:tc>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Trend distribution forecast</w:t>
            </w:r>
          </w:p>
        </w:tc>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Below operations</w:t>
            </w:r>
          </w:p>
        </w:tc>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4 or 5 columns</w:t>
            </w:r>
          </w:p>
        </w:tc>
      </w:tr>
      <w:tr>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Evidence footer</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Data freshness export definitions</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Collapsible</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Inline</w:t>
            </w:r>
          </w:p>
        </w:tc>
      </w:tr>
    </w:tbl>
    <w:p>
      <w:pPr>
        <w:widowControl/>
        <w:spacing w:after="20"/>
      </w:pPr>
    </w:p>
    <w:p>
      <w:pPr>
        <w:pStyle w:val="Heading1"/>
        <w:widowControl/>
      </w:pPr>
      <w:r>
        <w:t>12 Quick views</w:t>
      </w:r>
    </w:p>
    <w:p>
      <w:pPr>
        <w:widowControl/>
      </w:pPr>
      <w:r>
        <w:rPr>
          <w:b w:val="0"/>
        </w:rPr>
        <w:t>Quick views are actionable summaries, not decorative shortcuts. A quick view contains label, count or value, urgency, last updated time and destination. It uses a compact row or segmented control rather than another large card.</w:t>
      </w:r>
    </w:p>
    <w:p>
      <w:pPr>
        <w:widowControl/>
      </w:pPr>
      <w:r>
        <w:rPr>
          <w:b w:val="0"/>
        </w:rPr>
        <w:t>Maximum quick views in the first viewport are four on desktop and two on mobile. Examples include Renewals due, Payments awaiting authorization, Claims missing evidence, Unmatched reconciliation items and Expiring licences.</w:t>
      </w:r>
    </w:p>
    <w:p>
      <w:pPr>
        <w:widowControl/>
      </w:pPr>
      <w:r>
        <w:rPr>
          <w:b w:val="0"/>
        </w:rPr>
        <w:t>Quick views must preserve active filters and back navigation. Counts must be tenant-scoped and traceable to a query definition.</w:t>
      </w:r>
    </w:p>
    <w:p>
      <w:pPr>
        <w:pStyle w:val="Heading1"/>
        <w:widowControl/>
      </w:pPr>
      <w:r>
        <w:t>13 Charts and statistics</w:t>
      </w:r>
    </w:p>
    <w:p>
      <w:pPr>
        <w:pStyle w:val="Heading3"/>
        <w:widowControl/>
      </w:pPr>
      <w:r>
        <w:t>13.1 Chart purpose</w:t>
      </w:r>
    </w:p>
    <w:p>
      <w:pPr>
        <w:widowControl/>
      </w:pPr>
      <w:r>
        <w:rPr>
          <w:b w:val="0"/>
        </w:rPr>
        <w:t>Every chart must answer a named business question. If a number or short table answers it better, do not use a chart.</w:t>
      </w:r>
    </w:p>
    <w:p>
      <w:pPr>
        <w:pStyle w:val="Heading3"/>
        <w:widowControl/>
      </w:pPr>
      <w:r>
        <w:t>13.2 Approved charts</w:t>
      </w:r>
    </w:p>
    <w:p>
      <w:pPr>
        <w:pStyle w:val="ListBullet"/>
        <w:widowControl/>
      </w:pPr>
      <w:r>
        <w:rPr>
          <w:b w:val="0"/>
        </w:rPr>
        <w:t>line chart for premium, policy, claims or revenue trends;</w:t>
      </w:r>
    </w:p>
    <w:p>
      <w:pPr>
        <w:pStyle w:val="ListBullet"/>
        <w:widowControl/>
      </w:pPr>
      <w:r>
        <w:rPr>
          <w:b w:val="0"/>
        </w:rPr>
        <w:t>stacked bar for state composition over time;</w:t>
      </w:r>
    </w:p>
    <w:p>
      <w:pPr>
        <w:pStyle w:val="ListBullet"/>
        <w:widowControl/>
      </w:pPr>
      <w:r>
        <w:rPr>
          <w:b w:val="0"/>
        </w:rPr>
        <w:t>horizontal bar for carrier, branch, product or agent comparison;</w:t>
      </w:r>
    </w:p>
    <w:p>
      <w:pPr>
        <w:pStyle w:val="ListBullet"/>
        <w:widowControl/>
      </w:pPr>
      <w:r>
        <w:rPr>
          <w:b w:val="0"/>
        </w:rPr>
        <w:t>funnel for quote, proposal, payment and issuance conversion;</w:t>
      </w:r>
    </w:p>
    <w:p>
      <w:pPr>
        <w:pStyle w:val="ListBullet"/>
        <w:widowControl/>
      </w:pPr>
      <w:r>
        <w:rPr>
          <w:b w:val="0"/>
        </w:rPr>
        <w:t>bullet chart for target versus actual;</w:t>
      </w:r>
    </w:p>
    <w:p>
      <w:pPr>
        <w:pStyle w:val="ListBullet"/>
        <w:widowControl/>
      </w:pPr>
      <w:r>
        <w:rPr>
          <w:b w:val="0"/>
        </w:rPr>
        <w:t>waterfall for premium, fees, commission and settlement movement;</w:t>
      </w:r>
    </w:p>
    <w:p>
      <w:pPr>
        <w:pStyle w:val="ListBullet"/>
        <w:widowControl/>
      </w:pPr>
      <w:r>
        <w:rPr>
          <w:b w:val="0"/>
        </w:rPr>
        <w:t>aging bands for receivables, reconciliation and SLA exposure;</w:t>
      </w:r>
    </w:p>
    <w:p>
      <w:pPr>
        <w:pStyle w:val="ListBullet"/>
        <w:widowControl/>
      </w:pPr>
      <w:r>
        <w:rPr>
          <w:b w:val="0"/>
        </w:rPr>
        <w:t>timeline for policy, payment, claim and delivery lifecycle;</w:t>
      </w:r>
    </w:p>
    <w:p>
      <w:pPr>
        <w:pStyle w:val="ListBullet"/>
        <w:widowControl/>
      </w:pPr>
      <w:r>
        <w:rPr>
          <w:b w:val="0"/>
        </w:rPr>
        <w:t>geographic map only when actual geographic comparison or dispatch is required.</w:t>
      </w:r>
    </w:p>
    <w:p>
      <w:pPr>
        <w:pStyle w:val="Heading3"/>
        <w:widowControl/>
      </w:pPr>
      <w:r>
        <w:t>13.3 Prohibited charts</w:t>
      </w:r>
    </w:p>
    <w:p>
      <w:pPr>
        <w:widowControl/>
      </w:pPr>
      <w:r>
        <w:rPr>
          <w:b w:val="0"/>
        </w:rPr>
        <w:t>Do not use 3D charts, decorative gauges, speedometers, exploding pies, unlabeled donuts, radar charts for unrelated measures or animated charts that move without user action.</w:t>
      </w:r>
    </w:p>
    <w:p>
      <w:pPr>
        <w:pStyle w:val="Heading3"/>
        <w:widowControl/>
      </w:pPr>
      <w:r>
        <w:t>13.4 Chart construction</w:t>
      </w:r>
    </w:p>
    <w:p>
      <w:pPr>
        <w:widowControl/>
      </w:pPr>
      <w:r>
        <w:rPr>
          <w:b w:val="0"/>
        </w:rPr>
        <w:t>Show title, business question, period, unit, data freshness and accessible summary. Directly label important values. Keep gridlines light. Use no more than six series. Provide table or textual equivalents for complex charts.</w:t>
      </w:r>
    </w:p>
    <w:p>
      <w:pPr>
        <w:widowControl/>
      </w:pPr>
      <w:r>
        <w:rPr>
          <w:b w:val="0"/>
        </w:rPr>
        <w:t>Mobile displays one chart per block with a minimum plot height of 240 px. Desktop chart height is generally 280 to 340 px. Do not reduce labels below 12 px.</w:t>
      </w:r>
    </w:p>
    <w:p>
      <w:pPr>
        <w:pStyle w:val="Heading1"/>
        <w:widowControl/>
      </w:pPr>
      <w:r>
        <w:t>14 Navigation and shell</w:t>
      </w:r>
    </w:p>
    <w:p>
      <w:pPr>
        <w:pStyle w:val="Heading3"/>
        <w:widowControl/>
      </w:pPr>
      <w:r>
        <w:t>14.1 Customer mobile web</w:t>
      </w:r>
    </w:p>
    <w:p>
      <w:pPr>
        <w:widowControl/>
      </w:pPr>
      <w:r>
        <w:rPr>
          <w:b w:val="0"/>
        </w:rPr>
        <w:t>Use a 56 px top bar with wordmark, notification and profile. Use a 64 px bottom bar plus safe-area inset with Home, Compare, Policies, Claims and Account. The selected item uses blue icon and label with a subtle assurance field, not a filled colored pill.</w:t>
      </w:r>
    </w:p>
    <w:p>
      <w:pPr>
        <w:pStyle w:val="Heading3"/>
        <w:widowControl/>
      </w:pPr>
      <w:r>
        <w:t>14.2 Agent mobile web</w:t>
      </w:r>
    </w:p>
    <w:p>
      <w:pPr>
        <w:widowControl/>
      </w:pPr>
      <w:r>
        <w:rPr>
          <w:b w:val="0"/>
        </w:rPr>
        <w:t>Use Dashboard, Clients, Sell, Portfolio and Wallet. Sell may receive a brass proof detail or elevated blue action, but must not float over content or resemble a consumer social-media action.</w:t>
      </w:r>
    </w:p>
    <w:p>
      <w:pPr>
        <w:pStyle w:val="Heading3"/>
        <w:widowControl/>
      </w:pPr>
      <w:r>
        <w:t>14.3 Broker carrier and admin mobile</w:t>
      </w:r>
    </w:p>
    <w:p>
      <w:pPr>
        <w:widowControl/>
      </w:pPr>
      <w:r>
        <w:rPr>
          <w:b w:val="0"/>
        </w:rPr>
        <w:t>Use a 56 px top bar and off-canvas drawer. Always display current organization and role. Important task shortcuts may appear as two quick actions under the title; do not recreate the desktop sidebar horizontally.</w:t>
      </w:r>
    </w:p>
    <w:p>
      <w:pPr>
        <w:pStyle w:val="Heading3"/>
        <w:widowControl/>
      </w:pPr>
      <w:r>
        <w:t>14.4 Desktop</w:t>
      </w:r>
    </w:p>
    <w:p>
      <w:pPr>
        <w:widowControl/>
      </w:pPr>
      <w:r>
        <w:rPr>
          <w:b w:val="0"/>
        </w:rPr>
        <w:t>Use a 264 px Assurance Navy sidebar, collapsible to 80 px. The top bar is 64 to 72 px. Navigation groups use clear insurance language, 44 px targets and Lucide icons. Avoid excessive group headings and deep nesting.</w:t>
      </w:r>
    </w:p>
    <w:p>
      <w:pPr>
        <w:pStyle w:val="Heading1"/>
        <w:widowControl/>
      </w:pPr>
      <w:r>
        <w:t>15 Responsive grid and spacing</w:t>
      </w:r>
    </w:p>
    <w:tbl>
      <w:tblPr>
        <w:tblW w:type="auto" w:w="0"/>
        <w:jc w:val="center"/>
        <w:tblLayout w:type="autofit"/>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84"/>
        <w:gridCol w:w="2484"/>
        <w:gridCol w:w="2484"/>
        <w:gridCol w:w="2484"/>
      </w:tblGrid>
      <w:tr>
        <w:trPr>
          <w:tblHeader w:val="true"/>
        </w:trPr>
        <w:tc>
          <w:tcPr>
            <w:tcW w:type="dxa" w:w="2484"/>
            <w:tcMar>
              <w:top w:w="110" w:type="dxa"/>
              <w:start w:w="110" w:type="dxa"/>
              <w:bottom w:w="110" w:type="dxa"/>
              <w:end w:w="110" w:type="dxa"/>
            </w:tcMar>
            <w:vAlign w:val="center"/>
            <w:shd w:fill="071A2B"/>
          </w:tcPr>
          <w:p>
            <w:pPr>
              <w:spacing w:after="0" w:line="252" w:lineRule="auto"/>
            </w:pPr>
            <w:r>
              <w:rPr>
                <w:rFonts w:ascii="Arial" w:hAnsi="Arial"/>
                <w:b/>
                <w:color w:val="FFFFFF"/>
                <w:sz w:val="17"/>
              </w:rPr>
              <w:t>Viewport</w:t>
            </w:r>
          </w:p>
        </w:tc>
        <w:tc>
          <w:tcPr>
            <w:tcW w:type="dxa" w:w="2484"/>
            <w:tcMar>
              <w:top w:w="110" w:type="dxa"/>
              <w:start w:w="110" w:type="dxa"/>
              <w:bottom w:w="110" w:type="dxa"/>
              <w:end w:w="110" w:type="dxa"/>
            </w:tcMar>
            <w:vAlign w:val="center"/>
            <w:shd w:fill="071A2B"/>
          </w:tcPr>
          <w:p>
            <w:pPr>
              <w:spacing w:after="0" w:line="252" w:lineRule="auto"/>
            </w:pPr>
            <w:r>
              <w:rPr>
                <w:rFonts w:ascii="Arial" w:hAnsi="Arial"/>
                <w:b/>
                <w:color w:val="FFFFFF"/>
                <w:sz w:val="17"/>
              </w:rPr>
              <w:t>Columns</w:t>
            </w:r>
          </w:p>
        </w:tc>
        <w:tc>
          <w:tcPr>
            <w:tcW w:type="dxa" w:w="2484"/>
            <w:tcMar>
              <w:top w:w="110" w:type="dxa"/>
              <w:start w:w="110" w:type="dxa"/>
              <w:bottom w:w="110" w:type="dxa"/>
              <w:end w:w="110" w:type="dxa"/>
            </w:tcMar>
            <w:vAlign w:val="center"/>
            <w:shd w:fill="071A2B"/>
          </w:tcPr>
          <w:p>
            <w:pPr>
              <w:spacing w:after="0" w:line="252" w:lineRule="auto"/>
            </w:pPr>
            <w:r>
              <w:rPr>
                <w:rFonts w:ascii="Arial" w:hAnsi="Arial"/>
                <w:b/>
                <w:color w:val="FFFFFF"/>
                <w:sz w:val="17"/>
              </w:rPr>
              <w:t>Margin</w:t>
            </w:r>
          </w:p>
        </w:tc>
        <w:tc>
          <w:tcPr>
            <w:tcW w:type="dxa" w:w="2484"/>
            <w:tcMar>
              <w:top w:w="110" w:type="dxa"/>
              <w:start w:w="110" w:type="dxa"/>
              <w:bottom w:w="110" w:type="dxa"/>
              <w:end w:w="110" w:type="dxa"/>
            </w:tcMar>
            <w:vAlign w:val="center"/>
            <w:shd w:fill="071A2B"/>
          </w:tcPr>
          <w:p>
            <w:pPr>
              <w:spacing w:after="0" w:line="252" w:lineRule="auto"/>
            </w:pPr>
            <w:r>
              <w:rPr>
                <w:rFonts w:ascii="Arial" w:hAnsi="Arial"/>
                <w:b/>
                <w:color w:val="FFFFFF"/>
                <w:sz w:val="17"/>
              </w:rPr>
              <w:t>Gutter</w:t>
            </w:r>
          </w:p>
        </w:tc>
      </w:tr>
      <w:tr>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320 to 374 px</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4</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16 px</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12 px</w:t>
            </w:r>
          </w:p>
        </w:tc>
      </w:tr>
      <w:tr>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375 to 479 px</w:t>
            </w:r>
          </w:p>
        </w:tc>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4</w:t>
            </w:r>
          </w:p>
        </w:tc>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20 px</w:t>
            </w:r>
          </w:p>
        </w:tc>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12 px</w:t>
            </w:r>
          </w:p>
        </w:tc>
      </w:tr>
      <w:tr>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480 to 767 px</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4</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24 px</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16 px</w:t>
            </w:r>
          </w:p>
        </w:tc>
      </w:tr>
      <w:tr>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768 to 1023 px</w:t>
            </w:r>
          </w:p>
        </w:tc>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8</w:t>
            </w:r>
          </w:p>
        </w:tc>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24 px</w:t>
            </w:r>
          </w:p>
        </w:tc>
        <w:tc>
          <w:tcPr>
            <w:tcW w:type="dxa" w:w="2484"/>
            <w:tcMar>
              <w:top w:w="110" w:type="dxa"/>
              <w:start w:w="110" w:type="dxa"/>
              <w:bottom w:w="110" w:type="dxa"/>
              <w:end w:w="110" w:type="dxa"/>
            </w:tcMar>
            <w:vAlign w:val="center"/>
            <w:shd w:fill="EFF5FF"/>
          </w:tcPr>
          <w:p>
            <w:pPr>
              <w:spacing w:after="0" w:line="252" w:lineRule="auto"/>
            </w:pPr>
            <w:r>
              <w:rPr>
                <w:rFonts w:ascii="Arial" w:hAnsi="Arial"/>
                <w:sz w:val="17"/>
              </w:rPr>
              <w:t>20 px</w:t>
            </w:r>
          </w:p>
        </w:tc>
      </w:tr>
      <w:tr>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1024 px and above</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12</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32 to 40 px</w:t>
            </w:r>
          </w:p>
        </w:tc>
        <w:tc>
          <w:tcPr>
            <w:tcW w:type="dxa" w:w="2484"/>
            <w:tcMar>
              <w:top w:w="110" w:type="dxa"/>
              <w:start w:w="110" w:type="dxa"/>
              <w:bottom w:w="110" w:type="dxa"/>
              <w:end w:w="110" w:type="dxa"/>
            </w:tcMar>
            <w:vAlign w:val="center"/>
            <w:shd w:fill="FFFFFF"/>
          </w:tcPr>
          <w:p>
            <w:pPr>
              <w:spacing w:after="0" w:line="252" w:lineRule="auto"/>
            </w:pPr>
            <w:r>
              <w:rPr>
                <w:rFonts w:ascii="Arial" w:hAnsi="Arial"/>
                <w:sz w:val="17"/>
              </w:rPr>
              <w:t>24 px</w:t>
            </w:r>
          </w:p>
        </w:tc>
      </w:tr>
    </w:tbl>
    <w:p>
      <w:pPr>
        <w:widowControl/>
        <w:spacing w:after="20"/>
      </w:pPr>
    </w:p>
    <w:p>
      <w:pPr>
        <w:widowControl/>
      </w:pPr>
      <w:r>
        <w:rPr>
          <w:b w:val="0"/>
        </w:rPr>
        <w:t>Use a 4 px spacing base with 4, 8, 12, 16, 20, 24, 32, 40, 48, 64 and 80 px steps. Application content max width is 1440 px. Reading and form content max width is 760 px.</w:t>
      </w:r>
    </w:p>
    <w:p>
      <w:pPr>
        <w:widowControl/>
      </w:pPr>
      <w:r>
        <w:rPr>
          <w:b w:val="0"/>
        </w:rPr>
        <w:t>Mobile uses one primary column. Two columns are limited to compact KPIs or paired short controls. Policy and claim grids use one column mobile, two tablet and three desktop. Never exceed four cards per row.</w:t>
      </w:r>
    </w:p>
    <w:p>
      <w:pPr>
        <w:pStyle w:val="Heading1"/>
        <w:widowControl/>
      </w:pPr>
      <w:r>
        <w:t>16 Forms and controls</w:t>
      </w:r>
    </w:p>
    <w:p>
      <w:pPr>
        <w:widowControl/>
      </w:pPr>
      <w:r>
        <w:rPr>
          <w:b w:val="0"/>
        </w:rPr>
        <w:t>Primary mobile controls are 48 to 52 px high. Minimum touch target is 44 by 44 px. Inputs use 16 px text on mobile and labels above fields. Placeholders never replace labels.</w:t>
      </w:r>
    </w:p>
    <w:p>
      <w:pPr>
        <w:widowControl/>
      </w:pPr>
      <w:r>
        <w:rPr>
          <w:b w:val="0"/>
        </w:rPr>
        <w:t>Primary buttons use Insurance Blue with white text. Secondary buttons use white with Mist border and navy text. Tertiary actions use blue text. Danger buttons use red only after destructive intent is explicit.</w:t>
      </w:r>
    </w:p>
    <w:p>
      <w:pPr>
        <w:widowControl/>
      </w:pPr>
      <w:r>
        <w:rPr>
          <w:b w:val="0"/>
        </w:rPr>
        <w:t>Long insurance applications use saved steps, progress, review and correction. Preserve entered data after recoverable failure. Show errors immediately below fields and summarize them at the top with links.</w:t>
      </w:r>
    </w:p>
    <w:p>
      <w:pPr>
        <w:pStyle w:val="Heading1"/>
        <w:widowControl/>
      </w:pPr>
      <w:r>
        <w:t>17 Tables and dense operational screens</w:t>
      </w:r>
    </w:p>
    <w:p>
      <w:pPr>
        <w:widowControl/>
      </w:pPr>
      <w:r>
        <w:rPr>
          <w:b w:val="0"/>
        </w:rPr>
        <w:t>Desktop tables use 44 to 48 px headers, 48 px comfortable rows and 40 px compact rows only where density is necessary. Amounts align right. Status labels, references and dates do not wrap unnecessarily. Headers stay visible on long lists.</w:t>
      </w:r>
    </w:p>
    <w:p>
      <w:pPr>
        <w:widowControl/>
      </w:pPr>
      <w:r>
        <w:rPr>
          <w:b w:val="0"/>
        </w:rPr>
        <w:t>On mobile, convert essential records into labeled summary cards with one primary detail action. Horizontal scrolling is acceptable only for comparison or accounting structures that cannot be transformed without losing meaning. Never scale a ten-column table to fit a phone.</w:t>
      </w:r>
    </w:p>
    <w:p>
      <w:pPr>
        <w:pStyle w:val="Heading1"/>
        <w:widowControl/>
      </w:pPr>
      <w:r>
        <w:t>18 Motion and interaction</w:t>
      </w:r>
    </w:p>
    <w:p>
      <w:pPr>
        <w:widowControl/>
      </w:pPr>
      <w:r>
        <w:rPr>
          <w:b w:val="0"/>
        </w:rPr>
        <w:t>Use 120 to 160 ms for microinteractions and 180 to 240 ms for drawers or sheets. Use cubic-bezier 0.2 0.8 0.2 1. Motion confirms state or spatial relationship; it does not decorate.</w:t>
      </w:r>
    </w:p>
    <w:p>
      <w:pPr>
        <w:widowControl/>
      </w:pPr>
      <w:r>
        <w:rPr>
          <w:b w:val="0"/>
        </w:rPr>
        <w:t>Do not bounce financial values, pulse cards indefinitely, use autoplay illustration, add parallax or animate initial chart values. Respect reduced motion.</w:t>
      </w:r>
    </w:p>
    <w:p>
      <w:pPr>
        <w:pStyle w:val="Heading1"/>
        <w:widowControl/>
      </w:pPr>
      <w:r>
        <w:t>19 Insurance proof and trust patterns</w:t>
      </w:r>
    </w:p>
    <w:p>
      <w:pPr>
        <w:pStyle w:val="Heading3"/>
        <w:widowControl/>
      </w:pPr>
      <w:r>
        <w:t>19.1 Money</w:t>
      </w:r>
    </w:p>
    <w:p>
      <w:pPr>
        <w:widowControl/>
      </w:pPr>
      <w:r>
        <w:rPr>
          <w:b w:val="0"/>
        </w:rPr>
        <w:t>Use tabular numerals and keep value with FCFA. Show gross premium, platform fee, processing fee, commission and carrier settlement as separate labeled lines. Never hide fees inside a total.</w:t>
      </w:r>
    </w:p>
    <w:p>
      <w:pPr>
        <w:pStyle w:val="Heading3"/>
        <w:widowControl/>
      </w:pPr>
      <w:r>
        <w:t>19.2 Mobile Money</w:t>
      </w:r>
    </w:p>
    <w:p>
      <w:pPr>
        <w:widowControl/>
      </w:pPr>
      <w:r>
        <w:rPr>
          <w:b w:val="0"/>
        </w:rPr>
        <w:t>Before confirmation show network, phone, gross premium, each fee and total. During processing show a persistent status panel, expected next step, timeout handling, duplicate prevention and receipt recovery.</w:t>
      </w:r>
    </w:p>
    <w:p>
      <w:pPr>
        <w:pStyle w:val="Heading3"/>
        <w:widowControl/>
      </w:pPr>
      <w:r>
        <w:t>19.3 Policy state</w:t>
      </w:r>
    </w:p>
    <w:p>
      <w:pPr>
        <w:widowControl/>
      </w:pPr>
      <w:r>
        <w:rPr>
          <w:b w:val="0"/>
        </w:rPr>
        <w:t>Show explicit status, effective period, carrier, product and next responsible party. Timeline entries include actor, action, timestamp and reason.</w:t>
      </w:r>
    </w:p>
    <w:p>
      <w:pPr>
        <w:pStyle w:val="Heading3"/>
        <w:widowControl/>
      </w:pPr>
      <w:r>
        <w:t>19.4 Permanent client attribution</w:t>
      </w:r>
    </w:p>
    <w:p>
      <w:pPr>
        <w:widowControl/>
      </w:pPr>
      <w:r>
        <w:rPr>
          <w:b w:val="0"/>
        </w:rPr>
        <w:t>Present attribution as protected ownership information with origin, partner, registration date and dispute route. Ordinary users cannot directly edit the lock.</w:t>
      </w:r>
    </w:p>
    <w:p>
      <w:pPr>
        <w:pStyle w:val="Heading3"/>
        <w:widowControl/>
      </w:pPr>
      <w:r>
        <w:t>19.5 Maker checker</w:t>
      </w:r>
    </w:p>
    <w:p>
      <w:pPr>
        <w:widowControl/>
      </w:pPr>
      <w:r>
        <w:rPr>
          <w:b w:val="0"/>
        </w:rPr>
        <w:t>Approval panels show creator, proposed change, before and after values, evidence and conflict warning. Self-approval is disabled with explanation. Approve and reject are visually separated.</w:t>
      </w:r>
    </w:p>
    <w:p>
      <w:pPr>
        <w:pStyle w:val="Heading3"/>
        <w:widowControl/>
      </w:pPr>
      <w:r>
        <w:t>19.6 Public verification</w:t>
      </w:r>
    </w:p>
    <w:p>
      <w:pPr>
        <w:widowControl/>
      </w:pPr>
      <w:r>
        <w:rPr>
          <w:b w:val="0"/>
        </w:rPr>
        <w:t>Use a strong verified, invalid, expired or revoked result with proof mark, reference and reporting guidance. Display privacy-minimized information only.</w:t>
      </w:r>
    </w:p>
    <w:p>
      <w:pPr>
        <w:pStyle w:val="Heading1"/>
        <w:widowControl/>
      </w:pPr>
      <w:r>
        <w:t>20 Accessibility and bilingual quality</w:t>
      </w:r>
    </w:p>
    <w:p>
      <w:pPr>
        <w:widowControl/>
      </w:pPr>
      <w:r>
        <w:rPr>
          <w:b w:val="0"/>
        </w:rPr>
        <w:t>Meet WCAG 2.2 AA. Contrast is at least 4.5 to 1 for normal text and 3 to 1 for large text and UI components. Provide a visible 3 px focus indicator. All functions work by keyboard. Icon-only actions have names. Status never depends on color.</w:t>
      </w:r>
    </w:p>
    <w:p>
      <w:pPr>
        <w:widowControl/>
      </w:pPr>
      <w:r>
        <w:rPr>
          <w:b w:val="0"/>
        </w:rPr>
        <w:t>Support 200 percent zoom and reflow at 320 CSS px. Respect reduced motion and increased contrast. Provide alternatives to drag gestures.</w:t>
      </w:r>
    </w:p>
    <w:p>
      <w:pPr>
        <w:widowControl/>
      </w:pPr>
      <w:r>
        <w:rPr>
          <w:b w:val="0"/>
        </w:rPr>
        <w:t>All content exists in English and French. Allow 35 percent expansion. Do not truncate legal text, navigation or action labels. Localize dates, phone display and money while preserving stable API values.</w:t>
      </w:r>
    </w:p>
    <w:p>
      <w:pPr>
        <w:pStyle w:val="Heading1"/>
        <w:widowControl/>
      </w:pPr>
      <w:r>
        <w:t>21 Performance and resilience</w:t>
      </w:r>
    </w:p>
    <w:p>
      <w:pPr>
        <w:widowControl/>
      </w:pPr>
      <w:r>
        <w:rPr>
          <w:b w:val="0"/>
        </w:rPr>
        <w:t>Target a fast, stable mobile experience on modest Android hardware and constrained networks. Subset and locally host fonts. Use SVG icons. Lazy-load noncritical imagery. Reserve image and chart dimensions to prevent layout shift. Do not send desktop-only charts to mobile.</w:t>
      </w:r>
    </w:p>
    <w:p>
      <w:pPr>
        <w:widowControl/>
      </w:pPr>
      <w:r>
        <w:rPr>
          <w:b w:val="0"/>
        </w:rPr>
        <w:t>Critical policy, payment, claim and support information remains understandable during degraded JavaScript, provider timeout or offline queuing. Show last synchronization time and queued work.</w:t>
      </w:r>
    </w:p>
    <w:p>
      <w:pPr>
        <w:pStyle w:val="Heading1"/>
        <w:widowControl/>
      </w:pPr>
      <w:r>
        <w:t>22 Dashboard acceptance standard</w:t>
      </w:r>
    </w:p>
    <w:p>
      <w:pPr>
        <w:widowControl/>
      </w:pPr>
      <w:r>
        <w:rPr>
          <w:b w:val="0"/>
        </w:rPr>
        <w:t>A dashboard is not accepted until it:</w:t>
      </w:r>
    </w:p>
    <w:p>
      <w:pPr>
        <w:widowControl/>
        <w:ind w:left="331" w:hanging="331"/>
      </w:pPr>
      <w:r>
        <w:rPr>
          <w:b/>
        </w:rPr>
        <w:t xml:space="preserve">1. </w:t>
      </w:r>
      <w:r>
        <w:rPr>
          <w:b w:val="0"/>
        </w:rPr>
        <w:t>communicates role, tenant and scope immediately;</w:t>
      </w:r>
    </w:p>
    <w:p>
      <w:pPr>
        <w:widowControl/>
        <w:ind w:left="331" w:hanging="331"/>
      </w:pPr>
      <w:r>
        <w:rPr>
          <w:b/>
        </w:rPr>
        <w:t xml:space="preserve">2. </w:t>
      </w:r>
      <w:r>
        <w:rPr>
          <w:b w:val="0"/>
        </w:rPr>
        <w:t>presents one dominant next action before decorative analysis;</w:t>
      </w:r>
    </w:p>
    <w:p>
      <w:pPr>
        <w:widowControl/>
        <w:ind w:left="331" w:hanging="331"/>
      </w:pPr>
      <w:r>
        <w:rPr>
          <w:b/>
        </w:rPr>
        <w:t xml:space="preserve">3. </w:t>
      </w:r>
      <w:r>
        <w:rPr>
          <w:b w:val="0"/>
        </w:rPr>
        <w:t>shows financial, SLA or regulatory risk clearly;</w:t>
      </w:r>
    </w:p>
    <w:p>
      <w:pPr>
        <w:widowControl/>
        <w:ind w:left="331" w:hanging="331"/>
      </w:pPr>
      <w:r>
        <w:rPr>
          <w:b/>
        </w:rPr>
        <w:t xml:space="preserve">4. </w:t>
      </w:r>
      <w:r>
        <w:rPr>
          <w:b w:val="0"/>
        </w:rPr>
        <w:t>uses the Cameroon Modern Assurance identity without cultural excess;</w:t>
      </w:r>
    </w:p>
    <w:p>
      <w:pPr>
        <w:widowControl/>
        <w:ind w:left="331" w:hanging="331"/>
      </w:pPr>
      <w:r>
        <w:rPr>
          <w:b/>
        </w:rPr>
        <w:t xml:space="preserve">5. </w:t>
      </w:r>
      <w:r>
        <w:rPr>
          <w:b w:val="0"/>
        </w:rPr>
        <w:t>contains no competing brand color system;</w:t>
      </w:r>
    </w:p>
    <w:p>
      <w:pPr>
        <w:widowControl/>
        <w:ind w:left="331" w:hanging="331"/>
      </w:pPr>
      <w:r>
        <w:rPr>
          <w:b/>
        </w:rPr>
        <w:t xml:space="preserve">6. </w:t>
      </w:r>
      <w:r>
        <w:rPr>
          <w:b w:val="0"/>
        </w:rPr>
        <w:t>works at 320, 360, 390, 430, 768, 1024, 1280 and 1440 px;</w:t>
      </w:r>
    </w:p>
    <w:p>
      <w:pPr>
        <w:widowControl/>
        <w:ind w:left="331" w:hanging="331"/>
      </w:pPr>
      <w:r>
        <w:rPr>
          <w:b/>
        </w:rPr>
        <w:t xml:space="preserve">7. </w:t>
      </w:r>
      <w:r>
        <w:rPr>
          <w:b w:val="0"/>
        </w:rPr>
        <w:t>has no page-level horizontal overflow;</w:t>
      </w:r>
    </w:p>
    <w:p>
      <w:pPr>
        <w:widowControl/>
        <w:ind w:left="331" w:hanging="331"/>
      </w:pPr>
      <w:r>
        <w:rPr>
          <w:b/>
        </w:rPr>
        <w:t xml:space="preserve">8. </w:t>
      </w:r>
      <w:r>
        <w:rPr>
          <w:b w:val="0"/>
        </w:rPr>
        <w:t>handles long French content and large FCFA values;</w:t>
      </w:r>
    </w:p>
    <w:p>
      <w:pPr>
        <w:widowControl/>
        <w:ind w:left="331" w:hanging="331"/>
      </w:pPr>
      <w:r>
        <w:rPr>
          <w:b/>
        </w:rPr>
        <w:t xml:space="preserve">9. </w:t>
      </w:r>
      <w:r>
        <w:rPr>
          <w:b w:val="0"/>
        </w:rPr>
        <w:t>uses Manrope and Inter according to their defined roles;</w:t>
      </w:r>
    </w:p>
    <w:p>
      <w:pPr>
        <w:widowControl/>
        <w:ind w:left="331" w:hanging="331"/>
      </w:pPr>
      <w:r>
        <w:rPr>
          <w:b/>
        </w:rPr>
        <w:t xml:space="preserve">10. </w:t>
      </w:r>
      <w:r>
        <w:rPr>
          <w:b w:val="0"/>
        </w:rPr>
        <w:t>uses Lucide or approved OpesInsure custom icons only;</w:t>
      </w:r>
    </w:p>
    <w:p>
      <w:pPr>
        <w:widowControl/>
        <w:ind w:left="331" w:hanging="331"/>
      </w:pPr>
      <w:r>
        <w:rPr>
          <w:b/>
        </w:rPr>
        <w:t xml:space="preserve">11. </w:t>
      </w:r>
      <w:r>
        <w:rPr>
          <w:b w:val="0"/>
        </w:rPr>
        <w:t>includes loading, empty, error, offline, denied, stale, retry and success states;</w:t>
      </w:r>
    </w:p>
    <w:p>
      <w:pPr>
        <w:widowControl/>
        <w:ind w:left="331" w:hanging="331"/>
      </w:pPr>
      <w:r>
        <w:rPr>
          <w:b/>
        </w:rPr>
        <w:t xml:space="preserve">12. </w:t>
      </w:r>
      <w:r>
        <w:rPr>
          <w:b w:val="0"/>
        </w:rPr>
        <w:t>meets keyboard, focus, contrast and touch-target standards;</w:t>
      </w:r>
    </w:p>
    <w:p>
      <w:pPr>
        <w:widowControl/>
        <w:ind w:left="331" w:hanging="331"/>
      </w:pPr>
      <w:r>
        <w:rPr>
          <w:b/>
        </w:rPr>
        <w:t xml:space="preserve">13. </w:t>
      </w:r>
      <w:r>
        <w:rPr>
          <w:b w:val="0"/>
        </w:rPr>
        <w:t>preserves tenant and role boundaries;</w:t>
      </w:r>
    </w:p>
    <w:p>
      <w:pPr>
        <w:widowControl/>
        <w:ind w:left="331" w:hanging="331"/>
      </w:pPr>
      <w:r>
        <w:rPr>
          <w:b/>
        </w:rPr>
        <w:t xml:space="preserve">14. </w:t>
      </w:r>
      <w:r>
        <w:rPr>
          <w:b w:val="0"/>
        </w:rPr>
        <w:t>exposes data freshness and drill-down meaning;</w:t>
      </w:r>
    </w:p>
    <w:p>
      <w:pPr>
        <w:widowControl/>
        <w:ind w:left="331" w:hanging="331"/>
      </w:pPr>
      <w:r>
        <w:rPr>
          <w:b/>
        </w:rPr>
        <w:t xml:space="preserve">15. </w:t>
      </w:r>
      <w:r>
        <w:rPr>
          <w:b w:val="0"/>
        </w:rPr>
        <w:t>is reviewed on a real modest Android phone;</w:t>
      </w:r>
    </w:p>
    <w:p>
      <w:pPr>
        <w:widowControl/>
        <w:ind w:left="331" w:hanging="331"/>
      </w:pPr>
      <w:r>
        <w:rPr>
          <w:b/>
        </w:rPr>
        <w:t xml:space="preserve">16. </w:t>
      </w:r>
      <w:r>
        <w:rPr>
          <w:b w:val="0"/>
        </w:rPr>
        <w:t>passes visual-regression and browser tests;</w:t>
      </w:r>
    </w:p>
    <w:p>
      <w:pPr>
        <w:widowControl/>
        <w:ind w:left="331" w:hanging="331"/>
      </w:pPr>
      <w:r>
        <w:rPr>
          <w:b/>
        </w:rPr>
        <w:t xml:space="preserve">17. </w:t>
      </w:r>
      <w:r>
        <w:rPr>
          <w:b w:val="0"/>
        </w:rPr>
        <w:t>receives design, product and compliance approval.</w:t>
      </w:r>
    </w:p>
    <w:p>
      <w:pPr>
        <w:pStyle w:val="Heading1"/>
        <w:widowControl/>
      </w:pPr>
      <w:r>
        <w:t>23 Instructions for Claude</w:t>
      </w:r>
    </w:p>
    <w:p>
      <w:pPr>
        <w:widowControl/>
      </w:pPr>
      <w:r>
        <w:rPr>
          <w:b w:val="0"/>
        </w:rPr>
        <w:t>Before implementing, inspect every existing style source and create a conflict register. Identify duplicate tokens, legacy teal brand use, ivory versus mineral canvas conflicts, body-text inconsistencies, competing card radii, oversized headers, generic Filament defaults, unsafe table behavior, missing mobile navigation and mixed icon families.</w:t>
      </w:r>
    </w:p>
    <w:p>
      <w:pPr>
        <w:widowControl/>
      </w:pPr>
      <w:r>
        <w:rPr>
          <w:b w:val="0"/>
        </w:rPr>
        <w:t>Create a page register for all 26 dashboards and every supporting page. For each record capture current defects, required identity elements, first-viewport priority, mobile structure, desktop structure, states, English and French status, accessibility results and test evidence.</w:t>
      </w:r>
    </w:p>
    <w:p>
      <w:pPr>
        <w:widowControl/>
      </w:pPr>
      <w:r>
        <w:rPr>
          <w:b w:val="0"/>
        </w:rPr>
        <w:t>Implement in batches of five page families. Do not modify insurance business logic, state machines, routes, API contracts, RBAC, tenant isolation, database behavior, payment security, ledger integrity or audit evidence merely to simplify presentation.</w:t>
      </w:r>
    </w:p>
    <w:p>
      <w:pPr>
        <w:widowControl/>
      </w:pPr>
      <w:r>
        <w:rPr>
          <w:b w:val="0"/>
        </w:rPr>
        <w:t>Do not claim completion because pages render. Completion requires responsive, bilingual, accessibility, state, performance and real-device evidence.</w:t>
      </w:r>
    </w:p>
    <w:p>
      <w:pPr>
        <w:pStyle w:val="Heading1"/>
        <w:widowControl/>
      </w:pPr>
      <w:r>
        <w:t>24 Final design test</w:t>
      </w:r>
    </w:p>
    <w:p>
      <w:pPr>
        <w:widowControl/>
      </w:pPr>
      <w:r>
        <w:rPr>
          <w:b w:val="0"/>
        </w:rPr>
        <w:t>When an insurer, broker, regulator, agent or customer opens OpesInsure, the interface must immediately communicate that the platform understands insurance, controls money carefully, respects institutions, protects relationships and was authored in Africa with global execution quality.</w:t>
      </w:r>
    </w:p>
    <w:p>
      <w:pPr>
        <w:widowControl/>
      </w:pPr>
      <w:r>
        <w:rPr>
          <w:b w:val="0"/>
        </w:rPr>
        <w:t>The intended reaction is not “this looks expensive.” It is “this organization understands trust, insurance and digital infrastructure.”</w:t>
      </w:r>
    </w:p>
    <w:sectPr w:rsidR="00FC693F" w:rsidRPr="0006063C" w:rsidSect="00034616">
      <w:headerReference w:type="default" r:id="rId9"/>
      <w:footerReference w:type="default" r:id="rId10"/>
      <w:pgSz w:w="12240" w:h="15840"/>
      <w:pgMar w:top="1037" w:right="1152" w:bottom="979"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b/>
        <w:color w:val="566776"/>
        <w:sz w:val="16"/>
      </w:rPr>
      <w:t>OPESINSURE PREMIUM VISUAL IDENTITY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4" w:lineRule="auto"/>
    </w:pPr>
    <w:rPr>
      <w:rFonts w:ascii="Arial" w:hAnsi="Arial"/>
      <w:color w:val="071A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40" w:after="14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rial" w:hAnsi="Arial"/>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rial" w:hAnsi="Arial"/>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2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OpesInsure Premium Visual Identity and Dashboard Specification</dc:title>
  <dc:subject>Cameroon Modern Assurance design system for OpesInsure</dc:subject>
  <dc:creator>Opesware Technologies</dc:creator>
  <cp:keywords/>
  <dc:description>generated by python-docx</dc:description>
  <cp:lastModifiedBy/>
  <cp:revision>1</cp:revision>
  <dcterms:created xsi:type="dcterms:W3CDTF">2013-12-23T23:15:00Z</dcterms:created>
  <dcterms:modified xsi:type="dcterms:W3CDTF">2013-12-23T23:15:00Z</dcterms:modified>
  <cp:category/>
</cp:coreProperties>
</file>