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PaperGuard: A 39-detector open-source pipeline for triage-stage statistical-anomaly screening in research-data integrity</w:t>
      </w:r>
    </w:p>
    <w:p>
      <w:pPr>
        <w:pStyle w:val="Date"/>
      </w:pPr>
      <w:r>
        <w:t xml:space="preserve">23 May 2026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is an open-source Python command-line tool and library for</w:t>
      </w:r>
      <w:r>
        <w:t xml:space="preserve"> </w:t>
      </w:r>
      <w:r>
        <w:rPr>
          <w:b/>
          <w:bCs/>
        </w:rPr>
        <w:t xml:space="preserve">triage-stage</w:t>
      </w:r>
      <w:r>
        <w:t xml:space="preserve"> </w:t>
      </w:r>
      <w:r>
        <w:t xml:space="preserve">screening of statistical anomalies in scientific</w:t>
      </w:r>
      <w:r>
        <w:t xml:space="preserve"> </w:t>
      </w:r>
      <w:r>
        <w:t xml:space="preserve">manuscripts, their accompanying data, and industrial process logs. It</w:t>
      </w:r>
      <w:r>
        <w:t xml:space="preserve"> </w:t>
      </w:r>
      <w:r>
        <w:t xml:space="preserve">composes 39 independent detectors spanning eight methodological</w:t>
      </w:r>
      <w:r>
        <w:t xml:space="preserve"> </w:t>
      </w:r>
      <w:r>
        <w:t xml:space="preserve">families — terminal-digit distribution, Benford’s law, arithmetic and</w:t>
      </w:r>
      <w:r>
        <w:t xml:space="preserve"> </w:t>
      </w:r>
      <w:r>
        <w:t xml:space="preserve">decimal consistency, GRIM / SPRITE / GRIMMER reverse-reconstruction</w:t>
      </w:r>
      <w:r>
        <w:t xml:space="preserve"> </w:t>
      </w:r>
      <w:r>
        <w:t xml:space="preserve">tests, the Carlisle baseline-plausibility procedure for randomised</w:t>
      </w:r>
      <w:r>
        <w:t xml:space="preserve"> </w:t>
      </w:r>
      <w:r>
        <w:t xml:space="preserve">trials, perceptual-hash and per-channel-histogram image forensics,</w:t>
      </w:r>
      <w:r>
        <w:t xml:space="preserve"> </w:t>
      </w:r>
      <w:r>
        <w:t xml:space="preserve">paper-mill co-authorship graph signatures, a three-detector LLM-text</w:t>
      </w:r>
      <w:r>
        <w:t xml:space="preserve"> </w:t>
      </w:r>
      <w:r>
        <w:t xml:space="preserve">layer (lexical dictionary, continuation-perplexity, and a DetectGPT</w:t>
      </w:r>
      <w:r>
        <w:t xml:space="preserve"> </w:t>
      </w:r>
      <w:r>
        <w:t xml:space="preserve">naturalness-curvature probe), and a four-detector</w:t>
      </w:r>
      <w:r>
        <w:t xml:space="preserve"> </w:t>
      </w:r>
      <w:r>
        <w:rPr>
          <w:b/>
          <w:bCs/>
        </w:rPr>
        <w:t xml:space="preserve">industrial layer</w:t>
      </w:r>
      <w:r>
        <w:t xml:space="preserve"> </w:t>
      </w:r>
      <w:r>
        <w:t xml:space="preserve">(mass-balance closure, SCADA timestamp integrity, batch-repetition</w:t>
      </w:r>
      <w:r>
        <w:t xml:space="preserve"> </w:t>
      </w:r>
      <w:r>
        <w:t xml:space="preserve">detection, and process-trend over-smoothness) covering 12</w:t>
      </w:r>
      <w:r>
        <w:t xml:space="preserve"> </w:t>
      </w:r>
      <w:r>
        <w:t xml:space="preserve">preconfigured domains (wastewater, waste-gas, pharmaceutical,</w:t>
      </w:r>
      <w:r>
        <w:t xml:space="preserve"> </w:t>
      </w:r>
      <w:r>
        <w:t xml:space="preserve">semiconductor, food, environmental, agricultural, biopharma,</w:t>
      </w:r>
      <w:r>
        <w:t xml:space="preserve"> </w:t>
      </w:r>
      <w:r>
        <w:t xml:space="preserve">biocomputation, distillation, chemical, and medical) — into a single</w:t>
      </w:r>
      <w:r>
        <w:t xml:space="preserve"> </w:t>
      </w:r>
      <w:r>
        <w:t xml:space="preserve">uniform audit report.</w:t>
      </w:r>
    </w:p>
    <w:p>
      <w:pPr>
        <w:pStyle w:val="BodyTex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ships with at least three plausible innocent</w:t>
      </w:r>
      <w:r>
        <w:t xml:space="preserve"> </w:t>
      </w:r>
      <w:r>
        <w:t xml:space="preserve">explanations and refers the reader back to the underlying statistical</w:t>
      </w:r>
      <w:r>
        <w:t xml:space="preserve"> </w:t>
      </w:r>
      <w:r>
        <w:t xml:space="preserve">test. Verdict language (</w:t>
      </w:r>
      <w:r>
        <w:t xml:space="preserve">“fraud”</w:t>
      </w:r>
      <w:r>
        <w:t xml:space="preserve">,</w:t>
      </w:r>
      <w:r>
        <w:t xml:space="preserve"> </w:t>
      </w:r>
      <w:r>
        <w:t xml:space="preserve">“fabrication”</w:t>
      </w:r>
      <w:r>
        <w:t xml:space="preserve">,</w:t>
      </w:r>
      <w:r>
        <w:t xml:space="preserve"> </w:t>
      </w:r>
      <w:r>
        <w:t xml:space="preserve">“misconduct”</w:t>
      </w:r>
      <w:r>
        <w:t xml:space="preserve">) is</w:t>
      </w:r>
      <w:r>
        <w:t xml:space="preserve"> </w:t>
      </w:r>
      <w:r>
        <w:t xml:space="preserve">forbidden in the codebase by a static check applied to all detector</w:t>
      </w:r>
      <w:r>
        <w:t xml:space="preserve"> </w:t>
      </w:r>
      <w:r>
        <w:t xml:space="preserve">code paths. The tool is therefore structurally</w:t>
      </w:r>
      <w:r>
        <w:t xml:space="preserve"> </w:t>
      </w:r>
      <w:r>
        <w:rPr>
          <w:b/>
          <w:bCs/>
        </w:rPr>
        <w:t xml:space="preserve">non-verdict</w:t>
      </w:r>
      <w:r>
        <w:t xml:space="preserve">: its</w:t>
      </w:r>
      <w:r>
        <w:t xml:space="preserve"> </w:t>
      </w:r>
      <w:r>
        <w:t xml:space="preserve">purpose is to surface manuscripts worth a human reviewer’s attention,</w:t>
      </w:r>
      <w:r>
        <w:t xml:space="preserve"> </w:t>
      </w:r>
      <w:r>
        <w:t xml:space="preserve">not to render judgment.</w:t>
      </w:r>
    </w:p>
    <w:bookmarkEnd w:id="9"/>
    <w:bookmarkStart w:id="10" w:name="statement-of-need"/>
    <w:p>
      <w:pPr>
        <w:pStyle w:val="Heading1"/>
      </w:pPr>
      <w:r>
        <w:t xml:space="preserve">Statement of need</w:t>
      </w:r>
    </w:p>
    <w:p>
      <w:pPr>
        <w:pStyle w:val="FirstParagraph"/>
      </w:pPr>
      <w:r>
        <w:t xml:space="preserve">Existing research-integrity tools target single signals:</w:t>
      </w:r>
      <w:r>
        <w:t xml:space="preserve"> </w:t>
      </w:r>
      <w:r>
        <w:rPr>
          <w:rStyle w:val="VerbatimChar"/>
        </w:rPr>
        <w:t xml:space="preserve">statcheck</w:t>
      </w:r>
      <w:r>
        <w:t xml:space="preserve"> </w:t>
      </w:r>
      <w:r>
        <w:t xml:space="preserve">(</w:t>
      </w:r>
      <w:hyperlink w:anchor="ref-nuijten2016statcheck">
        <w:r>
          <w:rPr>
            <w:rStyle w:val="Hyperlink"/>
          </w:rPr>
          <w:t xml:space="preserve">Nuijten et al. 2016</w:t>
        </w:r>
      </w:hyperlink>
      <w:r>
        <w:t xml:space="preserve">)</w:t>
      </w:r>
      <w:r>
        <w:t xml:space="preserve"> </w:t>
      </w:r>
      <w:r>
        <w:t xml:space="preserve">re-computes p-values from</w:t>
      </w:r>
      <w:r>
        <w:t xml:space="preserve"> </w:t>
      </w:r>
      <w:r>
        <w:t xml:space="preserve">reported test statistics; the GRIM test</w:t>
      </w:r>
      <w:r>
        <w:t xml:space="preserve"> </w:t>
      </w:r>
      <w:r>
        <w:t xml:space="preserve">(</w:t>
      </w:r>
      <w:hyperlink w:anchor="ref-brown2017grim">
        <w:r>
          <w:rPr>
            <w:rStyle w:val="Hyperlink"/>
          </w:rPr>
          <w:t xml:space="preserve">Brown and Heathers 2017</w:t>
        </w:r>
      </w:hyperlink>
      <w:r>
        <w:t xml:space="preserve">)</w:t>
      </w:r>
      <w:r>
        <w:t xml:space="preserve"> </w:t>
      </w:r>
      <w:r>
        <w:t xml:space="preserve">checks</w:t>
      </w:r>
      <w:r>
        <w:t xml:space="preserve"> </w:t>
      </w:r>
      <w:r>
        <w:t xml:space="preserve">granularity-vs-mean consistency in summary statistics; the Carlisle</w:t>
      </w:r>
      <w:r>
        <w:t xml:space="preserve"> </w:t>
      </w:r>
      <w:r>
        <w:t xml:space="preserve">baseline-plausibility procedure</w:t>
      </w:r>
      <w:r>
        <w:t xml:space="preserve"> </w:t>
      </w:r>
      <w:r>
        <w:t xml:space="preserve">(</w:t>
      </w:r>
      <w:hyperlink w:anchor="ref-carlisle2017non">
        <w:r>
          <w:rPr>
            <w:rStyle w:val="Hyperlink"/>
          </w:rPr>
          <w:t xml:space="preserve">Carlisle 2017</w:t>
        </w:r>
      </w:hyperlink>
      <w:r>
        <w:t xml:space="preserve">)</w:t>
      </w:r>
      <w:r>
        <w:t xml:space="preserve"> </w:t>
      </w:r>
      <w:r>
        <w:t xml:space="preserve">flags suspicious</w:t>
      </w:r>
      <w:r>
        <w:t xml:space="preserve"> </w:t>
      </w:r>
      <w:r>
        <w:t xml:space="preserve">randomization in clinical trials; SPRITE</w:t>
      </w:r>
      <w:r>
        <w:t xml:space="preserve"> </w:t>
      </w:r>
      <w:r>
        <w:t xml:space="preserve">(</w:t>
      </w:r>
      <w:hyperlink w:anchor="ref-heathers2018sprite">
        <w:r>
          <w:rPr>
            <w:rStyle w:val="Hyperlink"/>
          </w:rPr>
          <w:t xml:space="preserve">Heathers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</w:t>
        </w:r>
      </w:hyperlink>
      <w:r>
        <w:t xml:space="preserve">)</w:t>
      </w:r>
      <w:r>
        <w:t xml:space="preserve"> </w:t>
      </w:r>
      <w:r>
        <w:t xml:space="preserve">tries</w:t>
      </w:r>
      <w:r>
        <w:t xml:space="preserve"> </w:t>
      </w:r>
      <w:r>
        <w:t xml:space="preserve">to reconstruct sample distributions from summary statistics; pHash</w:t>
      </w:r>
      <w:r>
        <w:t xml:space="preserve"> </w:t>
      </w:r>
      <w:r>
        <w:t xml:space="preserve">forensics has been used since Bik et al.</w:t>
      </w:r>
      <w:r>
        <w:t xml:space="preserve"> </w:t>
      </w:r>
      <w:r>
        <w:t xml:space="preserve">(</w:t>
      </w:r>
      <w:hyperlink w:anchor="ref-bik2016prevalence">
        <w:r>
          <w:rPr>
            <w:rStyle w:val="Hyperlink"/>
          </w:rPr>
          <w:t xml:space="preserve">Bik et al. 2016</w:t>
        </w:r>
      </w:hyperlink>
      <w:r>
        <w:t xml:space="preserve">)</w:t>
      </w:r>
      <w:r>
        <w:t xml:space="preserve"> </w:t>
      </w:r>
      <w:r>
        <w:t xml:space="preserve">to</w:t>
      </w:r>
      <w:r>
        <w:t xml:space="preserve"> </w:t>
      </w:r>
      <w:r>
        <w:t xml:space="preserve">catch image duplication. Each addresses a real failure mode, but</w:t>
      </w:r>
      <w:r>
        <w:t xml:space="preserve"> </w:t>
      </w:r>
      <w:r>
        <w:t xml:space="preserve">each lives in a separate codebase (often in R rather than Python)</w:t>
      </w:r>
      <w:r>
        <w:t xml:space="preserve"> </w:t>
      </w:r>
      <w:r>
        <w:t xml:space="preserve">with its own input format, threshold choices, and reporting style.</w:t>
      </w:r>
    </w:p>
    <w:p>
      <w:pPr>
        <w:pStyle w:val="BodyText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integrates these published procedures and 30+ additional</w:t>
      </w:r>
      <w:r>
        <w:t xml:space="preserve"> </w:t>
      </w:r>
      <w:r>
        <w:t xml:space="preserve">detectors — including a four-detector industrial layer for process-data</w:t>
      </w:r>
      <w:r>
        <w:t xml:space="preserve"> </w:t>
      </w:r>
      <w:r>
        <w:t xml:space="preserve">forensics that has no direct prior art in the academic-integrity</w:t>
      </w:r>
      <w:r>
        <w:t xml:space="preserve"> </w:t>
      </w:r>
      <w:r>
        <w:t xml:space="preserve">literature — into a single Python package with:</w:t>
      </w:r>
    </w:p>
    <w:p>
      <w:pPr>
        <w:pStyle w:val="Compact"/>
        <w:numPr>
          <w:ilvl w:val="0"/>
          <w:numId w:val="1001"/>
        </w:numPr>
      </w:pPr>
      <w:r>
        <w:t xml:space="preserve">A uniform</w:t>
      </w:r>
      <w:r>
        <w:t xml:space="preserve"> </w:t>
      </w:r>
      <w:r>
        <w:rPr>
          <w:rStyle w:val="VerbatimChar"/>
        </w:rPr>
        <w:t xml:space="preserve">BaseDetector</w:t>
      </w:r>
      <w:r>
        <w:t xml:space="preserve"> </w:t>
      </w:r>
      <w:r>
        <w:t xml:space="preserve">interface and a uniform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structure carrying severity, innocent explanations, academic</w:t>
      </w:r>
      <w:r>
        <w:t xml:space="preserve"> </w:t>
      </w:r>
      <w:r>
        <w:t xml:space="preserve">citations, and applicability notes.</w:t>
      </w:r>
    </w:p>
    <w:p>
      <w:pPr>
        <w:pStyle w:val="Compact"/>
        <w:numPr>
          <w:ilvl w:val="0"/>
          <w:numId w:val="1001"/>
        </w:numPr>
      </w:pPr>
      <w:r>
        <w:t xml:space="preserve">A cross-detector combiner (</w:t>
      </w:r>
      <w:r>
        <w:rPr>
          <w:rStyle w:val="VerbatimChar"/>
        </w:rPr>
        <w:t xml:space="preserve">paperguard.evidence.combiner</w:t>
      </w:r>
      <w:r>
        <w:t xml:space="preserve">) that</w:t>
      </w:r>
      <w:r>
        <w:t xml:space="preserve"> </w:t>
      </w:r>
      <w:r>
        <w:t xml:space="preserve">aggregates per-detector p-values via Benjamini-Hochberg false</w:t>
      </w:r>
      <w:r>
        <w:t xml:space="preserve"> </w:t>
      </w:r>
      <w:r>
        <w:t xml:space="preserve">discovery rate correction</w:t>
      </w:r>
      <w:r>
        <w:t xml:space="preserve"> </w:t>
      </w:r>
      <w:r>
        <w:t xml:space="preserve">(</w:t>
      </w:r>
      <w:hyperlink w:anchor="ref-benjamini1995controlling">
        <w:r>
          <w:rPr>
            <w:rStyle w:val="Hyperlink"/>
          </w:rPr>
          <w:t xml:space="preserve">Benjamini and Hochberg 1995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w:r>
        <w:t xml:space="preserve">Stouffer-style integrity index.</w:t>
      </w:r>
    </w:p>
    <w:p>
      <w:pPr>
        <w:pStyle w:val="Compact"/>
        <w:numPr>
          <w:ilvl w:val="0"/>
          <w:numId w:val="1001"/>
        </w:numPr>
      </w:pPr>
      <w:r>
        <w:t xml:space="preserve">A plugin entry-point system that lets third parties register</w:t>
      </w:r>
      <w:r>
        <w:t xml:space="preserve"> </w:t>
      </w:r>
      <w:r>
        <w:t xml:space="preserve">custom detectors without forking the codebase.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paperguard doctor</w:t>
      </w:r>
      <w:r>
        <w:t xml:space="preserve"> </w:t>
      </w:r>
      <w:r>
        <w:t xml:space="preserve">diagnostic command for environment</w:t>
      </w:r>
      <w:r>
        <w:t xml:space="preserve"> </w:t>
      </w:r>
      <w:r>
        <w:t xml:space="preserve">pre-flight checks suitable for CI use.</w:t>
      </w:r>
    </w:p>
    <w:p>
      <w:pPr>
        <w:pStyle w:val="FirstParagraph"/>
      </w:pPr>
      <w:r>
        <w:t xml:space="preserve">The pipeline targets three use cases: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Pre-submission self-audit</w:t>
      </w:r>
      <w:r>
        <w:t xml:space="preserve"> </w:t>
      </w:r>
      <w:r>
        <w:t xml:space="preserve">for authors who want to catch</w:t>
      </w:r>
      <w:r>
        <w:t xml:space="preserve"> </w:t>
      </w:r>
      <w:r>
        <w:t xml:space="preserve">data-formatting inconsistencies before peer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Editorial-office triage</w:t>
      </w:r>
      <w:r>
        <w:t xml:space="preserve"> </w:t>
      </w:r>
      <w:r>
        <w:t xml:space="preserve">of high-volume submission streams,</w:t>
      </w:r>
      <w:r>
        <w:t xml:space="preserve"> </w:t>
      </w:r>
      <w:r>
        <w:t xml:space="preserve">surfacing manuscripts with multiple cross-detector anomalies for</w:t>
      </w:r>
      <w:r>
        <w:t xml:space="preserve"> </w:t>
      </w:r>
      <w:r>
        <w:t xml:space="preserve">human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Forensic re-examination</w:t>
      </w:r>
      <w:r>
        <w:t xml:space="preserve"> </w:t>
      </w:r>
      <w:r>
        <w:t xml:space="preserve">of post-publication concerns, where</w:t>
      </w:r>
      <w:r>
        <w:t xml:space="preserve"> </w:t>
      </w:r>
      <w:r>
        <w:t xml:space="preserve">multi-detector concordance provides independent corroboration.</w:t>
      </w:r>
    </w:p>
    <w:p>
      <w:pPr>
        <w:pStyle w:val="FirstParagraph"/>
      </w:pPr>
      <w:r>
        <w:rPr>
          <w:rStyle w:val="VerbatimChar"/>
        </w:rPr>
        <w:t xml:space="preserve">PaperGuard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human review; the conservative</w:t>
      </w:r>
      <w:r>
        <w:t xml:space="preserve"> </w:t>
      </w:r>
      <w:r>
        <w:t xml:space="preserve">disclaimer architecture is the load-bearing trust mechanism.</w:t>
      </w:r>
    </w:p>
    <w:bookmarkEnd w:id="10"/>
    <w:bookmarkStart w:id="11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Detectors are organised into eight families summarised in Table 1.</w:t>
      </w:r>
      <w:r>
        <w:t xml:space="preserve"> </w:t>
      </w:r>
      <w:r>
        <w:t xml:space="preserve">Each is a</w:t>
      </w:r>
      <w:r>
        <w:t xml:space="preserve"> </w:t>
      </w:r>
      <w:r>
        <w:rPr>
          <w:rStyle w:val="VerbatimChar"/>
        </w:rPr>
        <w:t xml:space="preserve">BaseDetector</w:t>
      </w:r>
      <w:r>
        <w:t xml:space="preserve"> </w:t>
      </w:r>
      <w:r>
        <w:t xml:space="preserve">subclass with declared</w:t>
      </w:r>
      <w:r>
        <w:t xml:space="preserve"> </w:t>
      </w:r>
      <w:r>
        <w:rPr>
          <w:rStyle w:val="VerbatimChar"/>
        </w:rPr>
        <w:t xml:space="preserve">data_requirements</w:t>
      </w:r>
      <w:r>
        <w:t xml:space="preserve">,</w:t>
      </w:r>
      <w:r>
        <w:t xml:space="preserve"> </w:t>
      </w:r>
      <w:r>
        <w:t xml:space="preserve">an explicit random seed, and a return value structured as</w:t>
      </w:r>
      <w:r>
        <w:t xml:space="preserve"> </w:t>
      </w:r>
      <w:r>
        <w:rPr>
          <w:rStyle w:val="VerbatimChar"/>
        </w:rPr>
        <w:t xml:space="preserve">DetectorResult(findings: list[Finding])</w:t>
      </w:r>
      <w:r>
        <w:t xml:space="preserve">. A golden-fixture</w:t>
      </w:r>
      <w:r>
        <w:t xml:space="preserve"> </w:t>
      </w:r>
      <w:r>
        <w:t xml:space="preserve">regression suite (</w:t>
      </w:r>
      <w:r>
        <w:rPr>
          <w:rStyle w:val="VerbatimChar"/>
        </w:rPr>
        <w:t xml:space="preserve">tests/test_golden.py</w:t>
      </w:r>
      <w:r>
        <w:t xml:space="preserve">) ensures no new detector</w:t>
      </w:r>
      <w:r>
        <w:t xml:space="preserve"> </w:t>
      </w:r>
      <w:r>
        <w:t xml:space="preserve">causes a regression on a curated set of synthetic genuine inputs.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Detectors</w:t>
            </w:r>
          </w:p>
        </w:tc>
        <w:tc>
          <w:tcPr/>
          <w:p>
            <w:pPr>
              <w:pStyle w:val="Compact"/>
            </w:pPr>
            <w:r>
              <w:t xml:space="preserve">Example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Digit-distribution</w:t>
            </w:r>
          </w:p>
        </w:tc>
        <w:tc>
          <w:tcPr/>
          <w:p>
            <w:pPr>
              <w:pStyle w:val="Compact"/>
            </w:pPr>
            <w:r>
              <w:t xml:space="preserve">A1, A2, A7</w:t>
            </w:r>
          </w:p>
        </w:tc>
        <w:tc>
          <w:tcPr/>
          <w:p>
            <w:pPr>
              <w:pStyle w:val="Compact"/>
            </w:pPr>
            <w:r>
              <w:t xml:space="preserve">Terminal digit, Benford, last-digit 0/5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 / bounds</w:t>
            </w:r>
          </w:p>
        </w:tc>
        <w:tc>
          <w:tcPr/>
          <w:p>
            <w:pPr>
              <w:pStyle w:val="Compact"/>
            </w:pPr>
            <w:r>
              <w:t xml:space="preserve">A3, A5, A6</w:t>
            </w:r>
          </w:p>
        </w:tc>
        <w:tc>
          <w:tcPr/>
          <w:p>
            <w:pPr>
              <w:pStyle w:val="Compact"/>
            </w:pPr>
            <w:r>
              <w:t xml:space="preserve">Inter-column arithmetic, decimal consistency, plausible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Summary-statistic consistency</w:t>
            </w:r>
          </w:p>
        </w:tc>
        <w:tc>
          <w:tcPr/>
          <w:p>
            <w:pPr>
              <w:pStyle w:val="Compact"/>
            </w:pPr>
            <w:r>
              <w:t xml:space="preserve">B1, B4, B5, B6, B7, B8</w:t>
            </w:r>
          </w:p>
        </w:tc>
        <w:tc>
          <w:tcPr/>
          <w:p>
            <w:pPr>
              <w:pStyle w:val="Compact"/>
            </w:pPr>
            <w:r>
              <w:t xml:space="preserve">GRIM, statcheck, TIVA, GRIMMER, p-curve, SPRITE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Clinical-trial plausibility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Carlisle baseline-imbalance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 / independence</w:t>
            </w:r>
          </w:p>
        </w:tc>
        <w:tc>
          <w:tcPr/>
          <w:p>
            <w:pPr>
              <w:pStyle w:val="Compact"/>
            </w:pPr>
            <w:r>
              <w:t xml:space="preserve">D1, D2, E1</w:t>
            </w:r>
          </w:p>
        </w:tc>
        <w:tc>
          <w:tcPr/>
          <w:p>
            <w:pPr>
              <w:pStyle w:val="Compact"/>
            </w:pPr>
            <w:r>
              <w:t xml:space="preserve">Residual smoothness, missing-pattern, intra-class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/ metadata forensics</w:t>
            </w:r>
          </w:p>
        </w:tc>
        <w:tc>
          <w:tcPr/>
          <w:p>
            <w:pPr>
              <w:pStyle w:val="Compact"/>
            </w:pPr>
            <w:r>
              <w:t xml:space="preserve">F1–F6, G1, G3, G4, G5</w:t>
            </w:r>
          </w:p>
        </w:tc>
        <w:tc>
          <w:tcPr/>
          <w:p>
            <w:pPr>
              <w:pStyle w:val="Compact"/>
            </w:pPr>
            <w:r>
              <w:t xml:space="preserve">pHash duplication, splice forensics, per-channel histogram, EXIF, docx rsid, file-metadata, reagent / equipment year-of-citation temporal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/ authorship / paper-mill</w:t>
            </w:r>
          </w:p>
        </w:tc>
        <w:tc>
          <w:tcPr/>
          <w:p>
            <w:pPr>
              <w:pStyle w:val="Compact"/>
            </w:pPr>
            <w:r>
              <w:t xml:space="preserve">M1, T1–T8</w:t>
            </w:r>
          </w:p>
        </w:tc>
        <w:tc>
          <w:tcPr/>
          <w:p>
            <w:pPr>
              <w:pStyle w:val="Compact"/>
            </w:pPr>
            <w:r>
              <w:t xml:space="preserve">Co-authorship graph, n-gram plagiarism, trial-outcome drift, data-availability audit, stylometry, three LLM-text detectors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Industrial process data</w:t>
            </w:r>
          </w:p>
        </w:tc>
        <w:tc>
          <w:tcPr/>
          <w:p>
            <w:pPr>
              <w:pStyle w:val="Compact"/>
            </w:pPr>
            <w:r>
              <w:t xml:space="preserve">I1, I2, I5, I6</w:t>
            </w:r>
          </w:p>
        </w:tc>
        <w:tc>
          <w:tcPr/>
          <w:p>
            <w:pPr>
              <w:pStyle w:val="Compact"/>
            </w:pPr>
            <w:r>
              <w:t xml:space="preserve">Mass-balance closure, SCADA timestamp integrity, batch-repetition detection, process-trend over-smoothness</w:t>
            </w:r>
          </w:p>
        </w:tc>
      </w:tr>
    </w:tbl>
    <w:p>
      <w:pPr>
        <w:pStyle w:val="BodyText"/>
      </w:pPr>
      <w:r>
        <w:t xml:space="preserve">The cross-detector combiner produces an</w:t>
      </w:r>
      <w:r>
        <w:t xml:space="preserve"> </w:t>
      </w:r>
      <w:r>
        <w:rPr>
          <w:rStyle w:val="VerbatimChar"/>
        </w:rPr>
        <w:t xml:space="preserve">integrity_score</w:t>
      </w:r>
      <w:r>
        <w:t xml:space="preserve"> </w:t>
      </w:r>
      <w:r>
        <w:t xml:space="preserve">by</w:t>
      </w:r>
      <w:r>
        <w:t xml:space="preserve"> </w:t>
      </w:r>
      <w:r>
        <w:t xml:space="preserve">Stouffer-style combination of BH-FDR-adjusted p-values. The score</w:t>
      </w:r>
      <w:r>
        <w:t xml:space="preserve"> </w:t>
      </w:r>
      <w:r>
        <w:t xml:space="preserve">maps to severity tiers (NOTE / CONCERN / SUSPICIOUS / CRITICAL)</w:t>
      </w:r>
      <w:r>
        <w:t xml:space="preserve"> </w:t>
      </w:r>
      <w:r>
        <w:t xml:space="preserve">rather than to a verdict.</w:t>
      </w:r>
    </w:p>
    <w:p>
      <w:pPr>
        <w:pStyle w:val="BodyText"/>
      </w:pPr>
      <w:r>
        <w:t xml:space="preserve">The LLM-text family is the most recent addition. T6 (lexical</w:t>
      </w:r>
      <w:r>
        <w:t xml:space="preserve"> </w:t>
      </w:r>
      <w:r>
        <w:t xml:space="preserve">signature) ships a built-in phrase dictionary curated from</w:t>
      </w:r>
      <w:r>
        <w:t xml:space="preserve"> </w:t>
      </w:r>
      <w:r>
        <w:t xml:space="preserve">Kobak et al.</w:t>
      </w:r>
      <w:r>
        <w:t xml:space="preserve"> </w:t>
      </w:r>
      <w:r>
        <w:t xml:space="preserve">(</w:t>
      </w:r>
      <w:hyperlink w:anchor="ref-kobak2025delving">
        <w:r>
          <w:rPr>
            <w:rStyle w:val="Hyperlink"/>
          </w:rPr>
          <w:t xml:space="preserve">Kobak et al. 2025</w:t>
        </w:r>
      </w:hyperlink>
      <w:r>
        <w:t xml:space="preserve">)</w:t>
      </w:r>
      <w:r>
        <w:t xml:space="preserve"> </w:t>
      </w:r>
      <w:r>
        <w:t xml:space="preserve">and Cabanac et al.</w:t>
      </w:r>
      <w:r>
        <w:t xml:space="preserve"> </w:t>
      </w:r>
      <w:r>
        <w:t xml:space="preserve">(</w:t>
      </w:r>
      <w:hyperlink w:anchor="ref-cabanac2024chatgpt">
        <w:r>
          <w:rPr>
            <w:rStyle w:val="Hyperlink"/>
          </w:rPr>
          <w:t xml:space="preserve">Cabanac et al. 2024</w:t>
        </w:r>
      </w:hyperlink>
      <w:r>
        <w:t xml:space="preserve">)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paperguard refresh-ai-dict</w:t>
      </w:r>
      <w:r>
        <w:t xml:space="preserve"> </w:t>
      </w:r>
      <w:r>
        <w:t xml:space="preserve">command</w:t>
      </w:r>
      <w:r>
        <w:t xml:space="preserve"> </w:t>
      </w:r>
      <w:r>
        <w:t xml:space="preserve">that lets users extend the dictionary without waiting for a release.</w:t>
      </w:r>
      <w:r>
        <w:t xml:space="preserve"> </w:t>
      </w:r>
      <w:r>
        <w:t xml:space="preserve">T7 and T8 adapt published-literature techniques</w:t>
      </w:r>
      <w:r>
        <w:t xml:space="preserve"> </w:t>
      </w:r>
      <w:r>
        <w:t xml:space="preserve">(</w:t>
      </w:r>
      <w:hyperlink w:anchor="ref-mitchell2023detectgpt">
        <w:r>
          <w:rPr>
            <w:rStyle w:val="Hyperlink"/>
          </w:rPr>
          <w:t xml:space="preserve">Mitchell et al. 2023</w:t>
        </w:r>
      </w:hyperlink>
      <w:r>
        <w:t xml:space="preserve">;</w:t>
      </w:r>
      <w:r>
        <w:t xml:space="preserve"> </w:t>
      </w:r>
      <w:hyperlink w:anchor="ref-gehrmann2019gltr">
        <w:r>
          <w:rPr>
            <w:rStyle w:val="Hyperlink"/>
          </w:rPr>
          <w:t xml:space="preserve">Gehrmann et al. 2019</w:t>
        </w:r>
      </w:hyperlink>
      <w:r>
        <w:t xml:space="preserve">)</w:t>
      </w:r>
      <w:r>
        <w:t xml:space="preserve"> </w:t>
      </w:r>
      <w:r>
        <w:t xml:space="preserve">so they function on</w:t>
      </w:r>
      <w:r>
        <w:t xml:space="preserve"> </w:t>
      </w:r>
      <w:r>
        <w:t xml:space="preserve">chat-completion endpoints that do not expose the legacy</w:t>
      </w:r>
      <w:r>
        <w:t xml:space="preserve"> </w:t>
      </w:r>
      <w:r>
        <w:rPr>
          <w:rStyle w:val="VerbatimChar"/>
        </w:rPr>
        <w:t xml:space="preserve">/v1/completions echo=true logprobs</w:t>
      </w:r>
      <w:r>
        <w:t xml:space="preserve"> </w:t>
      </w:r>
      <w:r>
        <w:t xml:space="preserve">interface.</w:t>
      </w:r>
    </w:p>
    <w:bookmarkEnd w:id="11"/>
    <w:bookmarkStart w:id="12" w:name="empirical-calibration"/>
    <w:p>
      <w:pPr>
        <w:pStyle w:val="Heading1"/>
      </w:pPr>
      <w:r>
        <w:t xml:space="preserve">Empirical calibration</w:t>
      </w:r>
    </w:p>
    <w:p>
      <w:pPr>
        <w:pStyle w:val="FirstParagraph"/>
      </w:pPr>
      <w:r>
        <w:t xml:space="preserve">PaperGuard ships 13 public empirical studies — a text-layer recall</w:t>
      </w:r>
      <w:r>
        <w:t xml:space="preserve"> </w:t>
      </w:r>
      <w:r>
        <w:t xml:space="preserve">benchmark series, four image-recall studies, an industrial-process</w:t>
      </w:r>
      <w:r>
        <w:t xml:space="preserve"> </w:t>
      </w:r>
      <w:r>
        <w:t xml:space="preserve">recall study, two cross-validation studies, and two controlled</w:t>
      </w:r>
      <w:r>
        <w:t xml:space="preserve"> </w:t>
      </w:r>
      <w:r>
        <w:t xml:space="preserve">LLM-endpoint benchmarks. All raw data and analysers live in the</w:t>
      </w:r>
      <w:r>
        <w:t xml:space="preserve"> </w:t>
      </w:r>
      <w:r>
        <w:t xml:space="preserve">repository’s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directory; per-study writeups are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Headlines: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Text-layer recall (v10, 100 retracted + 100 OpenAlex matched</w:t>
      </w:r>
      <w:r>
        <w:rPr>
          <w:b/>
          <w:bCs/>
        </w:rPr>
        <w:t xml:space="preserve"> </w:t>
      </w:r>
      <w:r>
        <w:rPr>
          <w:b/>
          <w:bCs/>
        </w:rPr>
        <w:t xml:space="preserve">controls via Europe PMC, 95 analysable).</w:t>
      </w:r>
      <w:r>
        <w:t xml:space="preserve"> </w:t>
      </w:r>
      <w:r>
        <w:t xml:space="preserve">The T6 lexical detector</w:t>
      </w:r>
      <w:r>
        <w:t xml:space="preserve"> </w:t>
      </w:r>
      <w:r>
        <w:t xml:space="preserve">at its default 0.003 density threshold yields LR+ ≈ 0 against</w:t>
      </w:r>
      <w:r>
        <w:t xml:space="preserve"> </w:t>
      </w:r>
      <w:r>
        <w:t xml:space="preserve">Nature-tier post-publication retractions, where copy-editing</w:t>
      </w:r>
      <w:r>
        <w:t xml:space="preserve"> </w:t>
      </w:r>
      <w:r>
        <w:t xml:space="preserve">removes lexical LLM markers; at a stricter 0.001 threshold it</w:t>
      </w:r>
      <w:r>
        <w:t xml:space="preserve"> </w:t>
      </w:r>
      <w:r>
        <w:t xml:space="preserve">yields</w:t>
      </w:r>
      <w:r>
        <w:t xml:space="preserve"> </w:t>
      </w:r>
      <w:r>
        <w:rPr>
          <w:b/>
          <w:bCs/>
        </w:rPr>
        <w:t xml:space="preserve">LR+ = ∞ (1 TP / 0 FP)</w:t>
      </w:r>
      <w:r>
        <w:t xml:space="preserve">. T6’s operating point is the</w:t>
      </w:r>
      <w:r>
        <w:t xml:space="preserve"> </w:t>
      </w:r>
      <w:r>
        <w:t xml:space="preserve">pre-submission / preprint stage, not post-publication forensics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docs/recall_test_v10.md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Image-layer recall (v6, 163 retracted + 49 control = 212</w:t>
      </w:r>
      <w:r>
        <w:rPr>
          <w:b/>
          <w:bCs/>
        </w:rPr>
        <w:t xml:space="preserve"> </w:t>
      </w:r>
      <w:r>
        <w:rPr>
          <w:b/>
          <w:bCs/>
        </w:rPr>
        <w:t xml:space="preserve">analysable).</w:t>
      </w:r>
      <w:r>
        <w:t xml:space="preserve"> </w:t>
      </w:r>
      <w:r>
        <w:t xml:space="preserve">At the documented</w:t>
      </w:r>
      <w:r>
        <w:t xml:space="preserve"> </w:t>
      </w:r>
      <w:r>
        <w:rPr>
          <w:rStyle w:val="VerbatimChar"/>
        </w:rPr>
        <w:t xml:space="preserve">z=6 / cluster=8</w:t>
      </w:r>
      <w:r>
        <w:t xml:space="preserve"> </w:t>
      </w:r>
      <w:r>
        <w:t xml:space="preserve">defaults all</w:t>
      </w:r>
      <w:r>
        <w:t xml:space="preserve"> </w:t>
      </w:r>
      <w:r>
        <w:t xml:space="preserve">three image detectors converge to</w:t>
      </w:r>
      <w:r>
        <w:t xml:space="preserve"> </w:t>
      </w:r>
      <w:r>
        <w:rPr>
          <w:b/>
          <w:bCs/>
        </w:rPr>
        <w:t xml:space="preserve">LR+ ≈ 1</w:t>
      </w:r>
      <w:r>
        <w:t xml:space="preserve"> </w:t>
      </w:r>
      <w:r>
        <w:t xml:space="preserve">(F1 1.09, F4 0.96,</w:t>
      </w:r>
      <w:r>
        <w:t xml:space="preserve"> </w:t>
      </w:r>
      <w:r>
        <w:t xml:space="preserve">F6 0.89, with 95 % Wilson CIs all bracketing 1). The image layer</w:t>
      </w:r>
      <w:r>
        <w:t xml:space="preserve"> </w:t>
      </w:r>
      <w:r>
        <w:t xml:space="preserve">is structurally tuned to the Bik-style patch-splice failure mode</w:t>
      </w:r>
      <w:r>
        <w:t xml:space="preserve"> </w:t>
      </w:r>
      <w:r>
        <w:t xml:space="preserve">(</w:t>
      </w:r>
      <w:hyperlink w:anchor="ref-bik2016prevalence">
        <w:r>
          <w:rPr>
            <w:rStyle w:val="Hyperlink"/>
          </w:rPr>
          <w:t xml:space="preserve">Bik et al. 2016</w:t>
        </w:r>
      </w:hyperlink>
      <w:r>
        <w:t xml:space="preserve">)</w:t>
      </w:r>
      <w:r>
        <w:t xml:space="preserve">, which is rare in randomly-sampled retracted</w:t>
      </w:r>
      <w:r>
        <w:t xml:space="preserve"> </w:t>
      </w:r>
      <w:r>
        <w:t xml:space="preserve">papers; on the biomedical OA corpus dominated by statistical-</w:t>
      </w:r>
      <w:r>
        <w:t xml:space="preserve"> </w:t>
      </w:r>
      <w:r>
        <w:t xml:space="preserve">fabrication, paper-mill, and image-reuse failures, single-</w:t>
      </w:r>
      <w:r>
        <w:t xml:space="preserve"> </w:t>
      </w:r>
      <w:r>
        <w:t xml:space="preserve">detector image LR+ is indistinguishable from chance. The layer</w:t>
      </w:r>
      <w:r>
        <w:t xml:space="preserve"> </w:t>
      </w:r>
      <w:r>
        <w:t xml:space="preserve">retains value as a contributor to the cross-detector combiner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docs/recall_image_v6.md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Industrial-layer recall (v1, 2 domains × 50+50 synthetic</w:t>
      </w:r>
      <w:r>
        <w:rPr>
          <w:b/>
          <w:bCs/>
        </w:rPr>
        <w:t xml:space="preserve"> </w:t>
      </w:r>
      <w:r>
        <w:rPr>
          <w:b/>
          <w:bCs/>
        </w:rPr>
        <w:t xml:space="preserve">datasets).</w:t>
      </w:r>
      <w:r>
        <w:t xml:space="preserve"> </w:t>
      </w:r>
      <w:r>
        <w:t xml:space="preserve">I5 (batch-repetition) achieves</w:t>
      </w:r>
      <w:r>
        <w:t xml:space="preserve"> </w:t>
      </w:r>
      <w:r>
        <w:rPr>
          <w:b/>
          <w:bCs/>
        </w:rPr>
        <w:t xml:space="preserve">LR+ = ∞</w:t>
      </w:r>
      <w:r>
        <w:t xml:space="preserve"> </w:t>
      </w:r>
      <w:r>
        <w:t xml:space="preserve">on the</w:t>
      </w:r>
      <w:r>
        <w:t xml:space="preserve"> </w:t>
      </w:r>
      <w:r>
        <w:t xml:space="preserve">wastewater domain at template defaults (60 % TPR / 0 % FPR);</w:t>
      </w:r>
      <w:r>
        <w:t xml:space="preserve"> </w:t>
      </w:r>
      <w:r>
        <w:t xml:space="preserve">I1 and I2 fire 100 % / 100 % indicating their tolerances need</w:t>
      </w:r>
      <w:r>
        <w:t xml:space="preserve"> </w:t>
      </w:r>
      <w:r>
        <w:t xml:space="preserve">per-plant calibration. No direct prior art exists in the</w:t>
      </w:r>
      <w:r>
        <w:t xml:space="preserve"> </w:t>
      </w:r>
      <w:r>
        <w:t xml:space="preserve">academic-integrity literature (see</w:t>
      </w:r>
      <w:r>
        <w:t xml:space="preserve"> </w:t>
      </w:r>
      <w:r>
        <w:rPr>
          <w:rStyle w:val="VerbatimChar"/>
        </w:rPr>
        <w:t xml:space="preserve">docs/recall_industrial_v1.md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B4 statcheck cross-validation (N=41).</w:t>
      </w:r>
      <w:r>
        <w:t xml:space="preserve"> </w:t>
      </w:r>
      <w:r>
        <w:t xml:space="preserve">Against the R</w:t>
      </w:r>
      <w:r>
        <w:t xml:space="preserve"> </w:t>
      </w:r>
      <w:r>
        <w:rPr>
          <w:rStyle w:val="VerbatimChar"/>
        </w:rPr>
        <w:t xml:space="preserve">statcheck</w:t>
      </w:r>
      <w:r>
        <w:t xml:space="preserve"> </w:t>
      </w:r>
      <w:r>
        <w:t xml:space="preserve">package on the same corpus, B4 achieves Cohen’s</w:t>
      </w:r>
      <w:r>
        <w:t xml:space="preserve"> </w:t>
      </w:r>
      <w:r>
        <w:t xml:space="preserve">κ = 0.79 on the decision-flip class — Landis-Koch substantial</w:t>
      </w:r>
      <w:r>
        <w:t xml:space="preserve"> </w:t>
      </w:r>
      <w:r>
        <w:t xml:space="preserve">agreement</w:t>
      </w:r>
      <w:r>
        <w:t xml:space="preserve"> </w:t>
      </w:r>
      <w:r>
        <w:t xml:space="preserve">(</w:t>
      </w:r>
      <w:hyperlink w:anchor="ref-landis1977measurement">
        <w:r>
          <w:rPr>
            <w:rStyle w:val="Hyperlink"/>
          </w:rPr>
          <w:t xml:space="preserve">Landis and Koch 1977</w:t>
        </w:r>
      </w:hyperlink>
      <w:r>
        <w:t xml:space="preserve">;</w:t>
      </w:r>
      <w:r>
        <w:t xml:space="preserve"> </w:t>
      </w:r>
      <w:hyperlink w:anchor="ref-nuijten2016statcheck">
        <w:r>
          <w:rPr>
            <w:rStyle w:val="Hyperlink"/>
          </w:rPr>
          <w:t xml:space="preserve">Nuijten et al. 2016</w:t>
        </w:r>
      </w:hyperlink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docs/crossval_statcheck_kappa.md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T7 controlled endpoint benchmark — five-endpoint study</w:t>
      </w:r>
      <w:r>
        <w:rPr>
          <w:b/>
          <w:bCs/>
        </w:rPr>
        <w:t xml:space="preserve"> </w:t>
      </w:r>
      <w:r>
        <w:rPr>
          <w:b/>
          <w:bCs/>
        </w:rPr>
        <w:t xml:space="preserve">(10 + 10 corpus).</w:t>
      </w:r>
      <w:r>
        <w:t xml:space="preserve"> </w:t>
      </w:r>
      <w:r>
        <w:t xml:space="preserve">All four OpenAI models with logprobs show</w:t>
      </w:r>
      <w:r>
        <w:t xml:space="preserve"> </w:t>
      </w:r>
      <w:r>
        <w:rPr>
          <w:i/>
          <w:iCs/>
        </w:rPr>
        <w:t xml:space="preserve">reversed</w:t>
      </w:r>
      <w:r>
        <w:t xml:space="preserve"> </w:t>
      </w:r>
      <w:r>
        <w:t xml:space="preserve">direction (AI ppl &gt; human ppl) at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ranging from</w:t>
      </w:r>
      <w:r>
        <w:t xml:space="preserve"> </w:t>
      </w:r>
      <w:r>
        <w:t xml:space="preserve">0.047 (</w:t>
      </w:r>
      <w:r>
        <w:rPr>
          <w:rStyle w:val="VerbatimChar"/>
        </w:rPr>
        <w:t xml:space="preserve">gpt-4o-mini</w:t>
      </w:r>
      <w:r>
        <w:t xml:space="preserve">) to 2.1 × 10⁻⁶ (</w:t>
      </w:r>
      <w:r>
        <w:rPr>
          <w:rStyle w:val="VerbatimChar"/>
        </w:rPr>
        <w:t xml:space="preserve">gpt-4</w:t>
      </w:r>
      <w:r>
        <w:t xml:space="preserve">), with three of</w:t>
      </w:r>
      <w:r>
        <w:t xml:space="preserve"> </w:t>
      </w:r>
      <w:r>
        <w:t xml:space="preserve">four giving LR+ = ∞ (TPR 70–90 %, FPR 0 %) at max(human)</w:t>
      </w:r>
      <w:r>
        <w:t xml:space="preserve"> </w:t>
      </w:r>
      <w:r>
        <w:t xml:space="preserve">threshold. The non-OpenAI endpoint (Groq</w:t>
      </w:r>
      <w:r>
        <w:t xml:space="preserve"> </w:t>
      </w:r>
      <w:r>
        <w:rPr>
          <w:rStyle w:val="VerbatimChar"/>
        </w:rPr>
        <w:t xml:space="preserve">qwen/qwen3-32b</w:t>
      </w:r>
      <w:r>
        <w:t xml:space="preserve">)</w:t>
      </w:r>
      <w:r>
        <w:t xml:space="preserve"> </w:t>
      </w:r>
      <w:r>
        <w:t xml:space="preserve">shows the textbook direction (LR+ = 1.69 weak). The pattern is</w:t>
      </w:r>
      <w:r>
        <w:t xml:space="preserve"> </w:t>
      </w:r>
      <w:r>
        <w:t xml:space="preserve">not monotonic in model size, and OpenAI reasoning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o1</w:t>
      </w:r>
      <w:r>
        <w:t xml:space="preserve">/</w:t>
      </w:r>
      <w:r>
        <w:rPr>
          <w:rStyle w:val="VerbatimChar"/>
        </w:rPr>
        <w:t xml:space="preserve">o3-mini</w:t>
      </w:r>
      <w:r>
        <w:t xml:space="preserve">/</w:t>
      </w:r>
      <w:r>
        <w:rPr>
          <w:rStyle w:val="VerbatimChar"/>
        </w:rPr>
        <w:t xml:space="preserve">o4-mini</w:t>
      </w:r>
      <w:r>
        <w:t xml:space="preserve">) API-block logprobs entirely. T7</w:t>
      </w:r>
      <w:r>
        <w:t xml:space="preserve"> </w:t>
      </w:r>
      <w:r>
        <w:t xml:space="preserve">inversion is exposed as a per-endpoint configuration choice</w:t>
      </w:r>
      <w:r>
        <w:t xml:space="preserve"> </w:t>
      </w:r>
      <w:r>
        <w:t xml:space="preserve">(auto-detected since 2.6.0) — see</w:t>
      </w:r>
      <w:r>
        <w:t xml:space="preserve"> </w:t>
      </w:r>
      <w:r>
        <w:rPr>
          <w:rStyle w:val="VerbatimChar"/>
        </w:rPr>
        <w:t xml:space="preserve">docs/llm_detection_real_endpoints.md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T8 controlled endpoint benchmark.</w:t>
      </w:r>
      <w:r>
        <w:t xml:space="preserve"> </w:t>
      </w:r>
      <w:r>
        <w:t xml:space="preserve">On a non-reasoning</w:t>
      </w:r>
      <w:r>
        <w:t xml:space="preserve"> </w:t>
      </w:r>
      <w:r>
        <w:t xml:space="preserve">paraphraser (OpenAI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, N=10+10) T8 yields</w:t>
      </w:r>
      <w:r>
        <w:t xml:space="preserve"> </w:t>
      </w:r>
      <w:r>
        <w:rPr>
          <w:b/>
          <w:bCs/>
        </w:rPr>
        <w:t xml:space="preserve">LR+ = ∞</w:t>
      </w:r>
      <w:r>
        <w:t xml:space="preserve"> </w:t>
      </w:r>
      <w:r>
        <w:t xml:space="preserve">(2 / 10 TP, 0 / 10 FP). On a reasoning-model paraphraser</w:t>
      </w:r>
      <w:r>
        <w:t xml:space="preserve"> </w:t>
      </w:r>
      <w:r>
        <w:t xml:space="preserve">(DeepSeek-v4-flash) the rewrites stay on-manifold and LR+</w:t>
      </w:r>
      <w:r>
        <w:t xml:space="preserve"> </w:t>
      </w:r>
      <w:r>
        <w:t xml:space="preserve">collapses to 0.25 — directly validating the structural</w:t>
      </w:r>
      <w:r>
        <w:t xml:space="preserve"> </w:t>
      </w:r>
      <w:r>
        <w:t xml:space="preserve">prediction in</w:t>
      </w:r>
      <w:r>
        <w:t xml:space="preserve"> </w:t>
      </w:r>
      <w:r>
        <w:t xml:space="preserve">(</w:t>
      </w:r>
      <w:hyperlink w:anchor="ref-mitchell2023detectgpt">
        <w:r>
          <w:rPr>
            <w:rStyle w:val="Hyperlink"/>
          </w:rPr>
          <w:t xml:space="preserve">Mitchell et al. 2023</w:t>
        </w:r>
      </w:hyperlink>
      <w:r>
        <w:t xml:space="preserve">)</w:t>
      </w:r>
      <w:r>
        <w:t xml:space="preserve">. The detector ships an</w:t>
      </w:r>
      <w:r>
        <w:t xml:space="preserve"> </w:t>
      </w:r>
      <w:r>
        <w:t xml:space="preserve">authoritative endpoint-compatibility matrix.</w:t>
      </w:r>
    </w:p>
    <w:p>
      <w:pPr>
        <w:pStyle w:val="FirstParagraph"/>
      </w:pPr>
      <w:r>
        <w:t xml:space="preserve">Publishing these numbers at face value — including the image-</w:t>
      </w:r>
      <w:r>
        <w:t xml:space="preserve"> </w:t>
      </w:r>
      <w:r>
        <w:t xml:space="preserve">layer’s LR+ ≈ 1 and the T7 inversion — is an explicit design</w:t>
      </w:r>
      <w:r>
        <w:t xml:space="preserve"> </w:t>
      </w:r>
      <w:r>
        <w:t xml:space="preserve">choice. PaperGuard publishes its own false-negative rates and</w:t>
      </w:r>
      <w:r>
        <w:t xml:space="preserve"> </w:t>
      </w:r>
      <w:r>
        <w:t xml:space="preserve">per-endpoint failure modes so users can calibrate trust.</w:t>
      </w:r>
    </w:p>
    <w:bookmarkEnd w:id="12"/>
    <w:bookmarkStart w:id="14" w:name="software-quality"/>
    <w:p>
      <w:pPr>
        <w:pStyle w:val="Heading1"/>
      </w:pPr>
      <w:r>
        <w:t xml:space="preserve">Software quality</w:t>
      </w:r>
    </w:p>
    <w:p>
      <w:pPr>
        <w:pStyle w:val="FirstParagraph"/>
      </w:pPr>
      <w:r>
        <w:t xml:space="preserve">PaperGuard 2.6.1 ships 103 source files with 539 unit and</w:t>
      </w:r>
      <w:r>
        <w:t xml:space="preserve"> </w:t>
      </w:r>
      <w:r>
        <w:t xml:space="preserve">integration tests (3 additional network-dependent tests deselected</w:t>
      </w:r>
      <w:r>
        <w:t xml:space="preserve"> </w:t>
      </w:r>
      <w:r>
        <w:t xml:space="preserve">by default). The project enforces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style checks and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 </w:t>
      </w:r>
      <w:r>
        <w:t xml:space="preserve">type checks in CI on Linux, macOS, and Windows for</w:t>
      </w:r>
      <w:r>
        <w:t xml:space="preserve"> </w:t>
      </w:r>
      <w:r>
        <w:t xml:space="preserve">Python 3.11 and 3.12. A</w:t>
      </w:r>
      <w:r>
        <w:t xml:space="preserve"> </w:t>
      </w:r>
      <w:r>
        <w:rPr>
          <w:rStyle w:val="VerbatimChar"/>
        </w:rPr>
        <w:t xml:space="preserve">paperguard doctor</w:t>
      </w:r>
      <w:r>
        <w:t xml:space="preserve"> </w:t>
      </w:r>
      <w:r>
        <w:t xml:space="preserve">command runs a</w:t>
      </w:r>
      <w:r>
        <w:t xml:space="preserve"> </w:t>
      </w:r>
      <w:r>
        <w:t xml:space="preserve">19-item environment health check (Python version, required and</w:t>
      </w:r>
      <w:r>
        <w:t xml:space="preserve"> </w:t>
      </w:r>
      <w:r>
        <w:t xml:space="preserve">optional dependencies, detector registry, plugin entry points, cache</w:t>
      </w:r>
      <w:r>
        <w:t xml:space="preserve"> </w:t>
      </w:r>
      <w:r>
        <w:t xml:space="preserve">directory writability, dynamic dictionary state, image-corpus</w:t>
      </w:r>
      <w:r>
        <w:t xml:space="preserve"> </w:t>
      </w:r>
      <w:r>
        <w:t xml:space="preserve">presence, and LLM endpoint configuration) and reports</w:t>
      </w:r>
      <w:r>
        <w:t xml:space="preserve"> </w:t>
      </w:r>
      <w:r>
        <w:t xml:space="preserve">machine-readable JSON suitable for CI pre-flight use.</w:t>
      </w:r>
    </w:p>
    <w:p>
      <w:pPr>
        <w:pStyle w:val="BodyText"/>
      </w:pPr>
      <w:r>
        <w:t xml:space="preserve">The package is on PyPI as</w:t>
      </w:r>
      <w:r>
        <w:t xml:space="preserve"> </w:t>
      </w:r>
      <w:r>
        <w:rPr>
          <w:rStyle w:val="VerbatimChar"/>
        </w:rPr>
        <w:t xml:space="preserve">paperguard</w:t>
      </w:r>
      <w:r>
        <w:t xml:space="preserve"> </w:t>
      </w:r>
      <w:r>
        <w:t xml:space="preserve">(current 2.6.1), with a live</w:t>
      </w:r>
      <w:r>
        <w:t xml:space="preserve"> </w:t>
      </w:r>
      <w:r>
        <w:t xml:space="preserve">browser demo at</w:t>
      </w:r>
      <w:r>
        <w:t xml:space="preserve"> </w:t>
      </w:r>
      <w:hyperlink r:id="rId13">
        <w:r>
          <w:rPr>
            <w:rStyle w:val="Hyperlink"/>
          </w:rPr>
          <w:t xml:space="preserve">huggingface.co/spaces/exergyleizhou/paperguard-demo</w:t>
        </w:r>
      </w:hyperlink>
      <w:r>
        <w:t xml:space="preserve"> </w:t>
      </w:r>
      <w:r>
        <w:t xml:space="preserve">and multi-architecture Docker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linux/amd64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linux/arm64</w:t>
      </w:r>
      <w:r>
        <w:t xml:space="preserve">) on the GitHub Container Registry at</w:t>
      </w:r>
      <w:r>
        <w:t xml:space="preserve"> </w:t>
      </w:r>
      <w:r>
        <w:rPr>
          <w:rStyle w:val="VerbatimChar"/>
        </w:rPr>
        <w:t xml:space="preserve">ghcr.io/exergyleizhou-ux/paperguard:latest</w:t>
      </w:r>
      <w:r>
        <w:t xml:space="preserve">.</w:t>
      </w:r>
    </w:p>
    <w:bookmarkEnd w:id="14"/>
    <w:bookmarkStart w:id="15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PaperGuard owes its statistical foundation to the work of James</w:t>
      </w:r>
      <w:r>
        <w:t xml:space="preserve"> </w:t>
      </w:r>
      <w:r>
        <w:t xml:space="preserve">Heathers, Nick Brown, Elisabeth Bik, John Carlisle, Michèle</w:t>
      </w:r>
      <w:r>
        <w:t xml:space="preserve"> </w:t>
      </w:r>
      <w:r>
        <w:t xml:space="preserve">Nuijten, Guillaume Cabanac, Dmitry Kobak, Eric Mitchell, and the</w:t>
      </w:r>
      <w:r>
        <w:t xml:space="preserve"> </w:t>
      </w:r>
      <w:r>
        <w:t xml:space="preserve">broader research-integrity community. The project is independent</w:t>
      </w:r>
      <w:r>
        <w:t xml:space="preserve"> </w:t>
      </w:r>
      <w:r>
        <w:t xml:space="preserve">and unaffiliated with any of the authors cited; any errors in the</w:t>
      </w:r>
      <w:r>
        <w:t xml:space="preserve"> </w:t>
      </w:r>
      <w:r>
        <w:t xml:space="preserve">implementation or interpretation are entirely the implementers’.</w:t>
      </w:r>
    </w:p>
    <w:bookmarkEnd w:id="15"/>
    <w:bookmarkStart w:id="36" w:name="references"/>
    <w:p>
      <w:pPr>
        <w:pStyle w:val="Heading1"/>
      </w:pPr>
      <w:r>
        <w:t xml:space="preserve">References</w:t>
      </w:r>
    </w:p>
    <w:bookmarkStart w:id="35" w:name="refs"/>
    <w:bookmarkStart w:id="1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 Series B</w:t>
      </w:r>
      <w:r>
        <w:t xml:space="preserve"> </w:t>
      </w:r>
      <w:r>
        <w:t xml:space="preserve">57 (1): 289–300.</w:t>
      </w:r>
      <w:r>
        <w:t xml:space="preserve"> </w:t>
      </w:r>
      <w:hyperlink r:id="rId1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7"/>
    <w:bookmarkStart w:id="19" w:name="ref-bik2016prevalence"/>
    <w:p>
      <w:pPr>
        <w:pStyle w:val="Bibliography"/>
      </w:pPr>
      <w:r>
        <w:t xml:space="preserve">Bik, Elisabeth M, Arturo Casadevall, and Ferric C Fang. 2016.</w:t>
      </w:r>
      <w:r>
        <w:t xml:space="preserve"> </w:t>
      </w:r>
      <w:r>
        <w:t xml:space="preserve">“The Prevalence of Inappropriate Image Duplication in Biomedical Research Publications.”</w:t>
      </w:r>
      <w:r>
        <w:t xml:space="preserve"> </w:t>
      </w:r>
      <w:r>
        <w:rPr>
          <w:i/>
          <w:iCs/>
        </w:rPr>
        <w:t xml:space="preserve">mBio</w:t>
      </w:r>
      <w:r>
        <w:t xml:space="preserve"> </w:t>
      </w:r>
      <w:r>
        <w:t xml:space="preserve">7 (3): e00809–16.</w:t>
      </w:r>
      <w:r>
        <w:t xml:space="preserve"> </w:t>
      </w:r>
      <w:hyperlink r:id="rId18">
        <w:r>
          <w:rPr>
            <w:rStyle w:val="Hyperlink"/>
          </w:rPr>
          <w:t xml:space="preserve">https://doi.org/10.1128/mBio.00809-16</w:t>
        </w:r>
      </w:hyperlink>
      <w:r>
        <w:t xml:space="preserve">.</w:t>
      </w:r>
    </w:p>
    <w:bookmarkEnd w:id="19"/>
    <w:bookmarkStart w:id="21" w:name="ref-brown2017grim"/>
    <w:p>
      <w:pPr>
        <w:pStyle w:val="Bibliography"/>
      </w:pPr>
      <w:r>
        <w:t xml:space="preserve">Brown, Nicholas JL, and James AJ Heathers. 2017.</w:t>
      </w:r>
      <w:r>
        <w:t xml:space="preserve"> </w:t>
      </w:r>
      <w:r>
        <w:t xml:space="preserve">“The GRIM Test: A Simple Technique Detects Numerous Anomalies in the Reporting of Results in Psychology.”</w:t>
      </w:r>
      <w:r>
        <w:t xml:space="preserve"> </w:t>
      </w:r>
      <w:r>
        <w:rPr>
          <w:i/>
          <w:iCs/>
        </w:rPr>
        <w:t xml:space="preserve">Social Psychological and Personality Science</w:t>
      </w:r>
      <w:r>
        <w:t xml:space="preserve"> </w:t>
      </w:r>
      <w:r>
        <w:t xml:space="preserve">8 (4): 363–69.</w:t>
      </w:r>
      <w:r>
        <w:t xml:space="preserve"> </w:t>
      </w:r>
      <w:hyperlink r:id="rId20">
        <w:r>
          <w:rPr>
            <w:rStyle w:val="Hyperlink"/>
          </w:rPr>
          <w:t xml:space="preserve">https://doi.org/10.1177/1948550616673876</w:t>
        </w:r>
      </w:hyperlink>
      <w:r>
        <w:t xml:space="preserve">.</w:t>
      </w:r>
    </w:p>
    <w:bookmarkEnd w:id="21"/>
    <w:bookmarkStart w:id="22" w:name="ref-cabanac2024chatgpt"/>
    <w:p>
      <w:pPr>
        <w:pStyle w:val="Bibliography"/>
      </w:pPr>
      <w:r>
        <w:t xml:space="preserve">Cabanac, Guillaume, Cyril Labbé, and Alexander Magazinov. 2024.</w:t>
      </w:r>
      <w:r>
        <w:t xml:space="preserve"> </w:t>
      </w:r>
      <w:r>
        <w:t xml:space="preserve">“ChatGPT-Generated Text in Increasing Number of Scientific Papers.”</w:t>
      </w:r>
      <w:r>
        <w:t xml:space="preserve"> </w:t>
      </w:r>
      <w:r>
        <w:rPr>
          <w:i/>
          <w:iCs/>
        </w:rPr>
        <w:t xml:space="preserve">Nature</w:t>
      </w:r>
      <w:r>
        <w:t xml:space="preserve">.</w:t>
      </w:r>
    </w:p>
    <w:bookmarkEnd w:id="22"/>
    <w:bookmarkStart w:id="24" w:name="ref-carlisle2017non"/>
    <w:p>
      <w:pPr>
        <w:pStyle w:val="Bibliography"/>
      </w:pPr>
      <w:r>
        <w:t xml:space="preserve">Carlisle, John B. 2017.</w:t>
      </w:r>
      <w:r>
        <w:t xml:space="preserve"> </w:t>
      </w:r>
      <w:r>
        <w:t xml:space="preserve">“Data Fabrication and Other Reasons for Non-Random Sampling in 5087 Randomised, Controlled Trials in Anaesthetic and General Medical Journals.”</w:t>
      </w:r>
      <w:r>
        <w:t xml:space="preserve"> </w:t>
      </w:r>
      <w:r>
        <w:rPr>
          <w:i/>
          <w:iCs/>
        </w:rPr>
        <w:t xml:space="preserve">Anaesthesia</w:t>
      </w:r>
      <w:r>
        <w:t xml:space="preserve"> </w:t>
      </w:r>
      <w:r>
        <w:t xml:space="preserve">72 (8): 944–52.</w:t>
      </w:r>
      <w:r>
        <w:t xml:space="preserve"> </w:t>
      </w:r>
      <w:hyperlink r:id="rId23">
        <w:r>
          <w:rPr>
            <w:rStyle w:val="Hyperlink"/>
          </w:rPr>
          <w:t xml:space="preserve">https://doi.org/10.1111/anae.13938</w:t>
        </w:r>
      </w:hyperlink>
      <w:r>
        <w:t xml:space="preserve">.</w:t>
      </w:r>
    </w:p>
    <w:bookmarkEnd w:id="24"/>
    <w:bookmarkStart w:id="26" w:name="ref-gehrmann2019gltr"/>
    <w:p>
      <w:pPr>
        <w:pStyle w:val="Bibliography"/>
      </w:pPr>
      <w:r>
        <w:t xml:space="preserve">Gehrmann, Sebastian, Hendrik Strobelt, and Alexander M Rush. 2019.</w:t>
      </w:r>
      <w:r>
        <w:t xml:space="preserve"> </w:t>
      </w:r>
      <w:r>
        <w:t xml:space="preserve">“GLTR: Statistical Detection and Visualization of Generated Text.”</w:t>
      </w:r>
      <w:r>
        <w:t xml:space="preserve"> </w:t>
      </w:r>
      <w:r>
        <w:rPr>
          <w:i/>
          <w:iCs/>
        </w:rPr>
        <w:t xml:space="preserve">Proceedings of ACL System Demonstrations</w:t>
      </w:r>
      <w:r>
        <w:t xml:space="preserve">, 111–16.</w:t>
      </w:r>
      <w:r>
        <w:t xml:space="preserve"> </w:t>
      </w:r>
      <w:hyperlink r:id="rId25">
        <w:r>
          <w:rPr>
            <w:rStyle w:val="Hyperlink"/>
          </w:rPr>
          <w:t xml:space="preserve">https://doi.org/10.18653/v1/P19-3019</w:t>
        </w:r>
      </w:hyperlink>
      <w:r>
        <w:t xml:space="preserve">.</w:t>
      </w:r>
    </w:p>
    <w:bookmarkEnd w:id="26"/>
    <w:bookmarkStart w:id="28" w:name="ref-heathers2018sprite"/>
    <w:p>
      <w:pPr>
        <w:pStyle w:val="Bibliography"/>
      </w:pPr>
      <w:r>
        <w:t xml:space="preserve">Heathers, James AJ, Nicholas JL Brown, James C Coyne, et al.</w:t>
      </w:r>
      <w:r>
        <w:t xml:space="preserve"> 2018.</w:t>
      </w:r>
      <w:r>
        <w:t xml:space="preserve"> </w:t>
      </w:r>
      <w:r>
        <w:rPr>
          <w:i/>
          <w:iCs/>
        </w:rPr>
        <w:t xml:space="preserve">Recovering Data from Summary Statistics: Sample Parameter Reconstruction via Iterative TEchniques (SPRITE)</w:t>
      </w:r>
      <w:r>
        <w:t xml:space="preserve">. PeerJ Preprints 6:e26968v1.</w:t>
      </w:r>
      <w:r>
        <w:t xml:space="preserve"> </w:t>
      </w:r>
      <w:hyperlink r:id="rId27">
        <w:r>
          <w:rPr>
            <w:rStyle w:val="Hyperlink"/>
          </w:rPr>
          <w:t xml:space="preserve">https://doi.org/10.7287/peerj.preprints.26968v1</w:t>
        </w:r>
      </w:hyperlink>
      <w:r>
        <w:t xml:space="preserve">.</w:t>
      </w:r>
    </w:p>
    <w:bookmarkEnd w:id="28"/>
    <w:bookmarkStart w:id="29" w:name="ref-kobak2025delving"/>
    <w:p>
      <w:pPr>
        <w:pStyle w:val="Bibliography"/>
      </w:pPr>
      <w:r>
        <w:t xml:space="preserve">Kobak, Dmitry, Rita G Márquez, Sebastian Lapuschkin, and Wojciech Samek. 2025.</w:t>
      </w:r>
      <w:r>
        <w:t xml:space="preserve"> </w:t>
      </w:r>
      <w:r>
        <w:t xml:space="preserve">“Delving into ChatGPT Word Patterns.”</w:t>
      </w:r>
      <w:r>
        <w:t xml:space="preserve"> </w:t>
      </w:r>
      <w:r>
        <w:rPr>
          <w:i/>
          <w:iCs/>
        </w:rPr>
        <w:t xml:space="preserve">arXiv Preprint arXiv:2406.07016</w:t>
      </w:r>
      <w:r>
        <w:t xml:space="preserve">.</w:t>
      </w:r>
    </w:p>
    <w:bookmarkEnd w:id="29"/>
    <w:bookmarkStart w:id="31" w:name="ref-landis1977measurement"/>
    <w:p>
      <w:pPr>
        <w:pStyle w:val="Bibliography"/>
      </w:pPr>
      <w:r>
        <w:t xml:space="preserve">Landis, J Richard, and Gary G Koch. 1977.</w:t>
      </w:r>
      <w:r>
        <w:t xml:space="preserve"> </w:t>
      </w:r>
      <w:r>
        <w:t xml:space="preserve">“The Measurement of Observer Agreement for Categorical Data.”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33 (1): 159–74.</w:t>
      </w:r>
      <w:r>
        <w:t xml:space="preserve"> </w:t>
      </w:r>
      <w:hyperlink r:id="rId30">
        <w:r>
          <w:rPr>
            <w:rStyle w:val="Hyperlink"/>
          </w:rPr>
          <w:t xml:space="preserve">https://doi.org/10.2307/2529310</w:t>
        </w:r>
      </w:hyperlink>
      <w:r>
        <w:t xml:space="preserve">.</w:t>
      </w:r>
    </w:p>
    <w:bookmarkEnd w:id="31"/>
    <w:bookmarkStart w:id="32" w:name="ref-mitchell2023detectgpt"/>
    <w:p>
      <w:pPr>
        <w:pStyle w:val="Bibliography"/>
      </w:pPr>
      <w:r>
        <w:t xml:space="preserve">Mitchell, Eric, Yoonho Lee, Alexander Khazatsky, Christopher D Manning, and Chelsea Finn. 2023.</w:t>
      </w:r>
      <w:r>
        <w:t xml:space="preserve"> </w:t>
      </w:r>
      <w:r>
        <w:t xml:space="preserve">“DetectGPT: Zero-Shot Machine-Generated Text Detection Using Probability Curvature.”</w:t>
      </w:r>
      <w:r>
        <w:t xml:space="preserve"> </w:t>
      </w:r>
      <w:r>
        <w:rPr>
          <w:i/>
          <w:iCs/>
        </w:rPr>
        <w:t xml:space="preserve">International Conference on Machine Learning</w:t>
      </w:r>
      <w:r>
        <w:t xml:space="preserve">.</w:t>
      </w:r>
    </w:p>
    <w:bookmarkEnd w:id="32"/>
    <w:bookmarkStart w:id="34" w:name="ref-nuijten2016statcheck"/>
    <w:p>
      <w:pPr>
        <w:pStyle w:val="Bibliography"/>
      </w:pPr>
      <w:r>
        <w:t xml:space="preserve">Nuijten, Michèle B, Chris HJ Hartgerink, Marcel ALM van Assen, Sacha Epskamp, and Jelte M Wicherts. 2016.</w:t>
      </w:r>
      <w:r>
        <w:t xml:space="preserve"> </w:t>
      </w:r>
      <w:r>
        <w:t xml:space="preserve">“The Prevalence of Statistical Reporting Errors in Psychology (1985–2013).”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 </w:t>
      </w:r>
      <w:r>
        <w:t xml:space="preserve">48 (4): 1205–26.</w:t>
      </w:r>
      <w:r>
        <w:t xml:space="preserve"> </w:t>
      </w:r>
      <w:hyperlink r:id="rId33">
        <w:r>
          <w:rPr>
            <w:rStyle w:val="Hyperlink"/>
          </w:rPr>
          <w:t xml:space="preserve">https://doi.org/10.3758/s13428-015-0664-2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doi.org/10.1111/anae.13938" TargetMode="External" /><Relationship Type="http://schemas.openxmlformats.org/officeDocument/2006/relationships/hyperlink" Id="rId16" Target="https://doi.org/10.1111/j.2517-6161.1995.tb02031.x" TargetMode="External" /><Relationship Type="http://schemas.openxmlformats.org/officeDocument/2006/relationships/hyperlink" Id="rId18" Target="https://doi.org/10.1128/mBio.00809-16" TargetMode="External" /><Relationship Type="http://schemas.openxmlformats.org/officeDocument/2006/relationships/hyperlink" Id="rId20" Target="https://doi.org/10.1177/1948550616673876" TargetMode="External" /><Relationship Type="http://schemas.openxmlformats.org/officeDocument/2006/relationships/hyperlink" Id="rId25" Target="https://doi.org/10.18653/v1/P19-3019" TargetMode="External" /><Relationship Type="http://schemas.openxmlformats.org/officeDocument/2006/relationships/hyperlink" Id="rId30" Target="https://doi.org/10.2307/2529310" TargetMode="External" /><Relationship Type="http://schemas.openxmlformats.org/officeDocument/2006/relationships/hyperlink" Id="rId33" Target="https://doi.org/10.3758/s13428-015-0664-2" TargetMode="External" /><Relationship Type="http://schemas.openxmlformats.org/officeDocument/2006/relationships/hyperlink" Id="rId27" Target="https://doi.org/10.7287/peerj.preprints.26968v1" TargetMode="External" /><Relationship Type="http://schemas.openxmlformats.org/officeDocument/2006/relationships/hyperlink" Id="rId13" Target="https://huggingface.co/spaces/exergyleizhou/paperguard-dem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i.org/10.1111/anae.13938" TargetMode="External" /><Relationship Type="http://schemas.openxmlformats.org/officeDocument/2006/relationships/hyperlink" Id="rId16" Target="https://doi.org/10.1111/j.2517-6161.1995.tb02031.x" TargetMode="External" /><Relationship Type="http://schemas.openxmlformats.org/officeDocument/2006/relationships/hyperlink" Id="rId18" Target="https://doi.org/10.1128/mBio.00809-16" TargetMode="External" /><Relationship Type="http://schemas.openxmlformats.org/officeDocument/2006/relationships/hyperlink" Id="rId20" Target="https://doi.org/10.1177/1948550616673876" TargetMode="External" /><Relationship Type="http://schemas.openxmlformats.org/officeDocument/2006/relationships/hyperlink" Id="rId25" Target="https://doi.org/10.18653/v1/P19-3019" TargetMode="External" /><Relationship Type="http://schemas.openxmlformats.org/officeDocument/2006/relationships/hyperlink" Id="rId30" Target="https://doi.org/10.2307/2529310" TargetMode="External" /><Relationship Type="http://schemas.openxmlformats.org/officeDocument/2006/relationships/hyperlink" Id="rId33" Target="https://doi.org/10.3758/s13428-015-0664-2" TargetMode="External" /><Relationship Type="http://schemas.openxmlformats.org/officeDocument/2006/relationships/hyperlink" Id="rId27" Target="https://doi.org/10.7287/peerj.preprints.26968v1" TargetMode="External" /><Relationship Type="http://schemas.openxmlformats.org/officeDocument/2006/relationships/hyperlink" Id="rId13" Target="https://huggingface.co/spaces/exergyleizhou/paperguard-dem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PaperGuard: A 39-detector open-source pipeline for triage-stage statistical-anomaly screening in research-data integrity</dc:title>
  <dc:creator/>
  <cp:keywords/>
  <dcterms:created xsi:type="dcterms:W3CDTF">2026-05-23T10:04:03Z</dcterms:created>
  <dcterms:modified xsi:type="dcterms:W3CDTF">2026-05-23T10:04:03Z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graphy">
    <vt:lpwstr>paper/paper.bib</vt:lpwstr>
  </property>
  <property fmtid="{D5CDD505-2E9C-101B-9397-08002B2CF9AE}" pid="5" name="date">
    <vt:lpwstr>23 May 2026</vt:lpwstr>
  </property>
  <property fmtid="{D5CDD505-2E9C-101B-9397-08002B2CF9AE}" pid="6" name="link-citations">
    <vt:lpwstr>True</vt:lpwstr>
  </property>
  <property fmtid="{D5CDD505-2E9C-101B-9397-08002B2CF9AE}" pid="7" name="tags">
    <vt:lpwstr/>
  </property>
</Properties>
</file>