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PaperGuard: A 39-detector open-source pipeline for triage-stage statistical-anomaly screening in research-data integrity</w:t>
      </w:r>
    </w:p>
    <w:p>
      <w:pPr>
        <w:pStyle w:val="Date"/>
      </w:pPr>
      <w:r>
        <w:t xml:space="preserve">23 May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is an open-source Python command-line tool and library for</w:t>
      </w:r>
      <w:r>
        <w:t xml:space="preserve"> </w:t>
      </w:r>
      <w:r>
        <w:rPr>
          <w:b/>
          <w:bCs/>
        </w:rPr>
        <w:t xml:space="preserve">triage-stage</w:t>
      </w:r>
      <w:r>
        <w:t xml:space="preserve"> </w:t>
      </w:r>
      <w:r>
        <w:t xml:space="preserve">screening of statistical anomalies in scientific</w:t>
      </w:r>
      <w:r>
        <w:t xml:space="preserve"> </w:t>
      </w:r>
      <w:r>
        <w:t xml:space="preserve">manuscripts, their accompanying data, and industrial process logs. It</w:t>
      </w:r>
      <w:r>
        <w:t xml:space="preserve"> </w:t>
      </w:r>
      <w:r>
        <w:t xml:space="preserve">composes 39 independent detectors spanning eight methodological</w:t>
      </w:r>
      <w:r>
        <w:t xml:space="preserve"> </w:t>
      </w:r>
      <w:r>
        <w:t xml:space="preserve">families — terminal-digit distribution, Benford’s law, arithmetic and</w:t>
      </w:r>
      <w:r>
        <w:t xml:space="preserve"> </w:t>
      </w:r>
      <w:r>
        <w:t xml:space="preserve">decimal consistency, GRIM / SPRITE / GRIMMER reverse-reconstruction</w:t>
      </w:r>
      <w:r>
        <w:t xml:space="preserve"> </w:t>
      </w:r>
      <w:r>
        <w:t xml:space="preserve">tests, the Carlisle baseline-plausibility procedure for randomised</w:t>
      </w:r>
      <w:r>
        <w:t xml:space="preserve"> </w:t>
      </w:r>
      <w:r>
        <w:t xml:space="preserve">trials, perceptual-hash and per-channel-histogram image forensics,</w:t>
      </w:r>
      <w:r>
        <w:t xml:space="preserve"> </w:t>
      </w:r>
      <w:r>
        <w:t xml:space="preserve">paper-mill co-authorship graph signatures, a three-detector LLM-text</w:t>
      </w:r>
      <w:r>
        <w:t xml:space="preserve"> </w:t>
      </w:r>
      <w:r>
        <w:t xml:space="preserve">layer (lexical dictionary, continuation-perplexity, and a DetectGPT</w:t>
      </w:r>
      <w:r>
        <w:t xml:space="preserve"> </w:t>
      </w:r>
      <w:r>
        <w:t xml:space="preserve">naturalness-curvature probe), and a four-detector</w:t>
      </w:r>
      <w:r>
        <w:t xml:space="preserve"> </w:t>
      </w:r>
      <w:r>
        <w:rPr>
          <w:b/>
          <w:bCs/>
        </w:rPr>
        <w:t xml:space="preserve">industrial layer</w:t>
      </w:r>
      <w:r>
        <w:t xml:space="preserve"> </w:t>
      </w:r>
      <w:r>
        <w:t xml:space="preserve">(mass-balance closure, SCADA timestamp integrity, batch-repetition</w:t>
      </w:r>
      <w:r>
        <w:t xml:space="preserve"> </w:t>
      </w:r>
      <w:r>
        <w:t xml:space="preserve">detection, and process-trend over-smoothness) covering 12</w:t>
      </w:r>
      <w:r>
        <w:t xml:space="preserve"> </w:t>
      </w:r>
      <w:r>
        <w:t xml:space="preserve">preconfigured domains (wastewater, waste-gas, pharmaceutical,</w:t>
      </w:r>
      <w:r>
        <w:t xml:space="preserve"> </w:t>
      </w:r>
      <w:r>
        <w:t xml:space="preserve">semiconductor, food, environmental, agricultural, biopharma,</w:t>
      </w:r>
      <w:r>
        <w:t xml:space="preserve"> </w:t>
      </w:r>
      <w:r>
        <w:t xml:space="preserve">biocomputation, distillation, chemical, and medical) — into a single</w:t>
      </w:r>
      <w:r>
        <w:t xml:space="preserve"> </w:t>
      </w:r>
      <w:r>
        <w:t xml:space="preserve">uniform audit report.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ships with at least three plausible innocent</w:t>
      </w:r>
      <w:r>
        <w:t xml:space="preserve"> </w:t>
      </w:r>
      <w:r>
        <w:t xml:space="preserve">explanations and refers the reader back to the underlying statistical</w:t>
      </w:r>
      <w:r>
        <w:t xml:space="preserve"> </w:t>
      </w:r>
      <w:r>
        <w:t xml:space="preserve">test. Verdict language (</w:t>
      </w:r>
      <w:r>
        <w:t xml:space="preserve">“fraud”</w:t>
      </w:r>
      <w:r>
        <w:t xml:space="preserve">,</w:t>
      </w:r>
      <w:r>
        <w:t xml:space="preserve"> </w:t>
      </w:r>
      <w:r>
        <w:t xml:space="preserve">“fabrication”</w:t>
      </w:r>
      <w:r>
        <w:t xml:space="preserve">,</w:t>
      </w:r>
      <w:r>
        <w:t xml:space="preserve"> </w:t>
      </w:r>
      <w:r>
        <w:t xml:space="preserve">“misconduct”</w:t>
      </w:r>
      <w:r>
        <w:t xml:space="preserve">) is</w:t>
      </w:r>
      <w:r>
        <w:t xml:space="preserve"> </w:t>
      </w:r>
      <w:r>
        <w:t xml:space="preserve">forbidden in the codebase by a static check applied to all detector</w:t>
      </w:r>
      <w:r>
        <w:t xml:space="preserve"> </w:t>
      </w:r>
      <w:r>
        <w:t xml:space="preserve">code paths. The tool is therefore structurally</w:t>
      </w:r>
      <w:r>
        <w:t xml:space="preserve"> </w:t>
      </w:r>
      <w:r>
        <w:rPr>
          <w:b/>
          <w:bCs/>
        </w:rPr>
        <w:t xml:space="preserve">non-verdict</w:t>
      </w:r>
      <w:r>
        <w:t xml:space="preserve">: its</w:t>
      </w:r>
      <w:r>
        <w:t xml:space="preserve"> </w:t>
      </w:r>
      <w:r>
        <w:t xml:space="preserve">purpose is to surface manuscripts worth a human reviewer’s attention,</w:t>
      </w:r>
      <w:r>
        <w:t xml:space="preserve"> </w:t>
      </w:r>
      <w:r>
        <w:t xml:space="preserve">not to render judgment.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Existing research-integrity tools target single signals: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(</w:t>
      </w:r>
      <w:hyperlink w:anchor="ref-nuijten2016statcheck">
        <w:r>
          <w:rPr>
            <w:rStyle w:val="Hyperlink"/>
          </w:rPr>
          <w:t xml:space="preserve">Nuijten et al. 2016</w:t>
        </w:r>
      </w:hyperlink>
      <w:r>
        <w:t xml:space="preserve">)</w:t>
      </w:r>
      <w:r>
        <w:t xml:space="preserve"> </w:t>
      </w:r>
      <w:r>
        <w:t xml:space="preserve">re-computes p-values from</w:t>
      </w:r>
      <w:r>
        <w:t xml:space="preserve"> </w:t>
      </w:r>
      <w:r>
        <w:t xml:space="preserve">reported test statistics; the GRIM test</w:t>
      </w:r>
      <w:r>
        <w:t xml:space="preserve"> </w:t>
      </w:r>
      <w:r>
        <w:t xml:space="preserve">(</w:t>
      </w:r>
      <w:hyperlink w:anchor="ref-brown2017grim">
        <w:r>
          <w:rPr>
            <w:rStyle w:val="Hyperlink"/>
          </w:rPr>
          <w:t xml:space="preserve">Brown and Heathers 2017</w:t>
        </w:r>
      </w:hyperlink>
      <w:r>
        <w:t xml:space="preserve">)</w:t>
      </w:r>
      <w:r>
        <w:t xml:space="preserve"> </w:t>
      </w:r>
      <w:r>
        <w:t xml:space="preserve">checks</w:t>
      </w:r>
      <w:r>
        <w:t xml:space="preserve"> </w:t>
      </w:r>
      <w:r>
        <w:t xml:space="preserve">granularity-vs-mean consistency in summary statistics; the Carlisle</w:t>
      </w:r>
      <w:r>
        <w:t xml:space="preserve"> </w:t>
      </w:r>
      <w:r>
        <w:t xml:space="preserve">baseline-plausibility procedure</w:t>
      </w:r>
      <w:r>
        <w:t xml:space="preserve"> </w:t>
      </w:r>
      <w:r>
        <w:t xml:space="preserve">(</w:t>
      </w:r>
      <w:hyperlink w:anchor="ref-carlisle2017non">
        <w:r>
          <w:rPr>
            <w:rStyle w:val="Hyperlink"/>
          </w:rPr>
          <w:t xml:space="preserve">Carlisle 2017</w:t>
        </w:r>
      </w:hyperlink>
      <w:r>
        <w:t xml:space="preserve">)</w:t>
      </w:r>
      <w:r>
        <w:t xml:space="preserve"> </w:t>
      </w:r>
      <w:r>
        <w:t xml:space="preserve">flags suspicious</w:t>
      </w:r>
      <w:r>
        <w:t xml:space="preserve"> </w:t>
      </w:r>
      <w:r>
        <w:t xml:space="preserve">randomization in clinical trials; SPRITE</w:t>
      </w:r>
      <w:r>
        <w:t xml:space="preserve"> </w:t>
      </w:r>
      <w:r>
        <w:t xml:space="preserve">(</w:t>
      </w:r>
      <w:hyperlink w:anchor="ref-heathers2018sprite">
        <w:r>
          <w:rPr>
            <w:rStyle w:val="Hyperlink"/>
          </w:rPr>
          <w:t xml:space="preserve">Heathers et al.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2018</w:t>
        </w:r>
      </w:hyperlink>
      <w:r>
        <w:t xml:space="preserve">)</w:t>
      </w:r>
      <w:r>
        <w:t xml:space="preserve"> </w:t>
      </w:r>
      <w:r>
        <w:t xml:space="preserve">tries</w:t>
      </w:r>
      <w:r>
        <w:t xml:space="preserve"> </w:t>
      </w:r>
      <w:r>
        <w:t xml:space="preserve">to reconstruct sample distributions from summary statistics; pHash</w:t>
      </w:r>
      <w:r>
        <w:t xml:space="preserve"> </w:t>
      </w:r>
      <w:r>
        <w:t xml:space="preserve">forensics has been used since Bik et al.</w:t>
      </w:r>
      <w:r>
        <w:t xml:space="preserve"> </w:t>
      </w:r>
      <w:r>
        <w:t xml:space="preserve">(</w:t>
      </w:r>
      <w:hyperlink w:anchor="ref-bik2016prevalence">
        <w:r>
          <w:rPr>
            <w:rStyle w:val="Hyperlink"/>
          </w:rPr>
          <w:t xml:space="preserve">Bik et al. 2016</w:t>
        </w:r>
      </w:hyperlink>
      <w:r>
        <w:t xml:space="preserve">)</w:t>
      </w:r>
      <w:r>
        <w:t xml:space="preserve"> </w:t>
      </w:r>
      <w:r>
        <w:t xml:space="preserve">to</w:t>
      </w:r>
      <w:r>
        <w:t xml:space="preserve"> </w:t>
      </w:r>
      <w:r>
        <w:t xml:space="preserve">catch image duplication. Each addresses a real failure mode, but</w:t>
      </w:r>
      <w:r>
        <w:t xml:space="preserve"> </w:t>
      </w:r>
      <w:r>
        <w:t xml:space="preserve">each lives in a separate codebase (often in R rather than Python)</w:t>
      </w:r>
      <w:r>
        <w:t xml:space="preserve"> </w:t>
      </w:r>
      <w:r>
        <w:t xml:space="preserve">with its own input format, threshold choices, and reporting style.</w:t>
      </w:r>
    </w:p>
    <w:p>
      <w:pPr>
        <w:pStyle w:val="BodyText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integrates these published procedures and 30+ additional</w:t>
      </w:r>
      <w:r>
        <w:t xml:space="preserve"> </w:t>
      </w:r>
      <w:r>
        <w:t xml:space="preserve">detectors — including a four-detector industrial layer for process-data</w:t>
      </w:r>
      <w:r>
        <w:t xml:space="preserve"> </w:t>
      </w:r>
      <w:r>
        <w:t xml:space="preserve">forensics that has no direct prior art in the academic-integrity</w:t>
      </w:r>
      <w:r>
        <w:t xml:space="preserve"> </w:t>
      </w:r>
      <w:r>
        <w:t xml:space="preserve">literature — into a single Python package with:</w:t>
      </w:r>
    </w:p>
    <w:p>
      <w:pPr>
        <w:pStyle w:val="Compact"/>
        <w:numPr>
          <w:ilvl w:val="0"/>
          <w:numId w:val="1001"/>
        </w:numPr>
      </w:pPr>
      <w:r>
        <w:t xml:space="preserve">A uniform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interface and a uniform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structure carrying severity, innocent explanations, academic</w:t>
      </w:r>
      <w:r>
        <w:t xml:space="preserve"> </w:t>
      </w:r>
      <w:r>
        <w:t xml:space="preserve">citations, and applicability notes.</w:t>
      </w:r>
    </w:p>
    <w:p>
      <w:pPr>
        <w:pStyle w:val="Compact"/>
        <w:numPr>
          <w:ilvl w:val="0"/>
          <w:numId w:val="1001"/>
        </w:numPr>
      </w:pPr>
      <w:r>
        <w:t xml:space="preserve">A cross-detector combiner (</w:t>
      </w:r>
      <w:r>
        <w:rPr>
          <w:rStyle w:val="VerbatimChar"/>
        </w:rPr>
        <w:t xml:space="preserve">paperguard.evidence.combiner</w:t>
      </w:r>
      <w:r>
        <w:t xml:space="preserve">) that</w:t>
      </w:r>
      <w:r>
        <w:t xml:space="preserve"> </w:t>
      </w:r>
      <w:r>
        <w:t xml:space="preserve">aggregates per-detector p-values via Benjamini-Hochberg false</w:t>
      </w:r>
      <w:r>
        <w:t xml:space="preserve"> </w:t>
      </w:r>
      <w:r>
        <w:t xml:space="preserve">discovery rate correction</w:t>
      </w:r>
      <w:r>
        <w:t xml:space="preserve"> </w:t>
      </w:r>
      <w:r>
        <w:t xml:space="preserve">(</w:t>
      </w:r>
      <w:hyperlink w:anchor="ref-benjamini1995controlling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r>
        <w:t xml:space="preserve">Stouffer-style integrity index.</w:t>
      </w:r>
    </w:p>
    <w:p>
      <w:pPr>
        <w:pStyle w:val="Compact"/>
        <w:numPr>
          <w:ilvl w:val="0"/>
          <w:numId w:val="1001"/>
        </w:numPr>
      </w:pPr>
      <w:r>
        <w:t xml:space="preserve">A plugin entry-point system that lets third parties register</w:t>
      </w:r>
      <w:r>
        <w:t xml:space="preserve"> </w:t>
      </w:r>
      <w:r>
        <w:t xml:space="preserve">custom detectors without forking the codebase.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paperguard doctor</w:t>
      </w:r>
      <w:r>
        <w:t xml:space="preserve"> </w:t>
      </w:r>
      <w:r>
        <w:t xml:space="preserve">diagnostic command for environment</w:t>
      </w:r>
      <w:r>
        <w:t xml:space="preserve"> </w:t>
      </w:r>
      <w:r>
        <w:t xml:space="preserve">pre-flight checks suitable for CI use.</w:t>
      </w:r>
    </w:p>
    <w:p>
      <w:pPr>
        <w:pStyle w:val="FirstParagraph"/>
      </w:pPr>
      <w:r>
        <w:t xml:space="preserve">The pipeline targets three use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Pre-submission self-audit</w:t>
      </w:r>
      <w:r>
        <w:t xml:space="preserve"> </w:t>
      </w:r>
      <w:r>
        <w:t xml:space="preserve">for authors who want to catch</w:t>
      </w:r>
      <w:r>
        <w:t xml:space="preserve"> </w:t>
      </w:r>
      <w:r>
        <w:t xml:space="preserve">data-formatting inconsistencies before peer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Editorial-office triage</w:t>
      </w:r>
      <w:r>
        <w:t xml:space="preserve"> </w:t>
      </w:r>
      <w:r>
        <w:t xml:space="preserve">of high-volume submission streams,</w:t>
      </w:r>
      <w:r>
        <w:t xml:space="preserve"> </w:t>
      </w:r>
      <w:r>
        <w:t xml:space="preserve">surfacing manuscripts with multiple cross-detector anomalies for</w:t>
      </w:r>
      <w:r>
        <w:t xml:space="preserve"> </w:t>
      </w:r>
      <w:r>
        <w:t xml:space="preserve">human 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Forensic re-examination</w:t>
      </w:r>
      <w:r>
        <w:t xml:space="preserve"> </w:t>
      </w:r>
      <w:r>
        <w:t xml:space="preserve">of post-publication concerns, where</w:t>
      </w:r>
      <w:r>
        <w:t xml:space="preserve"> </w:t>
      </w:r>
      <w:r>
        <w:t xml:space="preserve">multi-detector concordance provides independent corroboration.</w:t>
      </w:r>
    </w:p>
    <w:p>
      <w:pPr>
        <w:pStyle w:val="FirstParagraph"/>
      </w:pPr>
      <w:r>
        <w:rPr>
          <w:rStyle w:val="VerbatimChar"/>
        </w:rPr>
        <w:t xml:space="preserve">PaperGuard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human review; the conservative</w:t>
      </w:r>
      <w:r>
        <w:t xml:space="preserve"> </w:t>
      </w:r>
      <w:r>
        <w:t xml:space="preserve">disclaimer architecture is the load-bearing trust mechanism.</w:t>
      </w:r>
    </w:p>
    <w:bookmarkEnd w:id="10"/>
    <w:bookmarkStart w:id="11" w:name="design"/>
    <w:p>
      <w:pPr>
        <w:pStyle w:val="Heading1"/>
      </w:pPr>
      <w:r>
        <w:t xml:space="preserve">Design</w:t>
      </w:r>
    </w:p>
    <w:p>
      <w:pPr>
        <w:pStyle w:val="FirstParagraph"/>
      </w:pPr>
      <w:r>
        <w:t xml:space="preserve">Detectors are organised into eight families summarised in Table 1.</w:t>
      </w:r>
      <w:r>
        <w:t xml:space="preserve"> </w:t>
      </w:r>
      <w:r>
        <w:t xml:space="preserve">Each is a</w:t>
      </w:r>
      <w:r>
        <w:t xml:space="preserve"> </w:t>
      </w:r>
      <w:r>
        <w:rPr>
          <w:rStyle w:val="VerbatimChar"/>
        </w:rPr>
        <w:t xml:space="preserve">BaseDetector</w:t>
      </w:r>
      <w:r>
        <w:t xml:space="preserve"> </w:t>
      </w:r>
      <w:r>
        <w:t xml:space="preserve">subclass with declared</w:t>
      </w:r>
      <w:r>
        <w:t xml:space="preserve"> </w:t>
      </w:r>
      <w:r>
        <w:rPr>
          <w:rStyle w:val="VerbatimChar"/>
        </w:rPr>
        <w:t xml:space="preserve">data_requirements</w:t>
      </w:r>
      <w:r>
        <w:t xml:space="preserve">,</w:t>
      </w:r>
      <w:r>
        <w:t xml:space="preserve"> </w:t>
      </w:r>
      <w:r>
        <w:t xml:space="preserve">an explicit random seed, and a return value structured as</w:t>
      </w:r>
      <w:r>
        <w:t xml:space="preserve"> </w:t>
      </w:r>
      <w:r>
        <w:rPr>
          <w:rStyle w:val="VerbatimChar"/>
        </w:rPr>
        <w:t xml:space="preserve">DetectorResult(findings: list[Finding])</w:t>
      </w:r>
      <w:r>
        <w:t xml:space="preserve">. A golden-fixture</w:t>
      </w:r>
      <w:r>
        <w:t xml:space="preserve"> </w:t>
      </w:r>
      <w:r>
        <w:t xml:space="preserve">regression suite (</w:t>
      </w:r>
      <w:r>
        <w:rPr>
          <w:rStyle w:val="VerbatimChar"/>
        </w:rPr>
        <w:t xml:space="preserve">tests/test_golden.py</w:t>
      </w:r>
      <w:r>
        <w:t xml:space="preserve">) ensures no new detector</w:t>
      </w:r>
      <w:r>
        <w:t xml:space="preserve"> </w:t>
      </w:r>
      <w:r>
        <w:t xml:space="preserve">causes a regression on a curated set of synthetic genuine inputs.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Detectors</w:t>
            </w:r>
          </w:p>
        </w:tc>
        <w:tc>
          <w:tcPr/>
          <w:p>
            <w:pPr>
              <w:pStyle w:val="Compact"/>
            </w:pPr>
            <w:r>
              <w:t xml:space="preserve">Example 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Digit-distribution</w:t>
            </w:r>
          </w:p>
        </w:tc>
        <w:tc>
          <w:tcPr/>
          <w:p>
            <w:pPr>
              <w:pStyle w:val="Compact"/>
            </w:pPr>
            <w:r>
              <w:t xml:space="preserve">A1, A2, A7</w:t>
            </w:r>
          </w:p>
        </w:tc>
        <w:tc>
          <w:tcPr/>
          <w:p>
            <w:pPr>
              <w:pStyle w:val="Compact"/>
            </w:pPr>
            <w:r>
              <w:t xml:space="preserve">Terminal digit, Benford, last-digit 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 / bounds</w:t>
            </w:r>
          </w:p>
        </w:tc>
        <w:tc>
          <w:tcPr/>
          <w:p>
            <w:pPr>
              <w:pStyle w:val="Compact"/>
            </w:pPr>
            <w:r>
              <w:t xml:space="preserve">A3, A5, A6</w:t>
            </w:r>
          </w:p>
        </w:tc>
        <w:tc>
          <w:tcPr/>
          <w:p>
            <w:pPr>
              <w:pStyle w:val="Compact"/>
            </w:pPr>
            <w:r>
              <w:t xml:space="preserve">Inter-column arithmetic, decimal consistency, plausible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Summary-statistic consistency</w:t>
            </w:r>
          </w:p>
        </w:tc>
        <w:tc>
          <w:tcPr/>
          <w:p>
            <w:pPr>
              <w:pStyle w:val="Compact"/>
            </w:pPr>
            <w:r>
              <w:t xml:space="preserve">B1, B4, B5, B6, B7, B8</w:t>
            </w:r>
          </w:p>
        </w:tc>
        <w:tc>
          <w:tcPr/>
          <w:p>
            <w:pPr>
              <w:pStyle w:val="Compact"/>
            </w:pPr>
            <w:r>
              <w:t xml:space="preserve">GRIM, statcheck, TIVA, GRIMMER, p-curve, 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Clinical-trial plausibility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Carlisle baseline-imbalance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Variance / independence</w:t>
            </w:r>
          </w:p>
        </w:tc>
        <w:tc>
          <w:tcPr/>
          <w:p>
            <w:pPr>
              <w:pStyle w:val="Compact"/>
            </w:pPr>
            <w:r>
              <w:t xml:space="preserve">D1, D2, E1</w:t>
            </w:r>
          </w:p>
        </w:tc>
        <w:tc>
          <w:tcPr/>
          <w:p>
            <w:pPr>
              <w:pStyle w:val="Compact"/>
            </w:pPr>
            <w:r>
              <w:t xml:space="preserve">Residual smoothness, missing-pattern, intra-class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/ metadata forensics</w:t>
            </w:r>
          </w:p>
        </w:tc>
        <w:tc>
          <w:tcPr/>
          <w:p>
            <w:pPr>
              <w:pStyle w:val="Compact"/>
            </w:pPr>
            <w:r>
              <w:t xml:space="preserve">F1–F6, G1, G3, G4, G5</w:t>
            </w:r>
          </w:p>
        </w:tc>
        <w:tc>
          <w:tcPr/>
          <w:p>
            <w:pPr>
              <w:pStyle w:val="Compact"/>
            </w:pPr>
            <w:r>
              <w:t xml:space="preserve">pHash duplication, splice forensics, per-channel histogram, EXIF, docx rsid, file-metadata, reagent / equipment year-of-citation temporal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/ authorship / paper-mill</w:t>
            </w:r>
          </w:p>
        </w:tc>
        <w:tc>
          <w:tcPr/>
          <w:p>
            <w:pPr>
              <w:pStyle w:val="Compact"/>
            </w:pPr>
            <w:r>
              <w:t xml:space="preserve">M1, T1–T8</w:t>
            </w:r>
          </w:p>
        </w:tc>
        <w:tc>
          <w:tcPr/>
          <w:p>
            <w:pPr>
              <w:pStyle w:val="Compact"/>
            </w:pPr>
            <w:r>
              <w:t xml:space="preserve">Co-authorship graph, n-gram plagiarism, trial-outcome drift, data-availability audit, stylometry, three LLM-text detectors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Industrial process data</w:t>
            </w:r>
          </w:p>
        </w:tc>
        <w:tc>
          <w:tcPr/>
          <w:p>
            <w:pPr>
              <w:pStyle w:val="Compact"/>
            </w:pPr>
            <w:r>
              <w:t xml:space="preserve">I1, I2, I5, I6</w:t>
            </w:r>
          </w:p>
        </w:tc>
        <w:tc>
          <w:tcPr/>
          <w:p>
            <w:pPr>
              <w:pStyle w:val="Compact"/>
            </w:pPr>
            <w:r>
              <w:t xml:space="preserve">Mass-balance closure, SCADA timestamp integrity, batch-repetition detection, process-trend over-smoothness</w:t>
            </w:r>
          </w:p>
        </w:tc>
      </w:tr>
    </w:tbl>
    <w:p>
      <w:pPr>
        <w:pStyle w:val="BodyText"/>
      </w:pPr>
      <w:r>
        <w:t xml:space="preserve">The cross-detector combiner produces an</w:t>
      </w:r>
      <w:r>
        <w:t xml:space="preserve"> </w:t>
      </w:r>
      <w:r>
        <w:rPr>
          <w:rStyle w:val="VerbatimChar"/>
        </w:rPr>
        <w:t xml:space="preserve">integrity_score</w:t>
      </w:r>
      <w:r>
        <w:t xml:space="preserve"> </w:t>
      </w:r>
      <w:r>
        <w:t xml:space="preserve">by</w:t>
      </w:r>
      <w:r>
        <w:t xml:space="preserve"> </w:t>
      </w:r>
      <w:r>
        <w:t xml:space="preserve">Stouffer-style combination of BH-FDR-adjusted p-values. The score</w:t>
      </w:r>
      <w:r>
        <w:t xml:space="preserve"> </w:t>
      </w:r>
      <w:r>
        <w:t xml:space="preserve">maps to severity tiers (NOTE / CONCERN / SUSPICIOUS / CRITICAL)</w:t>
      </w:r>
      <w:r>
        <w:t xml:space="preserve"> </w:t>
      </w:r>
      <w:r>
        <w:t xml:space="preserve">rather than to a verdict.</w:t>
      </w:r>
    </w:p>
    <w:p>
      <w:pPr>
        <w:pStyle w:val="BodyText"/>
      </w:pPr>
      <w:r>
        <w:t xml:space="preserve">The LLM-text family is the most recent addition. T6 (lexical</w:t>
      </w:r>
      <w:r>
        <w:t xml:space="preserve"> </w:t>
      </w:r>
      <w:r>
        <w:t xml:space="preserve">signature) ships a built-in phrase dictionary curated from</w:t>
      </w:r>
      <w:r>
        <w:t xml:space="preserve"> </w:t>
      </w:r>
      <w:r>
        <w:t xml:space="preserve">Kobak et al.</w:t>
      </w:r>
      <w:r>
        <w:t xml:space="preserve"> </w:t>
      </w:r>
      <w:r>
        <w:t xml:space="preserve">(</w:t>
      </w:r>
      <w:hyperlink w:anchor="ref-kobak2025delving">
        <w:r>
          <w:rPr>
            <w:rStyle w:val="Hyperlink"/>
          </w:rPr>
          <w:t xml:space="preserve">Kobak et al. 2025</w:t>
        </w:r>
      </w:hyperlink>
      <w:r>
        <w:t xml:space="preserve">)</w:t>
      </w:r>
      <w:r>
        <w:t xml:space="preserve"> </w:t>
      </w:r>
      <w:r>
        <w:t xml:space="preserve">and Cabanac et al.</w:t>
      </w:r>
      <w:r>
        <w:t xml:space="preserve"> </w:t>
      </w:r>
      <w:r>
        <w:t xml:space="preserve">(</w:t>
      </w:r>
      <w:hyperlink w:anchor="ref-cabanac2024chatgpt">
        <w:r>
          <w:rPr>
            <w:rStyle w:val="Hyperlink"/>
          </w:rPr>
          <w:t xml:space="preserve">Cabanac et al. 2024</w:t>
        </w:r>
      </w:hyperlink>
      <w:r>
        <w:t xml:space="preserve">)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paperguard refresh-ai-dict</w:t>
      </w:r>
      <w:r>
        <w:t xml:space="preserve"> </w:t>
      </w:r>
      <w:r>
        <w:t xml:space="preserve">command</w:t>
      </w:r>
      <w:r>
        <w:t xml:space="preserve"> </w:t>
      </w:r>
      <w:r>
        <w:t xml:space="preserve">that lets users extend the dictionary without waiting for a release.</w:t>
      </w:r>
      <w:r>
        <w:t xml:space="preserve"> </w:t>
      </w:r>
      <w:r>
        <w:t xml:space="preserve">T7 and T8 adapt published-literature techniques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;</w:t>
      </w:r>
      <w:r>
        <w:t xml:space="preserve"> </w:t>
      </w:r>
      <w:hyperlink w:anchor="ref-gehrmann2019gltr">
        <w:r>
          <w:rPr>
            <w:rStyle w:val="Hyperlink"/>
          </w:rPr>
          <w:t xml:space="preserve">Gehrmann et al. 2019</w:t>
        </w:r>
      </w:hyperlink>
      <w:r>
        <w:t xml:space="preserve">)</w:t>
      </w:r>
      <w:r>
        <w:t xml:space="preserve"> </w:t>
      </w:r>
      <w:r>
        <w:t xml:space="preserve">so they function on</w:t>
      </w:r>
      <w:r>
        <w:t xml:space="preserve"> </w:t>
      </w:r>
      <w:r>
        <w:t xml:space="preserve">chat-completion endpoints that do not expose the legacy</w:t>
      </w:r>
      <w:r>
        <w:t xml:space="preserve"> </w:t>
      </w:r>
      <w:r>
        <w:rPr>
          <w:rStyle w:val="VerbatimChar"/>
        </w:rPr>
        <w:t xml:space="preserve">/v1/completions echo=true logprobs</w:t>
      </w:r>
      <w:r>
        <w:t xml:space="preserve"> </w:t>
      </w:r>
      <w:r>
        <w:t xml:space="preserve">interface.</w:t>
      </w:r>
    </w:p>
    <w:bookmarkEnd w:id="11"/>
    <w:bookmarkStart w:id="14" w:name="empirical-calibration"/>
    <w:p>
      <w:pPr>
        <w:pStyle w:val="Heading1"/>
      </w:pPr>
      <w:r>
        <w:t xml:space="preserve">Empirical calibration</w:t>
      </w:r>
    </w:p>
    <w:p>
      <w:pPr>
        <w:pStyle w:val="FirstParagraph"/>
      </w:pPr>
      <w:r>
        <w:t xml:space="preserve">PaperGuard ships 13 public empirical studies, including a recall</w:t>
      </w:r>
      <w:r>
        <w:t xml:space="preserve"> </w:t>
      </w:r>
      <w:r>
        <w:t xml:space="preserve">benchmark series (v1 – v10), four image-recall studies, an</w:t>
      </w:r>
      <w:r>
        <w:t xml:space="preserve"> </w:t>
      </w:r>
      <w:r>
        <w:t xml:space="preserve">industrial-process recall study, two cross-validation studies, and</w:t>
      </w:r>
      <w:r>
        <w:t xml:space="preserve"> </w:t>
      </w:r>
      <w:r>
        <w:t xml:space="preserve">two controlled LLM-endpoint benchmarks. All raw data and analysers</w:t>
      </w:r>
      <w:r>
        <w:t xml:space="preserve"> </w:t>
      </w:r>
      <w:r>
        <w:t xml:space="preserve">are in the</w:t>
      </w:r>
      <w:r>
        <w:t xml:space="preserve"> </w:t>
      </w:r>
      <w:hyperlink r:id="rId12">
        <w:r>
          <w:rPr>
            <w:rStyle w:val="VerbatimChar"/>
          </w:rPr>
          <w:t xml:space="preserve">scripts/</w:t>
        </w:r>
      </w:hyperlink>
      <w:r>
        <w:t xml:space="preserve"> </w:t>
      </w:r>
      <w:r>
        <w:t xml:space="preserve">directory of the repository; per-study writeups</w:t>
      </w:r>
      <w:r>
        <w:t xml:space="preserve"> </w:t>
      </w:r>
      <w:r>
        <w:t xml:space="preserve">are in</w:t>
      </w:r>
      <w:r>
        <w:t xml:space="preserve"> </w:t>
      </w:r>
      <w:hyperlink r:id="rId13">
        <w:r>
          <w:rPr>
            <w:rStyle w:val="VerbatimChar"/>
          </w:rPr>
          <w:t xml:space="preserve">docs/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Text-layer recall (v10, 100 OpenAlex retracted + 100 matched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via Europe PMC; 95 with parsable full text).</w:t>
      </w:r>
      <w:r>
        <w:t xml:space="preserve"> </w:t>
      </w:r>
      <w:r>
        <w:t xml:space="preserve">At the default 0.003 lexical-density</w:t>
      </w:r>
      <w:r>
        <w:t xml:space="preserve"> </w:t>
      </w:r>
      <w:r>
        <w:t xml:space="preserve">threshold T6 has positive likelihood ratio LR+ ≈ 0 against</w:t>
      </w:r>
      <w:r>
        <w:t xml:space="preserve"> </w:t>
      </w:r>
      <w:r>
        <w:t xml:space="preserve">Nature-tier post-publication retractions — copy-editing largely</w:t>
      </w:r>
      <w:r>
        <w:t xml:space="preserve"> </w:t>
      </w:r>
      <w:r>
        <w:t xml:space="preserve">removes lexical LLM markers before publication. At a stricter</w:t>
      </w:r>
      <w:r>
        <w:t xml:space="preserve"> </w:t>
      </w:r>
      <w:r>
        <w:t xml:space="preserve">0.001 threshold T6 achieves</w:t>
      </w:r>
      <w:r>
        <w:t xml:space="preserve"> </w:t>
      </w:r>
      <w:r>
        <w:rPr>
          <w:b/>
          <w:bCs/>
        </w:rPr>
        <w:t xml:space="preserve">LR+ = ∞ (1 TP / 0 FP)</w:t>
      </w:r>
      <w:r>
        <w:t xml:space="preserve">: one</w:t>
      </w:r>
      <w:r>
        <w:t xml:space="preserve"> </w:t>
      </w:r>
      <w:r>
        <w:t xml:space="preserve">retracted manuscript exceeds the density bar while every control</w:t>
      </w:r>
      <w:r>
        <w:t xml:space="preserve"> </w:t>
      </w:r>
      <w:r>
        <w:t xml:space="preserve">stays below. T6’s operating point is therefore the</w:t>
      </w:r>
      <w:r>
        <w:t xml:space="preserve"> </w:t>
      </w:r>
      <w:r>
        <w:rPr>
          <w:b/>
          <w:bCs/>
        </w:rPr>
        <w:t xml:space="preserve">pre-submission / preprint</w:t>
      </w:r>
      <w:r>
        <w:t xml:space="preserve"> </w:t>
      </w:r>
      <w:r>
        <w:t xml:space="preserve">stage, not post-publication</w:t>
      </w:r>
      <w:r>
        <w:t xml:space="preserve"> </w:t>
      </w:r>
      <w:r>
        <w:t xml:space="preserve">forensics. Both numbers are public; the conservative default is</w:t>
      </w:r>
      <w:r>
        <w:t xml:space="preserve"> </w:t>
      </w:r>
      <w:r>
        <w:t xml:space="preserve">the one shipped in the CLI.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Image-layer recall (v6, 163 retracted + 49 control = 212</w:t>
      </w:r>
      <w:r>
        <w:rPr>
          <w:b/>
          <w:bCs/>
        </w:rPr>
        <w:t xml:space="preserve"> </w:t>
      </w:r>
      <w:r>
        <w:rPr>
          <w:b/>
          <w:bCs/>
        </w:rPr>
        <w:t xml:space="preserve">analysable; raw arm sizes 200 + 83 before OA-fetch attrition,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has_pmid:true</w:t>
      </w:r>
      <w:r>
        <w:rPr>
          <w:b/>
          <w:bCs/>
        </w:rPr>
        <w:t xml:space="preserve"> </w:t>
      </w:r>
      <w:r>
        <w:rPr>
          <w:b/>
          <w:bCs/>
        </w:rPr>
        <w:t xml:space="preserve">filter on both arms to reduce v5’s</w:t>
      </w:r>
      <w:r>
        <w:rPr>
          <w:b/>
          <w:bCs/>
        </w:rPr>
        <w:t xml:space="preserve"> </w:t>
      </w:r>
      <w:r>
        <w:rPr>
          <w:b/>
          <w:bCs/>
        </w:rPr>
        <w:t xml:space="preserve">attrition asymmetry).</w:t>
      </w:r>
      <w:r>
        <w:t xml:space="preserve"> </w:t>
      </w:r>
      <w:r>
        <w:t xml:space="preserve">At the documented</w:t>
      </w:r>
      <w:r>
        <w:t xml:space="preserve"> </w:t>
      </w:r>
      <w:r>
        <w:rPr>
          <w:rStyle w:val="VerbatimChar"/>
        </w:rPr>
        <w:t xml:space="preserve">z=6 / cluster=8</w:t>
      </w:r>
      <w:r>
        <w:t xml:space="preserve"> </w:t>
      </w:r>
      <w:r>
        <w:t xml:space="preserve">defaults all three image detectors converge to</w:t>
      </w:r>
      <w:r>
        <w:t xml:space="preserve"> </w:t>
      </w:r>
      <w:r>
        <w:rPr>
          <w:b/>
          <w:bCs/>
        </w:rPr>
        <w:t xml:space="preserve">LR+ ≈ 1</w:t>
      </w:r>
      <w:r>
        <w:t xml:space="preserve">:</w:t>
      </w:r>
      <w:r>
        <w:t xml:space="preserve"> </w:t>
      </w:r>
      <w:r>
        <w:t xml:space="preserve">F6 (patch-splice) 0.89, 95 % Wilson CI [0.74, 1.12]; F4</w:t>
      </w:r>
      <w:r>
        <w:t xml:space="preserve"> </w:t>
      </w:r>
      <w:r>
        <w:t xml:space="preserve">(cross-paper pHash) 0.96 [0.28, 3.46]; F1 (intra-paper pHash)</w:t>
      </w:r>
      <w:r>
        <w:t xml:space="preserve"> </w:t>
      </w:r>
      <w:r>
        <w:t xml:space="preserve">1.09 [0.44, 2.86]. v5’s apparent F4 LR+ = 4.36 (1 false</w:t>
      </w:r>
      <w:r>
        <w:t xml:space="preserve"> </w:t>
      </w:r>
      <w:r>
        <w:t xml:space="preserve">positive in 48 controls) collapses to 0.96 with 5 false</w:t>
      </w:r>
      <w:r>
        <w:t xml:space="preserve"> </w:t>
      </w:r>
      <w:r>
        <w:t xml:space="preserve">positives in 49 controls — that earlier figure was the</w:t>
      </w:r>
      <w:r>
        <w:t xml:space="preserve"> </w:t>
      </w:r>
      <w:r>
        <w:t xml:space="preserve">small-sample artifact v5 had already flagged but could not</w:t>
      </w:r>
      <w:r>
        <w:t xml:space="preserve"> </w:t>
      </w:r>
      <w:r>
        <w:t xml:space="preserve">yet quantify. The image layer at PaperGuard’s published</w:t>
      </w:r>
      <w:r>
        <w:t xml:space="preserve"> </w:t>
      </w:r>
      <w:r>
        <w:t xml:space="preserve">defaults is</w:t>
      </w:r>
      <w:r>
        <w:t xml:space="preserve"> </w:t>
      </w:r>
      <w:r>
        <w:rPr>
          <w:b/>
          <w:bCs/>
        </w:rPr>
        <w:t xml:space="preserve">structurally tuned to the Bik-style</w:t>
      </w:r>
      <w:r>
        <w:rPr>
          <w:b/>
          <w:bCs/>
        </w:rPr>
        <w:t xml:space="preserve"> </w:t>
      </w:r>
      <w:r>
        <w:rPr>
          <w:b/>
          <w:bCs/>
        </w:rPr>
        <w:t xml:space="preserve">patch-splice / Western-blot-duplication failure mode</w:t>
      </w:r>
      <w:r>
        <w:t xml:space="preserve">, which</w:t>
      </w:r>
      <w:r>
        <w:t xml:space="preserve"> </w:t>
      </w:r>
      <w:r>
        <w:t xml:space="preserve">is rare in randomly-sampled retracted papers; on the</w:t>
      </w:r>
      <w:r>
        <w:t xml:space="preserve"> </w:t>
      </w:r>
      <w:r>
        <w:t xml:space="preserve">biomedical OA corpus dominated by statistical-fabrication,</w:t>
      </w:r>
      <w:r>
        <w:t xml:space="preserve"> </w:t>
      </w:r>
      <w:r>
        <w:t xml:space="preserve">paper-mill, and image-reuse failures, the layer’s single-</w:t>
      </w:r>
      <w:r>
        <w:t xml:space="preserve"> </w:t>
      </w:r>
      <w:r>
        <w:t xml:space="preserve">detector LR+ is indistinguishable from chance. PaperGuard</w:t>
      </w:r>
      <w:r>
        <w:t xml:space="preserve"> </w:t>
      </w:r>
      <w:r>
        <w:t xml:space="preserve">publishes this study at face value precisely because the</w:t>
      </w:r>
      <w:r>
        <w:t xml:space="preserve"> </w:t>
      </w:r>
      <w:r>
        <w:t xml:space="preserve">alternative — quoting v4’s small-N LR+ of 1.63 as if it were</w:t>
      </w:r>
      <w:r>
        <w:t xml:space="preserve"> </w:t>
      </w:r>
      <w:r>
        <w:t xml:space="preserve">a calibrated operating point — would be the kind of</w:t>
      </w:r>
      <w:r>
        <w:t xml:space="preserve"> </w:t>
      </w:r>
      <w:r>
        <w:t xml:space="preserve">mis-calibration the tool exists to flag. The image layer</w:t>
      </w:r>
      <w:r>
        <w:t xml:space="preserve"> </w:t>
      </w:r>
      <w:r>
        <w:t xml:space="preserve">retains value as a contributor to the cross-detector</w:t>
      </w:r>
      <w:r>
        <w:t xml:space="preserve"> </w:t>
      </w:r>
      <w:r>
        <w:t xml:space="preserve">combiner; future work needs F6 calibration against a</w:t>
      </w:r>
      <w:r>
        <w:t xml:space="preserve"> </w:t>
      </w:r>
      <w:r>
        <w:t xml:space="preserve">Bik-curated patch-splice corpus that is not publicly</w:t>
      </w:r>
      <w:r>
        <w:t xml:space="preserve"> </w:t>
      </w:r>
      <w:r>
        <w:t xml:space="preserve">redistributable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Industrial-layer recall (v1, 2 domains × N=50 clean + 50</w:t>
      </w:r>
      <w:r>
        <w:rPr>
          <w:b/>
          <w:bCs/>
        </w:rPr>
        <w:t xml:space="preserve"> </w:t>
      </w:r>
      <w:r>
        <w:rPr>
          <w:b/>
          <w:bCs/>
        </w:rPr>
        <w:t xml:space="preserve">tampered = 200 synthetic datasets total).</w:t>
      </w:r>
      <w:r>
        <w:t xml:space="preserve"> </w:t>
      </w:r>
      <w:r>
        <w:t xml:space="preserve">On the wastewater</w:t>
      </w:r>
      <w:r>
        <w:t xml:space="preserve"> </w:t>
      </w:r>
      <w:r>
        <w:t xml:space="preserve">domain at template-default thresholds, I5 (batch-repetition</w:t>
      </w:r>
      <w:r>
        <w:t xml:space="preserve"> </w:t>
      </w:r>
      <w:r>
        <w:t xml:space="preserve">detection) achieves</w:t>
      </w:r>
      <w:r>
        <w:t xml:space="preserve"> </w:t>
      </w:r>
      <w:r>
        <w:rPr>
          <w:b/>
          <w:bCs/>
        </w:rPr>
        <w:t xml:space="preserve">LR+ = ∞</w:t>
      </w:r>
      <w:r>
        <w:t xml:space="preserve"> </w:t>
      </w:r>
      <w:r>
        <w:t xml:space="preserve">(60 % TPR, 0 % FPR); I1</w:t>
      </w:r>
      <w:r>
        <w:t xml:space="preserve"> </w:t>
      </w:r>
      <w:r>
        <w:t xml:space="preserve">(mass-balance) and I2 (timestamp integrity) fire on 100 %</w:t>
      </w:r>
      <w:r>
        <w:t xml:space="preserve"> </w:t>
      </w:r>
      <w:r>
        <w:t xml:space="preserve">TPR / 100 % FPR at the same defaults, indicating their</w:t>
      </w:r>
      <w:r>
        <w:t xml:space="preserve"> </w:t>
      </w:r>
      <w:r>
        <w:t xml:space="preserve">out-of-the-box tolerances need calibration to the local plant’s</w:t>
      </w:r>
      <w:r>
        <w:t xml:space="preserve"> </w:t>
      </w:r>
      <w:r>
        <w:t xml:space="preserve">noise floor before they discriminate. On the pharma domain all</w:t>
      </w:r>
      <w:r>
        <w:t xml:space="preserve"> </w:t>
      </w:r>
      <w:r>
        <w:t xml:space="preserve">three detectors fire at 100 % / 100 %. The industrial layer is</w:t>
      </w:r>
      <w:r>
        <w:t xml:space="preserve"> </w:t>
      </w:r>
      <w:r>
        <w:t xml:space="preserve">the most recent addition and has no direct prior art in the</w:t>
      </w:r>
      <w:r>
        <w:t xml:space="preserve"> </w:t>
      </w:r>
      <w:r>
        <w:t xml:space="preserve">academic-integrity literature; this study sets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on detector capability against synthetic ground truth, not an</w:t>
      </w:r>
      <w:r>
        <w:t xml:space="preserve"> </w:t>
      </w:r>
      <w:r>
        <w:t xml:space="preserve">upper bound against real EPA / FDA enforcement 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statcheck cross-validation (N=41 ground-truth corpus).</w:t>
      </w:r>
      <w:r>
        <w:t xml:space="preserve"> </w:t>
      </w:r>
      <w:r>
        <w:t xml:space="preserve">Against an independent scipy-based p-value reference, B4 achieves</w:t>
      </w:r>
      <w:r>
        <w:t xml:space="preserve"> </w:t>
      </w:r>
      <w:r>
        <w:t xml:space="preserve">recall = 100 % and decision-flip recall = 94.12 %. A separate</w:t>
      </w:r>
      <w:r>
        <w:t xml:space="preserve"> </w:t>
      </w:r>
      <w:r>
        <w:t xml:space="preserve">cross-validation directly against the R</w:t>
      </w:r>
      <w:r>
        <w:t xml:space="preserve"> </w:t>
      </w:r>
      <w:r>
        <w:rPr>
          <w:rStyle w:val="VerbatimChar"/>
        </w:rPr>
        <w:t xml:space="preserve">statcheck</w:t>
      </w:r>
      <w:r>
        <w:t xml:space="preserve"> </w:t>
      </w:r>
      <w:r>
        <w:t xml:space="preserve">package on the</w:t>
      </w:r>
      <w:r>
        <w:t xml:space="preserve"> </w:t>
      </w:r>
      <w:r>
        <w:t xml:space="preserve">same corpus yields Cohen’s κ = 0.79 (Landis-Koch substantial</w:t>
      </w:r>
      <w:r>
        <w:t xml:space="preserve"> </w:t>
      </w:r>
      <w:r>
        <w:t xml:space="preserve">agreement) on the decision-flip class</w:t>
      </w:r>
      <w:r>
        <w:t xml:space="preserve"> </w:t>
      </w:r>
      <w:r>
        <w:t xml:space="preserve">(</w:t>
      </w:r>
      <w:hyperlink w:anchor="ref-landis1977measurement">
        <w:r>
          <w:rPr>
            <w:rStyle w:val="Hyperlink"/>
          </w:rPr>
          <w:t xml:space="preserve">Landis and Koch 1977</w:t>
        </w:r>
      </w:hyperlink>
      <w:r>
        <w:t xml:space="preserve">;</w:t>
      </w:r>
      <w:r>
        <w:t xml:space="preserve"> </w:t>
      </w:r>
      <w:hyperlink w:anchor="ref-nuijten2016statcheck">
        <w:r>
          <w:rPr>
            <w:rStyle w:val="Hyperlink"/>
          </w:rPr>
          <w:t xml:space="preserve">Nuijten et al. 2016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T7 controlled endpoint benchmark — five-endpoint study</w:t>
      </w:r>
      <w:r>
        <w:rPr>
          <w:b/>
          <w:bCs/>
        </w:rPr>
        <w:t xml:space="preserve"> </w:t>
      </w:r>
      <w:r>
        <w:rPr>
          <w:b/>
          <w:bCs/>
        </w:rPr>
        <w:t xml:space="preserve">(10+10 controlled corpus per run).</w:t>
      </w:r>
      <w:r>
        <w:t xml:space="preserve"> </w:t>
      </w:r>
      <w:r>
        <w:t xml:space="preserve">Across the five real-logprobs</w:t>
      </w:r>
      <w:r>
        <w:t xml:space="preserve"> </w:t>
      </w:r>
      <w:r>
        <w:t xml:space="preserve">endpoints tested, the four OpenAI models all show reversed</w:t>
      </w:r>
      <w:r>
        <w:t xml:space="preserve"> </w:t>
      </w:r>
      <w:r>
        <w:t xml:space="preserve">direction (AI continuation perplexity &gt; human, opposite of the</w:t>
      </w:r>
      <w:r>
        <w:t xml:space="preserve"> </w:t>
      </w:r>
      <w:r>
        <w:t xml:space="preserve">classical DetectGPT assumption), while the one non-OpenAI</w:t>
      </w:r>
      <w:r>
        <w:t xml:space="preserve"> </w:t>
      </w:r>
      <w:r>
        <w:t xml:space="preserve">endpoint (Groq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) shows the textbook direction.</w:t>
      </w:r>
      <w:r>
        <w:t xml:space="preserve"> </w:t>
      </w:r>
      <w:r>
        <w:t xml:space="preserve">At an inverted threshold equal to the maximum human perplexity</w:t>
      </w:r>
      <w:r>
        <w:t xml:space="preserve"> </w:t>
      </w:r>
      <w:r>
        <w:t xml:space="preserve">observed in the corpus, three of four OpenAI runs yield</w:t>
      </w:r>
      <w:r>
        <w:t xml:space="preserve"> </w:t>
      </w:r>
      <w:r>
        <w:t xml:space="preserve">LR+ = ∞ (i.e. no false positive) at TPR 70–90 %: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(LR+ = ∞, TPR 90 %,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0.0009),</w:t>
      </w:r>
      <w:r>
        <w:t xml:space="preserve"> </w:t>
      </w:r>
      <w:r>
        <w:rPr>
          <w:rStyle w:val="VerbatimChar"/>
        </w:rPr>
        <w:t xml:space="preserve">gpt-4</w:t>
      </w:r>
      <w:r>
        <w:t xml:space="preserve"> </w:t>
      </w:r>
      <w:r>
        <w:t xml:space="preserve">(LR+ = ∞, TPR 90 %,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2.1 × 10⁻⁶),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(LR+ = ∞, TPR 70 %,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0.0011);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shows the same reversal more weakly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= 0.047, LR+ = 1.57 at median(human)).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gives textbook-direction LR+ = 1.69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= 0.11, weak). The pattern is</w:t>
      </w:r>
      <w:r>
        <w:t xml:space="preserve"> </w:t>
      </w:r>
      <w:r>
        <w:rPr>
          <w:b/>
          <w:bCs/>
        </w:rPr>
        <w:t xml:space="preserve">not monotonic in model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— both</w:t>
      </w:r>
      <w:r>
        <w:t xml:space="preserve"> </w:t>
      </w:r>
      <w:r>
        <w:rPr>
          <w:rStyle w:val="VerbatimChar"/>
        </w:rPr>
        <w:t xml:space="preserve">gpt-3.5-turbo</w:t>
      </w:r>
      <w:r>
        <w:t xml:space="preserve"> </w:t>
      </w:r>
      <w:r>
        <w:t xml:space="preserve">(small, early) and</w:t>
      </w:r>
      <w:r>
        <w:t xml:space="preserve"> </w:t>
      </w:r>
      <w:r>
        <w:rPr>
          <w:rStyle w:val="VerbatimChar"/>
        </w:rPr>
        <w:t xml:space="preserve">gpt-4</w:t>
      </w:r>
      <w:r>
        <w:t xml:space="preserve"> </w:t>
      </w:r>
      <w:r>
        <w:t xml:space="preserve">(older</w:t>
      </w:r>
      <w:r>
        <w:t xml:space="preserve"> </w:t>
      </w:r>
      <w:r>
        <w:t xml:space="preserve">base) outperform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 </w:t>
      </w:r>
      <w:r>
        <w:t xml:space="preserve">(newer, larger) at this task — so the</w:t>
      </w:r>
      <w:r>
        <w:t xml:space="preserve"> </w:t>
      </w:r>
      <w:r>
        <w:t xml:space="preserve">driver of the inversion is the specific RLHF training schedule</w:t>
      </w:r>
      <w:r>
        <w:t xml:space="preserve"> </w:t>
      </w:r>
      <w:r>
        <w:t xml:space="preserve">rather than parameter count. PaperGuard exposes the inversion</w:t>
      </w:r>
      <w:r>
        <w:t xml:space="preserve"> </w:t>
      </w:r>
      <w:r>
        <w:t xml:space="preserve">as a per-endpoint configuration choice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PAPERGUARD_T7_INVERT_THRESHOLD</w:t>
      </w:r>
      <w:r>
        <w:t xml:space="preserve"> </w:t>
      </w:r>
      <w:r>
        <w:t xml:space="preserve">env var, auto-detected for</w:t>
      </w:r>
      <w:r>
        <w:t xml:space="preserve"> </w:t>
      </w:r>
      <w:r>
        <w:t xml:space="preserve">OpenAI endpoints since 2.6.0). OpenAI reasoning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o1</w:t>
      </w:r>
      <w:r>
        <w:t xml:space="preserve">,</w:t>
      </w:r>
      <w:r>
        <w:t xml:space="preserve"> </w:t>
      </w:r>
      <w:r>
        <w:rPr>
          <w:rStyle w:val="VerbatimChar"/>
        </w:rPr>
        <w:t xml:space="preserve">o3-mini</w:t>
      </w:r>
      <w:r>
        <w:t xml:space="preserve">,</w:t>
      </w:r>
      <w:r>
        <w:t xml:space="preserve"> </w:t>
      </w:r>
      <w:r>
        <w:rPr>
          <w:rStyle w:val="VerbatimChar"/>
        </w:rPr>
        <w:t xml:space="preserve">o4-mini</w:t>
      </w:r>
      <w:r>
        <w:t xml:space="preserve">) cannot be used as T7 reference LMs</w:t>
      </w:r>
      <w:r>
        <w:t xml:space="preserve"> </w:t>
      </w:r>
      <w:r>
        <w:t xml:space="preserve">at all: the OpenAI API returns HTTP 400</w:t>
      </w:r>
      <w:r>
        <w:t xml:space="preserve"> </w:t>
      </w:r>
      <w:r>
        <w:rPr>
          <w:i/>
          <w:iCs/>
        </w:rPr>
        <w:t xml:space="preserve">“You are not allowed</w:t>
      </w:r>
      <w:r>
        <w:rPr>
          <w:i/>
          <w:iCs/>
        </w:rPr>
        <w:t xml:space="preserve"> </w:t>
      </w:r>
      <w:r>
        <w:rPr>
          <w:i/>
          <w:iCs/>
        </w:rPr>
        <w:t xml:space="preserve">to request logprobs from this model”</w:t>
      </w:r>
      <w:r>
        <w:t xml:space="preserve"> </w:t>
      </w:r>
      <w:r>
        <w:t xml:space="preserve">— a clean infrastructure-</w:t>
      </w:r>
      <w:r>
        <w:t xml:space="preserve"> </w:t>
      </w:r>
      <w:r>
        <w:t xml:space="preserve">level confirmation of the structural-incompatibility claim</w:t>
      </w:r>
      <w:r>
        <w:t xml:space="preserve"> </w:t>
      </w:r>
      <w:r>
        <w:t xml:space="preserve">PaperGuard had previously argued only on empirical grounds.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T8 controlled endpoint benchmark.</w:t>
      </w:r>
      <w:r>
        <w:t xml:space="preserve"> </w:t>
      </w:r>
      <w:r>
        <w:t xml:space="preserve">Two real-endpoint runs.</w:t>
      </w:r>
      <w:r>
        <w:t xml:space="preserve"> </w:t>
      </w:r>
      <w:r>
        <w:t xml:space="preserve">On a non-reasoning paraphraser (OpenAI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 N=10+10) T8</w:t>
      </w:r>
      <w:r>
        <w:t xml:space="preserve"> </w:t>
      </w:r>
      <w:r>
        <w:t xml:space="preserve">yields LR+ = ∞ (2 / 10 TP, 0 / 10 FP) — the cleanest result</w:t>
      </w:r>
      <w:r>
        <w:t xml:space="preserve"> </w:t>
      </w:r>
      <w:r>
        <w:t xml:space="preserve">PaperGuard has on the DetectGPT family. On a reasoning-model</w:t>
      </w:r>
      <w:r>
        <w:t xml:space="preserve"> </w:t>
      </w:r>
      <w:r>
        <w:t xml:space="preserve">paraphraser (DeepSeek-v4-flash, N=10+10) the rewrites stay on</w:t>
      </w:r>
      <w:r>
        <w:t xml:space="preserve"> </w:t>
      </w:r>
      <w:r>
        <w:t xml:space="preserve">the LLM-likelihood manifold, the Mitchell-style probability-</w:t>
      </w:r>
      <w:r>
        <w:t xml:space="preserve"> </w:t>
      </w:r>
      <w:r>
        <w:t xml:space="preserve">curvature signal inverts, and measured LR+ collapses to 0.25 —</w:t>
      </w:r>
      <w:r>
        <w:t xml:space="preserve"> </w:t>
      </w:r>
      <w:r>
        <w:t xml:space="preserve">worse than coin flip — directly validating the structural</w:t>
      </w:r>
      <w:r>
        <w:t xml:space="preserve"> </w:t>
      </w:r>
      <w:r>
        <w:t xml:space="preserve">prediction made in</w:t>
      </w:r>
      <w:r>
        <w:t xml:space="preserve"> </w:t>
      </w:r>
      <w:r>
        <w:t xml:space="preserve">(</w:t>
      </w:r>
      <w:hyperlink w:anchor="ref-mitchell2023detectgpt">
        <w:r>
          <w:rPr>
            <w:rStyle w:val="Hyperlink"/>
          </w:rPr>
          <w:t xml:space="preserve">Mitchell et al. 2023</w:t>
        </w:r>
      </w:hyperlink>
      <w:r>
        <w:t xml:space="preserve">)</w:t>
      </w:r>
      <w:r>
        <w:t xml:space="preserve">. The detector ships</w:t>
      </w:r>
      <w:r>
        <w:t xml:space="preserve"> </w:t>
      </w:r>
      <w:r>
        <w:t xml:space="preserve">an authoritative compatibility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docs/llm_detection_real_endpoints.md</w:t>
      </w:r>
      <w:r>
        <w:t xml:space="preserve">) documenting which</w:t>
      </w:r>
      <w:r>
        <w:t xml:space="preserve"> </w:t>
      </w:r>
      <w:r>
        <w:t xml:space="preserve">endpoint classes the method is mathematically valid on</w:t>
      </w:r>
      <w:r>
        <w:t xml:space="preserve"> </w:t>
      </w:r>
      <w:r>
        <w:t xml:space="preserve">(non-reasoning</w:t>
      </w:r>
      <w:r>
        <w:t xml:space="preserve"> </w:t>
      </w:r>
      <w:r>
        <w:rPr>
          <w:rStyle w:val="VerbatimChar"/>
        </w:rPr>
        <w:t xml:space="preserve">gpt-4o</w:t>
      </w:r>
      <w:r>
        <w:t xml:space="preserve">, self-hosted Llama-3.3-70B) and which it</w:t>
      </w:r>
      <w:r>
        <w:t xml:space="preserve"> </w:t>
      </w:r>
      <w:r>
        <w:t xml:space="preserve">is structurally incompatible with (OpenAI o-series,</w:t>
      </w:r>
      <w:r>
        <w:t xml:space="preserve"> </w:t>
      </w:r>
      <w:r>
        <w:t xml:space="preserve">DeepSeek-v4, Qwen3-thinking, GPT-5).</w:t>
      </w:r>
    </w:p>
    <w:p>
      <w:pPr>
        <w:pStyle w:val="FirstParagraph"/>
      </w:pPr>
      <w:r>
        <w:t xml:space="preserve">These transparent recall numbers — including the negative findings</w:t>
      </w:r>
      <w:r>
        <w:t xml:space="preserve"> </w:t>
      </w:r>
      <w:r>
        <w:t xml:space="preserve">and structural-incompatibility notes — are an explicit design choice.</w:t>
      </w:r>
      <w:r>
        <w:t xml:space="preserve"> </w:t>
      </w:r>
      <w:r>
        <w:t xml:space="preserve">PaperGuard publishes its own false-negative rate and per-endpoint</w:t>
      </w:r>
      <w:r>
        <w:t xml:space="preserve"> </w:t>
      </w:r>
      <w:r>
        <w:t xml:space="preserve">failure modes alongside its detection methodology so users can</w:t>
      </w:r>
      <w:r>
        <w:t xml:space="preserve"> </w:t>
      </w:r>
      <w:r>
        <w:t xml:space="preserve">calibrate trust.</w:t>
      </w:r>
    </w:p>
    <w:bookmarkEnd w:id="14"/>
    <w:bookmarkStart w:id="16" w:name="software-quality"/>
    <w:p>
      <w:pPr>
        <w:pStyle w:val="Heading1"/>
      </w:pPr>
      <w:r>
        <w:t xml:space="preserve">Software quality</w:t>
      </w:r>
    </w:p>
    <w:p>
      <w:pPr>
        <w:pStyle w:val="FirstParagraph"/>
      </w:pPr>
      <w:r>
        <w:t xml:space="preserve">PaperGuard 2.6.1 ships 103 source files with 539 unit and</w:t>
      </w:r>
      <w:r>
        <w:t xml:space="preserve"> </w:t>
      </w:r>
      <w:r>
        <w:t xml:space="preserve">integration tests (3 additional network-dependent tests deselected</w:t>
      </w:r>
      <w:r>
        <w:t xml:space="preserve"> </w:t>
      </w:r>
      <w:r>
        <w:t xml:space="preserve">by default). The project enforces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style checks and</w:t>
      </w:r>
      <w:r>
        <w:t xml:space="preserve"> </w:t>
      </w:r>
      <w:r>
        <w:rPr>
          <w:rStyle w:val="VerbatimChar"/>
        </w:rPr>
        <w:t xml:space="preserve">mypy --strict</w:t>
      </w:r>
      <w:r>
        <w:t xml:space="preserve"> </w:t>
      </w:r>
      <w:r>
        <w:t xml:space="preserve">type checks in CI on Linux, macOS, and Windows for</w:t>
      </w:r>
      <w:r>
        <w:t xml:space="preserve"> </w:t>
      </w:r>
      <w:r>
        <w:t xml:space="preserve">Python 3.11 and 3.12. A</w:t>
      </w:r>
      <w:r>
        <w:t xml:space="preserve"> </w:t>
      </w:r>
      <w:r>
        <w:rPr>
          <w:rStyle w:val="VerbatimChar"/>
        </w:rPr>
        <w:t xml:space="preserve">paperguard doctor</w:t>
      </w:r>
      <w:r>
        <w:t xml:space="preserve"> </w:t>
      </w:r>
      <w:r>
        <w:t xml:space="preserve">command runs a</w:t>
      </w:r>
      <w:r>
        <w:t xml:space="preserve"> </w:t>
      </w:r>
      <w:r>
        <w:t xml:space="preserve">19-item environment health check (Python version, required and</w:t>
      </w:r>
      <w:r>
        <w:t xml:space="preserve"> </w:t>
      </w:r>
      <w:r>
        <w:t xml:space="preserve">optional dependencies, detector registry, plugin entry points, cache</w:t>
      </w:r>
      <w:r>
        <w:t xml:space="preserve"> </w:t>
      </w:r>
      <w:r>
        <w:t xml:space="preserve">directory writability, dynamic dictionary state, image-corpus</w:t>
      </w:r>
      <w:r>
        <w:t xml:space="preserve"> </w:t>
      </w:r>
      <w:r>
        <w:t xml:space="preserve">presence, and LLM endpoint configuration) and reports</w:t>
      </w:r>
      <w:r>
        <w:t xml:space="preserve"> </w:t>
      </w:r>
      <w:r>
        <w:t xml:space="preserve">machine-readable JSON suitable for CI pre-flight use.</w:t>
      </w:r>
    </w:p>
    <w:p>
      <w:pPr>
        <w:pStyle w:val="BodyText"/>
      </w:pPr>
      <w:r>
        <w:t xml:space="preserve">The package is on PyPI as</w:t>
      </w:r>
      <w:r>
        <w:t xml:space="preserve"> </w:t>
      </w:r>
      <w:r>
        <w:rPr>
          <w:rStyle w:val="VerbatimChar"/>
        </w:rPr>
        <w:t xml:space="preserve">paperguard</w:t>
      </w:r>
      <w:r>
        <w:t xml:space="preserve"> </w:t>
      </w:r>
      <w:r>
        <w:t xml:space="preserve">(current 2.6.1), with a live</w:t>
      </w:r>
      <w:r>
        <w:t xml:space="preserve"> </w:t>
      </w:r>
      <w:r>
        <w:t xml:space="preserve">browser demo at</w:t>
      </w:r>
      <w:r>
        <w:t xml:space="preserve"> </w:t>
      </w:r>
      <w:hyperlink r:id="rId15">
        <w:r>
          <w:rPr>
            <w:rStyle w:val="Hyperlink"/>
          </w:rPr>
          <w:t xml:space="preserve">huggingface.co/spaces/exergyleizhou/paperguard-demo</w:t>
        </w:r>
      </w:hyperlink>
      <w:r>
        <w:t xml:space="preserve"> </w:t>
      </w:r>
      <w:r>
        <w:t xml:space="preserve">and multi-architecture Docker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linux/amd64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linux/arm64</w:t>
      </w:r>
      <w:r>
        <w:t xml:space="preserve">) on the GitHub Container Registry at</w:t>
      </w:r>
      <w:r>
        <w:t xml:space="preserve"> </w:t>
      </w:r>
      <w:r>
        <w:rPr>
          <w:rStyle w:val="VerbatimChar"/>
        </w:rPr>
        <w:t xml:space="preserve">ghcr.io/exergyleizhou-ux/paperguard:latest</w:t>
      </w:r>
      <w:r>
        <w:t xml:space="preserve">.</w:t>
      </w:r>
    </w:p>
    <w:bookmarkEnd w:id="16"/>
    <w:bookmarkStart w:id="17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PaperGuard owes its statistical foundation to the work of James</w:t>
      </w:r>
      <w:r>
        <w:t xml:space="preserve"> </w:t>
      </w:r>
      <w:r>
        <w:t xml:space="preserve">Heathers, Nick Brown, Elisabeth Bik, John Carlisle, Michèle</w:t>
      </w:r>
      <w:r>
        <w:t xml:space="preserve"> </w:t>
      </w:r>
      <w:r>
        <w:t xml:space="preserve">Nuijten, Guillaume Cabanac, Dmitry Kobak, Eric Mitchell, and the</w:t>
      </w:r>
      <w:r>
        <w:t xml:space="preserve"> </w:t>
      </w:r>
      <w:r>
        <w:t xml:space="preserve">broader research-integrity community. The project is independent</w:t>
      </w:r>
      <w:r>
        <w:t xml:space="preserve"> </w:t>
      </w:r>
      <w:r>
        <w:t xml:space="preserve">and unaffiliated with any of the authors cited; any errors in the</w:t>
      </w:r>
      <w:r>
        <w:t xml:space="preserve"> </w:t>
      </w:r>
      <w:r>
        <w:t xml:space="preserve">implementation or interpretation are entirely the implementers’.</w:t>
      </w:r>
    </w:p>
    <w:bookmarkEnd w:id="17"/>
    <w:bookmarkStart w:id="38" w:name="references"/>
    <w:p>
      <w:pPr>
        <w:pStyle w:val="Heading1"/>
      </w:pPr>
      <w:r>
        <w:t xml:space="preserve">References</w:t>
      </w:r>
    </w:p>
    <w:bookmarkStart w:id="37" w:name="refs"/>
    <w:bookmarkStart w:id="19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 Series B</w:t>
      </w:r>
      <w:r>
        <w:t xml:space="preserve"> </w:t>
      </w:r>
      <w:r>
        <w:t xml:space="preserve">57 (1): 289–300.</w:t>
      </w:r>
      <w:r>
        <w:t xml:space="preserve"> </w:t>
      </w:r>
      <w:hyperlink r:id="rId18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9"/>
    <w:bookmarkStart w:id="21" w:name="ref-bik2016prevalence"/>
    <w:p>
      <w:pPr>
        <w:pStyle w:val="Bibliography"/>
      </w:pPr>
      <w:r>
        <w:t xml:space="preserve">Bik, Elisabeth M, Arturo Casadevall, and Ferric C Fang. 2016.</w:t>
      </w:r>
      <w:r>
        <w:t xml:space="preserve"> </w:t>
      </w:r>
      <w:r>
        <w:t xml:space="preserve">“The Prevalence of Inappropriate Image Duplication in Biomedical Research Publications.”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t xml:space="preserve">7 (3): e00809–16.</w:t>
      </w:r>
      <w:r>
        <w:t xml:space="preserve"> </w:t>
      </w:r>
      <w:hyperlink r:id="rId20">
        <w:r>
          <w:rPr>
            <w:rStyle w:val="Hyperlink"/>
          </w:rPr>
          <w:t xml:space="preserve">https://doi.org/10.1128/mBio.00809-16</w:t>
        </w:r>
      </w:hyperlink>
      <w:r>
        <w:t xml:space="preserve">.</w:t>
      </w:r>
    </w:p>
    <w:bookmarkEnd w:id="21"/>
    <w:bookmarkStart w:id="23" w:name="ref-brown2017grim"/>
    <w:p>
      <w:pPr>
        <w:pStyle w:val="Bibliography"/>
      </w:pPr>
      <w:r>
        <w:t xml:space="preserve">Brown, Nicholas JL, and James AJ Heathers. 2017.</w:t>
      </w:r>
      <w:r>
        <w:t xml:space="preserve"> </w:t>
      </w:r>
      <w:r>
        <w:t xml:space="preserve">“The GRIM Test: A Simple Technique Detects Numerous Anomalies in the Reporting of Results in Psychology.”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 </w:t>
      </w:r>
      <w:r>
        <w:t xml:space="preserve">8 (4): 363–69.</w:t>
      </w:r>
      <w:r>
        <w:t xml:space="preserve"> </w:t>
      </w:r>
      <w:hyperlink r:id="rId22">
        <w:r>
          <w:rPr>
            <w:rStyle w:val="Hyperlink"/>
          </w:rPr>
          <w:t xml:space="preserve">https://doi.org/10.1177/1948550616673876</w:t>
        </w:r>
      </w:hyperlink>
      <w:r>
        <w:t xml:space="preserve">.</w:t>
      </w:r>
    </w:p>
    <w:bookmarkEnd w:id="23"/>
    <w:bookmarkStart w:id="24" w:name="ref-cabanac2024chatgpt"/>
    <w:p>
      <w:pPr>
        <w:pStyle w:val="Bibliography"/>
      </w:pPr>
      <w:r>
        <w:t xml:space="preserve">Cabanac, Guillaume, Cyril Labbé, and Alexander Magazinov. 2024.</w:t>
      </w:r>
      <w:r>
        <w:t xml:space="preserve"> </w:t>
      </w:r>
      <w:r>
        <w:t xml:space="preserve">“ChatGPT-Generated Text in Increasing Number of Scientific Papers.”</w:t>
      </w:r>
      <w:r>
        <w:t xml:space="preserve"> </w:t>
      </w:r>
      <w:r>
        <w:rPr>
          <w:i/>
          <w:iCs/>
        </w:rPr>
        <w:t xml:space="preserve">Nature</w:t>
      </w:r>
      <w:r>
        <w:t xml:space="preserve">.</w:t>
      </w:r>
    </w:p>
    <w:bookmarkEnd w:id="24"/>
    <w:bookmarkStart w:id="26" w:name="ref-carlisle2017non"/>
    <w:p>
      <w:pPr>
        <w:pStyle w:val="Bibliography"/>
      </w:pPr>
      <w:r>
        <w:t xml:space="preserve">Carlisle, John B. 2017.</w:t>
      </w:r>
      <w:r>
        <w:t xml:space="preserve"> </w:t>
      </w:r>
      <w:r>
        <w:t xml:space="preserve">“Data Fabrication and Other Reasons for Non-Random Sampling in 5087 Randomised, Controlled Trials in Anaesthetic and General Medical Journals.”</w:t>
      </w:r>
      <w:r>
        <w:t xml:space="preserve"> </w:t>
      </w:r>
      <w:r>
        <w:rPr>
          <w:i/>
          <w:iCs/>
        </w:rPr>
        <w:t xml:space="preserve">Anaesthesia</w:t>
      </w:r>
      <w:r>
        <w:t xml:space="preserve"> </w:t>
      </w:r>
      <w:r>
        <w:t xml:space="preserve">72 (8): 944–52.</w:t>
      </w:r>
      <w:r>
        <w:t xml:space="preserve"> </w:t>
      </w:r>
      <w:hyperlink r:id="rId25">
        <w:r>
          <w:rPr>
            <w:rStyle w:val="Hyperlink"/>
          </w:rPr>
          <w:t xml:space="preserve">https://doi.org/10.1111/anae.13938</w:t>
        </w:r>
      </w:hyperlink>
      <w:r>
        <w:t xml:space="preserve">.</w:t>
      </w:r>
    </w:p>
    <w:bookmarkEnd w:id="26"/>
    <w:bookmarkStart w:id="28" w:name="ref-gehrmann2019gltr"/>
    <w:p>
      <w:pPr>
        <w:pStyle w:val="Bibliography"/>
      </w:pPr>
      <w:r>
        <w:t xml:space="preserve">Gehrmann, Sebastian, Hendrik Strobelt, and Alexander M Rush. 2019.</w:t>
      </w:r>
      <w:r>
        <w:t xml:space="preserve"> </w:t>
      </w:r>
      <w:r>
        <w:t xml:space="preserve">“GLTR: Statistical Detection and Visualization of Generated Text.”</w:t>
      </w:r>
      <w:r>
        <w:t xml:space="preserve"> </w:t>
      </w:r>
      <w:r>
        <w:rPr>
          <w:i/>
          <w:iCs/>
        </w:rPr>
        <w:t xml:space="preserve">Proceedings of ACL System Demonstrations</w:t>
      </w:r>
      <w:r>
        <w:t xml:space="preserve">, 111–16.</w:t>
      </w:r>
      <w:r>
        <w:t xml:space="preserve"> </w:t>
      </w:r>
      <w:hyperlink r:id="rId27">
        <w:r>
          <w:rPr>
            <w:rStyle w:val="Hyperlink"/>
          </w:rPr>
          <w:t xml:space="preserve">https://doi.org/10.18653/v1/P19-3019</w:t>
        </w:r>
      </w:hyperlink>
      <w:r>
        <w:t xml:space="preserve">.</w:t>
      </w:r>
    </w:p>
    <w:bookmarkEnd w:id="28"/>
    <w:bookmarkStart w:id="30" w:name="ref-heathers2018sprite"/>
    <w:p>
      <w:pPr>
        <w:pStyle w:val="Bibliography"/>
      </w:pPr>
      <w:r>
        <w:t xml:space="preserve">Heathers, James AJ, Nicholas JL Brown, James C Coyne, et al.</w:t>
      </w:r>
      <w:r>
        <w:t xml:space="preserve"> 2018.</w:t>
      </w:r>
      <w:r>
        <w:t xml:space="preserve"> </w:t>
      </w:r>
      <w:r>
        <w:rPr>
          <w:i/>
          <w:iCs/>
        </w:rPr>
        <w:t xml:space="preserve">Recovering Data from Summary Statistics: Sample Parameter Reconstruction via Iterative TEchniques (SPRITE)</w:t>
      </w:r>
      <w:r>
        <w:t xml:space="preserve">. PeerJ Preprints 6:e26968v1.</w:t>
      </w:r>
      <w:r>
        <w:t xml:space="preserve"> </w:t>
      </w:r>
      <w:hyperlink r:id="rId29">
        <w:r>
          <w:rPr>
            <w:rStyle w:val="Hyperlink"/>
          </w:rPr>
          <w:t xml:space="preserve">https://doi.org/10.7287/peerj.preprints.26968v1</w:t>
        </w:r>
      </w:hyperlink>
      <w:r>
        <w:t xml:space="preserve">.</w:t>
      </w:r>
    </w:p>
    <w:bookmarkEnd w:id="30"/>
    <w:bookmarkStart w:id="31" w:name="ref-kobak2025delving"/>
    <w:p>
      <w:pPr>
        <w:pStyle w:val="Bibliography"/>
      </w:pPr>
      <w:r>
        <w:t xml:space="preserve">Kobak, Dmitry, Rita G Márquez, Sebastian Lapuschkin, and Wojciech Samek. 2025.</w:t>
      </w:r>
      <w:r>
        <w:t xml:space="preserve"> </w:t>
      </w:r>
      <w:r>
        <w:t xml:space="preserve">“Delving into ChatGPT Word Patterns.”</w:t>
      </w:r>
      <w:r>
        <w:t xml:space="preserve"> </w:t>
      </w:r>
      <w:r>
        <w:rPr>
          <w:i/>
          <w:iCs/>
        </w:rPr>
        <w:t xml:space="preserve">arXiv Preprint arXiv:2406.07016</w:t>
      </w:r>
      <w:r>
        <w:t xml:space="preserve">.</w:t>
      </w:r>
    </w:p>
    <w:bookmarkEnd w:id="31"/>
    <w:bookmarkStart w:id="33" w:name="ref-landis1977measurement"/>
    <w:p>
      <w:pPr>
        <w:pStyle w:val="Bibliography"/>
      </w:pPr>
      <w:r>
        <w:t xml:space="preserve">Landis, J Richard, and Gary G Koch. 1977.</w:t>
      </w:r>
      <w:r>
        <w:t xml:space="preserve"> </w:t>
      </w:r>
      <w:r>
        <w:t xml:space="preserve">“The Measurement of Observer Agreement for Categorical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33 (1): 159–74.</w:t>
      </w:r>
      <w:r>
        <w:t xml:space="preserve"> </w:t>
      </w:r>
      <w:hyperlink r:id="rId32">
        <w:r>
          <w:rPr>
            <w:rStyle w:val="Hyperlink"/>
          </w:rPr>
          <w:t xml:space="preserve">https://doi.org/10.2307/2529310</w:t>
        </w:r>
      </w:hyperlink>
      <w:r>
        <w:t xml:space="preserve">.</w:t>
      </w:r>
    </w:p>
    <w:bookmarkEnd w:id="33"/>
    <w:bookmarkStart w:id="34" w:name="ref-mitchell2023detectgpt"/>
    <w:p>
      <w:pPr>
        <w:pStyle w:val="Bibliography"/>
      </w:pPr>
      <w:r>
        <w:t xml:space="preserve">Mitchell, Eric, Yoonho Lee, Alexander Khazatsky, Christopher D Manning, and Chelsea Finn. 2023.</w:t>
      </w:r>
      <w:r>
        <w:t xml:space="preserve"> </w:t>
      </w:r>
      <w:r>
        <w:t xml:space="preserve">“DetectGPT: Zero-Shot Machine-Generated Text Detection Using Probability Curvature.”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.</w:t>
      </w:r>
    </w:p>
    <w:bookmarkEnd w:id="34"/>
    <w:bookmarkStart w:id="36" w:name="ref-nuijten2016statcheck"/>
    <w:p>
      <w:pPr>
        <w:pStyle w:val="Bibliography"/>
      </w:pPr>
      <w:r>
        <w:t xml:space="preserve">Nuijten, Michèle B, Chris HJ Hartgerink, Marcel ALM van Assen, Sacha Epskamp, and Jelte M Wicherts. 2016.</w:t>
      </w:r>
      <w:r>
        <w:t xml:space="preserve"> </w:t>
      </w:r>
      <w:r>
        <w:t xml:space="preserve">“The Prevalence of Statistical Reporting Errors in Psychology (1985–2013).”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 </w:t>
      </w:r>
      <w:r>
        <w:t xml:space="preserve">48 (4): 1205–26.</w:t>
      </w:r>
      <w:r>
        <w:t xml:space="preserve"> </w:t>
      </w:r>
      <w:hyperlink r:id="rId35">
        <w:r>
          <w:rPr>
            <w:rStyle w:val="Hyperlink"/>
          </w:rPr>
          <w:t xml:space="preserve">https://doi.org/10.3758/s13428-015-0664-2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111/anae.13938" TargetMode="External" /><Relationship Type="http://schemas.openxmlformats.org/officeDocument/2006/relationships/hyperlink" Id="rId18" Target="https://doi.org/10.1111/j.2517-6161.1995.tb02031.x" TargetMode="External" /><Relationship Type="http://schemas.openxmlformats.org/officeDocument/2006/relationships/hyperlink" Id="rId20" Target="https://doi.org/10.1128/mBio.00809-16" TargetMode="External" /><Relationship Type="http://schemas.openxmlformats.org/officeDocument/2006/relationships/hyperlink" Id="rId22" Target="https://doi.org/10.1177/1948550616673876" TargetMode="External" /><Relationship Type="http://schemas.openxmlformats.org/officeDocument/2006/relationships/hyperlink" Id="rId27" Target="https://doi.org/10.18653/v1/P19-3019" TargetMode="External" /><Relationship Type="http://schemas.openxmlformats.org/officeDocument/2006/relationships/hyperlink" Id="rId32" Target="https://doi.org/10.2307/2529310" TargetMode="External" /><Relationship Type="http://schemas.openxmlformats.org/officeDocument/2006/relationships/hyperlink" Id="rId35" Target="https://doi.org/10.3758/s13428-015-0664-2" TargetMode="External" /><Relationship Type="http://schemas.openxmlformats.org/officeDocument/2006/relationships/hyperlink" Id="rId29" Target="https://doi.org/10.7287/peerj.preprints.26968v1" TargetMode="External" /><Relationship Type="http://schemas.openxmlformats.org/officeDocument/2006/relationships/hyperlink" Id="rId13" Target="https://github.com/exergyleizhou-ux/PaperGuard/tree/main/docs" TargetMode="External" /><Relationship Type="http://schemas.openxmlformats.org/officeDocument/2006/relationships/hyperlink" Id="rId12" Target="https://github.com/exergyleizhou-ux/PaperGuard/tree/main/scripts" TargetMode="External" /><Relationship Type="http://schemas.openxmlformats.org/officeDocument/2006/relationships/hyperlink" Id="rId15" Target="https://huggingface.co/spaces/exergyleizhou/paperguard-dem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111/anae.13938" TargetMode="External" /><Relationship Type="http://schemas.openxmlformats.org/officeDocument/2006/relationships/hyperlink" Id="rId18" Target="https://doi.org/10.1111/j.2517-6161.1995.tb02031.x" TargetMode="External" /><Relationship Type="http://schemas.openxmlformats.org/officeDocument/2006/relationships/hyperlink" Id="rId20" Target="https://doi.org/10.1128/mBio.00809-16" TargetMode="External" /><Relationship Type="http://schemas.openxmlformats.org/officeDocument/2006/relationships/hyperlink" Id="rId22" Target="https://doi.org/10.1177/1948550616673876" TargetMode="External" /><Relationship Type="http://schemas.openxmlformats.org/officeDocument/2006/relationships/hyperlink" Id="rId27" Target="https://doi.org/10.18653/v1/P19-3019" TargetMode="External" /><Relationship Type="http://schemas.openxmlformats.org/officeDocument/2006/relationships/hyperlink" Id="rId32" Target="https://doi.org/10.2307/2529310" TargetMode="External" /><Relationship Type="http://schemas.openxmlformats.org/officeDocument/2006/relationships/hyperlink" Id="rId35" Target="https://doi.org/10.3758/s13428-015-0664-2" TargetMode="External" /><Relationship Type="http://schemas.openxmlformats.org/officeDocument/2006/relationships/hyperlink" Id="rId29" Target="https://doi.org/10.7287/peerj.preprints.26968v1" TargetMode="External" /><Relationship Type="http://schemas.openxmlformats.org/officeDocument/2006/relationships/hyperlink" Id="rId13" Target="https://github.com/exergyleizhou-ux/PaperGuard/tree/main/docs" TargetMode="External" /><Relationship Type="http://schemas.openxmlformats.org/officeDocument/2006/relationships/hyperlink" Id="rId12" Target="https://github.com/exergyleizhou-ux/PaperGuard/tree/main/scripts" TargetMode="External" /><Relationship Type="http://schemas.openxmlformats.org/officeDocument/2006/relationships/hyperlink" Id="rId15" Target="https://huggingface.co/spaces/exergyleizhou/paperguard-dem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PaperGuard: A 39-detector open-source pipeline for triage-stage statistical-anomaly screening in research-data integrity</dc:title>
  <dc:creator/>
  <cp:keywords/>
  <dcterms:created xsi:type="dcterms:W3CDTF">2026-05-23T09:55:01Z</dcterms:created>
  <dcterms:modified xsi:type="dcterms:W3CDTF">2026-05-23T09:55:01Z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paper/paper.bib</vt:lpwstr>
  </property>
  <property fmtid="{D5CDD505-2E9C-101B-9397-08002B2CF9AE}" pid="5" name="date">
    <vt:lpwstr>23 May 2026</vt:lpwstr>
  </property>
  <property fmtid="{D5CDD505-2E9C-101B-9397-08002B2CF9AE}" pid="6" name="link-citations">
    <vt:lpwstr>True</vt:lpwstr>
  </property>
  <property fmtid="{D5CDD505-2E9C-101B-9397-08002B2CF9AE}" pid="7" name="tags">
    <vt:lpwstr/>
  </property>
</Properties>
</file>