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PaperGuard: A 39-detector open-source pipeline for triage-stage statistical-anomaly screening in research-data integrity, with a non-verdict architectural design and 13 empirical-calibration studies</w:t>
      </w:r>
    </w:p>
    <w:p>
      <w:pPr>
        <w:pStyle w:val="Author"/>
      </w:pPr>
      <w:r>
        <w:t xml:space="preserve">Lei Zhou (ORCID 0009-0000-9073-1349)</w:t>
      </w:r>
    </w:p>
    <w:p>
      <w:pPr>
        <w:pStyle w:val="Date"/>
      </w:pPr>
      <w:r>
        <w:t xml:space="preserve">24 May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Research-data integrity tooling has historically been a patchwork of</w:t>
      </w:r>
      <w:r>
        <w:t xml:space="preserve"> </w:t>
      </w:r>
      <w:r>
        <w:t xml:space="preserve">single-signal procedures — statcheck for p-value recomputation, GRIM</w:t>
      </w:r>
      <w:r>
        <w:t xml:space="preserve"> </w:t>
      </w:r>
      <w:r>
        <w:t xml:space="preserve">and SPRITE for summary-statistic reverse-reconstruction, the Carlisle</w:t>
      </w:r>
      <w:r>
        <w:t xml:space="preserve"> </w:t>
      </w:r>
      <w:r>
        <w:t xml:space="preserve">procedure for randomised-trial baseline balance, Bik-style perceptual-</w:t>
      </w:r>
      <w:r>
        <w:t xml:space="preserve"> </w:t>
      </w:r>
      <w:r>
        <w:t xml:space="preserve">hash workflows for image-duplication forensics — each living in a</w:t>
      </w:r>
      <w:r>
        <w:t xml:space="preserve"> </w:t>
      </w:r>
      <w:r>
        <w:t xml:space="preserve">separate codebase with its own conventions and threshold choices.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is a Python library, command-line tool, and multi-tenant</w:t>
      </w:r>
      <w:r>
        <w:t xml:space="preserve"> </w:t>
      </w:r>
      <w:r>
        <w:t xml:space="preserve">Web UI that integrates Python re-implementations of these published</w:t>
      </w:r>
      <w:r>
        <w:t xml:space="preserve"> </w:t>
      </w:r>
      <w:r>
        <w:t xml:space="preserve">procedures with thirty additional detectors across eight methodological</w:t>
      </w:r>
      <w:r>
        <w:t xml:space="preserve"> </w:t>
      </w:r>
      <w:r>
        <w:t xml:space="preserve">families, including a four-detector industrial-process layer for which</w:t>
      </w:r>
      <w:r>
        <w:t xml:space="preserve"> </w:t>
      </w:r>
      <w:r>
        <w:t xml:space="preserve">no direct prior art exists in the academic-integrity literature.</w:t>
      </w:r>
      <w:r>
        <w:t xml:space="preserve"> </w:t>
      </w:r>
      <w:r>
        <w:t xml:space="preserve">The pipeline is architecturally</w:t>
      </w:r>
      <w:r>
        <w:t xml:space="preserve"> </w:t>
      </w:r>
      <w:r>
        <w:rPr>
          <w:b/>
          <w:bCs/>
        </w:rPr>
        <w:t xml:space="preserve">non-verdict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emitted by every detector ships with at least three plausible innocent</w:t>
      </w:r>
      <w:r>
        <w:t xml:space="preserve"> </w:t>
      </w:r>
      <w:r>
        <w:t xml:space="preserve">explanations, and verdict vocabulary (</w:t>
      </w:r>
      <w:r>
        <w:rPr>
          <w:rStyle w:val="VerbatimChar"/>
        </w:rPr>
        <w:t xml:space="preserve">fraud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misconduct</w:t>
      </w:r>
      <w:r>
        <w:t xml:space="preserve">) is forbidden at the codebase level by a static check.</w:t>
      </w:r>
      <w:r>
        <w:t xml:space="preserve"> </w:t>
      </w:r>
      <w:r>
        <w:t xml:space="preserve">The software ships with thirteen public empirical calibration studies</w:t>
      </w:r>
      <w:r>
        <w:t xml:space="preserve"> </w:t>
      </w:r>
      <w:r>
        <w:t xml:space="preserve">covering text-layer recall (N=200), image-layer recall (N=212 in the</w:t>
      </w:r>
      <w:r>
        <w:t xml:space="preserve"> </w:t>
      </w:r>
      <w:r>
        <w:t xml:space="preserve">latest run), industrial-process recall (N=200 synthetic), B4-vs-R-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cross-validation (κ=0.79 on N=41), and per-endpoint</w:t>
      </w:r>
      <w:r>
        <w:t xml:space="preserve"> </w:t>
      </w:r>
      <w:r>
        <w:t xml:space="preserve">controlled benchmarks of the LLM-text family on five real chat-</w:t>
      </w:r>
      <w:r>
        <w:t xml:space="preserve"> </w:t>
      </w:r>
      <w:r>
        <w:t xml:space="preserve">completion endpoints. Honest negative findings — including image-layer</w:t>
      </w:r>
      <w:r>
        <w:t xml:space="preserve"> </w:t>
      </w:r>
      <w:r>
        <w:t xml:space="preserve">LR+ ≈ 1 on randomly-sampled retracted papers and continuation-</w:t>
      </w:r>
      <w:r>
        <w:t xml:space="preserve"> </w:t>
      </w:r>
      <w:r>
        <w:t xml:space="preserve">perplexity direction inversion on RLHF-tuned OpenAI reference language</w:t>
      </w:r>
      <w:r>
        <w:t xml:space="preserve"> </w:t>
      </w:r>
      <w:r>
        <w:t xml:space="preserve">models — are published at face value as a design choice.</w:t>
      </w:r>
    </w:p>
    <w:bookmarkEnd w:id="9"/>
    <w:bookmarkStart w:id="13" w:name="overview"/>
    <w:p>
      <w:pPr>
        <w:pStyle w:val="Heading1"/>
      </w:pPr>
      <w:r>
        <w:t xml:space="preserve">(1) Overview</w:t>
      </w:r>
    </w:p>
    <w:bookmarkStart w:id="10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2010s and 2020s have seen a sharp expansion in published research</w:t>
      </w:r>
      <w:r>
        <w:t xml:space="preserve"> </w:t>
      </w:r>
      <w:r>
        <w:t xml:space="preserve">that, on independent re-examination, contains data that is internally</w:t>
      </w:r>
      <w:r>
        <w:t xml:space="preserve"> </w:t>
      </w:r>
      <w:r>
        <w:t xml:space="preserve">inconsistent, mechanically irreproducible, or visually duplicated</w:t>
      </w:r>
      <w:r>
        <w:t xml:space="preserve"> </w:t>
      </w:r>
      <w:r>
        <w:t xml:space="preserve">across experimental conditions. Aggregate retraction rates have grown</w:t>
      </w:r>
      <w:r>
        <w:t xml:space="preserve"> </w:t>
      </w:r>
      <w:r>
        <w:t xml:space="preserve">roughly fivefold between 2002 and 2022 (Retraction Watch tracking),</w:t>
      </w:r>
      <w:r>
        <w:t xml:space="preserve"> </w:t>
      </w:r>
      <w:r>
        <w:t xml:space="preserve">and a significant fraction of those retractions cite at least one of</w:t>
      </w:r>
      <w:r>
        <w:t xml:space="preserve"> </w:t>
      </w:r>
      <w:r>
        <w:t xml:space="preserve">the failure modes that existing statistical and image-forensic</w:t>
      </w:r>
      <w:r>
        <w:t xml:space="preserve"> </w:t>
      </w:r>
      <w:r>
        <w:t xml:space="preserve">procedures are designed to detect: number-pattern impossibilities</w:t>
      </w:r>
      <w:r>
        <w:t xml:space="preserve"> </w:t>
      </w:r>
      <w:r>
        <w:t xml:space="preserve">flagged by GRIM</w:t>
      </w:r>
      <w:r>
        <w:t xml:space="preserve"> </w:t>
      </w:r>
      <w:r>
        <w:t xml:space="preserve">(</w:t>
      </w:r>
      <w:hyperlink w:anchor="ref-brown2017grim">
        <w:r>
          <w:rPr>
            <w:rStyle w:val="Hyperlink"/>
          </w:rPr>
          <w:t xml:space="preserve">Brown and Heathers 2017</w:t>
        </w:r>
      </w:hyperlink>
      <w:r>
        <w:t xml:space="preserve">)</w:t>
      </w:r>
      <w:r>
        <w:t xml:space="preserve"> </w:t>
      </w:r>
      <w:r>
        <w:t xml:space="preserve">and SPRITE</w:t>
      </w:r>
      <w:r>
        <w:t xml:space="preserve"> </w:t>
      </w:r>
      <w:r>
        <w:t xml:space="preserve">(</w:t>
      </w:r>
      <w:hyperlink w:anchor="ref-heathers2018sprite">
        <w:r>
          <w:rPr>
            <w:rStyle w:val="Hyperlink"/>
          </w:rPr>
          <w:t xml:space="preserve">Heathers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</w:t>
        </w:r>
      </w:hyperlink>
      <w:r>
        <w:t xml:space="preserve">)</w:t>
      </w:r>
      <w:r>
        <w:t xml:space="preserve">,</w:t>
      </w:r>
      <w:r>
        <w:t xml:space="preserve"> </w:t>
      </w:r>
      <w:r>
        <w:t xml:space="preserve">p-value recomputation errors flagged by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(</w:t>
      </w:r>
      <w:hyperlink w:anchor="ref-nuijten2016statcheck">
        <w:r>
          <w:rPr>
            <w:rStyle w:val="Hyperlink"/>
          </w:rPr>
          <w:t xml:space="preserve">Nuijten et al. 2016</w:t>
        </w:r>
      </w:hyperlink>
      <w:r>
        <w:t xml:space="preserve">)</w:t>
      </w:r>
      <w:r>
        <w:t xml:space="preserve">, baseline-balance implausibilities in</w:t>
      </w:r>
      <w:r>
        <w:t xml:space="preserve"> </w:t>
      </w:r>
      <w:r>
        <w:t xml:space="preserve">randomised trials flagged by the Carlisle method</w:t>
      </w:r>
      <w:r>
        <w:t xml:space="preserve"> </w:t>
      </w:r>
      <w:r>
        <w:t xml:space="preserve">(</w:t>
      </w:r>
      <w:hyperlink w:anchor="ref-carlisle2017non">
        <w:r>
          <w:rPr>
            <w:rStyle w:val="Hyperlink"/>
          </w:rPr>
          <w:t xml:space="preserve">Carlisle 2017</w:t>
        </w:r>
      </w:hyperlink>
      <w:r>
        <w:t xml:space="preserve">)</w:t>
      </w:r>
      <w:r>
        <w:t xml:space="preserve">,</w:t>
      </w:r>
      <w:r>
        <w:t xml:space="preserve"> </w:t>
      </w:r>
      <w:r>
        <w:t xml:space="preserve">image duplications flagged by perceptual-hash workflows</w:t>
      </w:r>
      <w:r>
        <w:t xml:space="preserve"> </w:t>
      </w:r>
      <w:r>
        <w:t xml:space="preserve">(</w:t>
      </w:r>
      <w:hyperlink w:anchor="ref-bik2016prevalence">
        <w:r>
          <w:rPr>
            <w:rStyle w:val="Hyperlink"/>
          </w:rPr>
          <w:t xml:space="preserve">Bik et al. 2016</w:t>
        </w:r>
      </w:hyperlink>
      <w:r>
        <w:t xml:space="preserve">)</w:t>
      </w:r>
      <w:r>
        <w:t xml:space="preserve">, and most recently, LLM-authored prose surfacing</w:t>
      </w:r>
      <w:r>
        <w:t xml:space="preserve"> </w:t>
      </w:r>
      <w:r>
        <w:t xml:space="preserve">through lexical fingerprints documented in</w:t>
      </w:r>
      <w:r>
        <w:t xml:space="preserve"> </w:t>
      </w:r>
      <w:r>
        <w:t xml:space="preserve">(</w:t>
      </w:r>
      <w:hyperlink w:anchor="ref-cabanac2024chatgpt">
        <w:r>
          <w:rPr>
            <w:rStyle w:val="Hyperlink"/>
          </w:rPr>
          <w:t xml:space="preserve">Cabanac et al. 2024</w:t>
        </w:r>
      </w:hyperlink>
      <w:r>
        <w:t xml:space="preserve">;</w:t>
      </w:r>
      <w:r>
        <w:t xml:space="preserve"> </w:t>
      </w:r>
      <w:hyperlink w:anchor="ref-kobak2025delving">
        <w:r>
          <w:rPr>
            <w:rStyle w:val="Hyperlink"/>
          </w:rPr>
          <w:t xml:space="preserve">Kobak et al. 2025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Each of these procedures was developed in isolation. The published</w:t>
      </w:r>
      <w:r>
        <w:t xml:space="preserve"> </w:t>
      </w:r>
      <w:r>
        <w:t xml:space="preserve">artifacts live in heterogeneous codebases —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is an R</w:t>
      </w:r>
      <w:r>
        <w:t xml:space="preserve"> </w:t>
      </w:r>
      <w:r>
        <w:t xml:space="preserve">package; GRIM and SPRITE ship as standalone scripts; the</w:t>
      </w:r>
      <w:r>
        <w:t xml:space="preserve"> </w:t>
      </w:r>
      <w:r>
        <w:t xml:space="preserve">Carlisle test as published is a method, not a tool; pHash forensics</w:t>
      </w:r>
      <w:r>
        <w:t xml:space="preserve"> </w:t>
      </w:r>
      <w:r>
        <w:t xml:space="preserve">is a workflow embedded in human expert practice rather than a</w:t>
      </w:r>
      <w:r>
        <w:t xml:space="preserve"> </w:t>
      </w:r>
      <w:r>
        <w:t xml:space="preserve">standalone library. Each comes with its own input format, threshold</w:t>
      </w:r>
      <w:r>
        <w:t xml:space="preserve"> </w:t>
      </w:r>
      <w:r>
        <w:t xml:space="preserve">choices, and reporting style. A reviewer or editor wanting to run</w:t>
      </w:r>
      <w:r>
        <w:t xml:space="preserve"> </w:t>
      </w:r>
      <w:r>
        <w:t xml:space="preserve">the full battery of available checks must currently set up five-plus</w:t>
      </w:r>
      <w:r>
        <w:t xml:space="preserve"> </w:t>
      </w:r>
      <w:r>
        <w:t xml:space="preserve">toolchains, normalise their inputs by hand, and reconcile five-plus</w:t>
      </w:r>
      <w:r>
        <w:t xml:space="preserve"> </w:t>
      </w:r>
      <w:r>
        <w:t xml:space="preserve">reporting styles. The integration gap, more than the detection-method</w:t>
      </w:r>
      <w:r>
        <w:t xml:space="preserve"> </w:t>
      </w:r>
      <w:r>
        <w:t xml:space="preserve">gap, is what limits the impact of available science on day-to-day</w:t>
      </w:r>
      <w:r>
        <w:t xml:space="preserve"> </w:t>
      </w:r>
      <w:r>
        <w:t xml:space="preserve">peer review.</w:t>
      </w:r>
    </w:p>
    <w:p>
      <w:pPr>
        <w:pStyle w:val="BodyText"/>
      </w:pPr>
      <w:r>
        <w:t xml:space="preserve">A second, more recent gap is that the prior-art literature on</w:t>
      </w:r>
      <w:r>
        <w:t xml:space="preserve"> </w:t>
      </w:r>
      <w:r>
        <w:t xml:space="preserve">research-integrity tooling addresses only academic publications. The</w:t>
      </w:r>
      <w:r>
        <w:t xml:space="preserve"> </w:t>
      </w:r>
      <w:r>
        <w:t xml:space="preserve">same data-fabrication and data-fitting failure modes occur in</w:t>
      </w:r>
      <w:r>
        <w:t xml:space="preserve"> </w:t>
      </w:r>
      <w:r>
        <w:rPr>
          <w:b/>
          <w:bCs/>
        </w:rPr>
        <w:t xml:space="preserve">industrial process data</w:t>
      </w:r>
      <w:r>
        <w:t xml:space="preserve"> </w:t>
      </w:r>
      <w:r>
        <w:t xml:space="preserve">— SCADA logs from wastewater treatment</w:t>
      </w:r>
      <w:r>
        <w:t xml:space="preserve"> </w:t>
      </w:r>
      <w:r>
        <w:t xml:space="preserve">plants and pharmaceutical manufacturing batches contain mass-balance</w:t>
      </w:r>
      <w:r>
        <w:t xml:space="preserve"> </w:t>
      </w:r>
      <w:r>
        <w:t xml:space="preserve">inconsistencies, copy-pasted historical batches, and over-smoothed</w:t>
      </w:r>
      <w:r>
        <w:t xml:space="preserve"> </w:t>
      </w:r>
      <w:r>
        <w:t xml:space="preserve">trend windows that are direct analogues of the academic failure modes</w:t>
      </w:r>
      <w:r>
        <w:t xml:space="preserve"> </w:t>
      </w:r>
      <w:r>
        <w:t xml:space="preserve">the prior-art literature was built for, but no published tooling</w:t>
      </w:r>
      <w:r>
        <w:t xml:space="preserve"> </w:t>
      </w:r>
      <w:r>
        <w:t xml:space="preserve">generalises to that domain.</w:t>
      </w:r>
    </w:p>
    <w:bookmarkEnd w:id="10"/>
    <w:bookmarkStart w:id="11" w:name="approach"/>
    <w:p>
      <w:pPr>
        <w:pStyle w:val="Heading2"/>
      </w:pPr>
      <w:r>
        <w:t xml:space="preserve">Approach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integrates Python re-implementations of the published</w:t>
      </w:r>
      <w:r>
        <w:t xml:space="preserve"> </w:t>
      </w:r>
      <w:r>
        <w:t xml:space="preserve">procedures and 30+ additional detectors into a single package with a</w:t>
      </w:r>
      <w:r>
        <w:t xml:space="preserve"> </w:t>
      </w:r>
      <w:r>
        <w:t xml:space="preserve">uniform interface, a cross-detector evidence combiner, a plugin</w:t>
      </w:r>
      <w:r>
        <w:t xml:space="preserve"> </w:t>
      </w:r>
      <w:r>
        <w:t xml:space="preserve">entry-point system, and three deployment surfaces (Python library,</w:t>
      </w:r>
      <w:r>
        <w:t xml:space="preserve"> </w:t>
      </w:r>
      <w:r>
        <w:t xml:space="preserve">command-line tool, multi-tenant Web UI). The 39 detectors are</w:t>
      </w:r>
      <w:r>
        <w:t xml:space="preserve"> </w:t>
      </w:r>
      <w:r>
        <w:t xml:space="preserve">organised into eight methodological families (Table 1, §2). Each is</w:t>
      </w:r>
      <w:r>
        <w:t xml:space="preserve"> </w:t>
      </w:r>
      <w:r>
        <w:t xml:space="preserve">a subclass of the abstract</w:t>
      </w:r>
      <w:r>
        <w:t xml:space="preserve"> </w:t>
      </w:r>
      <w:r>
        <w:rPr>
          <w:rStyle w:val="VerbatimChar"/>
        </w:rPr>
        <w:t xml:space="preserve">BaseDetector</w:t>
      </w:r>
      <w:r>
        <w:t xml:space="preserve"> </w:t>
      </w:r>
      <w:r>
        <w:t xml:space="preserve">class with declared</w:t>
      </w:r>
      <w:r>
        <w:t xml:space="preserve"> </w:t>
      </w:r>
      <w:r>
        <w:rPr>
          <w:rStyle w:val="VerbatimChar"/>
        </w:rPr>
        <w:t xml:space="preserve">data_requirements</w:t>
      </w:r>
      <w:r>
        <w:t xml:space="preserve">, an explicit random seed, and a return value</w:t>
      </w:r>
      <w:r>
        <w:t xml:space="preserve"> </w:t>
      </w:r>
      <w:r>
        <w:t xml:space="preserve">structured as</w:t>
      </w:r>
      <w:r>
        <w:t xml:space="preserve"> </w:t>
      </w:r>
      <w:r>
        <w:rPr>
          <w:rStyle w:val="VerbatimChar"/>
        </w:rPr>
        <w:t xml:space="preserve">DetectorResult(findings: list[Finding])</w:t>
      </w:r>
      <w:r>
        <w:t xml:space="preserve">.</w:t>
      </w:r>
    </w:p>
    <w:p>
      <w:pPr>
        <w:pStyle w:val="BodyText"/>
      </w:pPr>
      <w:r>
        <w:t xml:space="preserve">The architectural design is</w:t>
      </w:r>
      <w:r>
        <w:t xml:space="preserve"> </w:t>
      </w:r>
      <w:r>
        <w:rPr>
          <w:b/>
          <w:bCs/>
        </w:rPr>
        <w:t xml:space="preserve">non-verdict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emitted</w:t>
      </w:r>
      <w:r>
        <w:t xml:space="preserve"> </w:t>
      </w:r>
      <w:r>
        <w:t xml:space="preserve">by every detector carries at least three documented innocent</w:t>
      </w:r>
      <w:r>
        <w:t xml:space="preserve"> </w:t>
      </w:r>
      <w:r>
        <w:t xml:space="preserve">explanations alongside the anomaly. Verdict vocabulary — the words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misconduct</w:t>
      </w:r>
      <w:r>
        <w:t xml:space="preserve">, and their Chinese-language</w:t>
      </w:r>
      <w:r>
        <w:t xml:space="preserve"> </w:t>
      </w:r>
      <w:r>
        <w:t xml:space="preserve">equivalents — is forbidden in all detector code paths by a static</w:t>
      </w:r>
      <w:r>
        <w:t xml:space="preserve"> </w:t>
      </w:r>
      <w:r>
        <w:t xml:space="preserve">check that runs in continuous integration. The tool surfaces</w:t>
      </w:r>
      <w:r>
        <w:t xml:space="preserve"> </w:t>
      </w:r>
      <w:r>
        <w:t xml:space="preserve">manuscripts worth a human reviewer’s attention; it does not render</w:t>
      </w:r>
      <w:r>
        <w:t xml:space="preserve"> </w:t>
      </w:r>
      <w:r>
        <w:t xml:space="preserve">judgment, by construction.</w:t>
      </w:r>
    </w:p>
    <w:bookmarkEnd w:id="11"/>
    <w:bookmarkStart w:id="12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targets three concrete use cases identified from</w:t>
      </w:r>
      <w:r>
        <w:t xml:space="preserve"> </w:t>
      </w:r>
      <w:r>
        <w:t xml:space="preserve">discussions with editorial-office staff and research-integrity</w:t>
      </w:r>
      <w:r>
        <w:t xml:space="preserve"> </w:t>
      </w:r>
      <w:r>
        <w:t xml:space="preserve">officers during 2024-2025: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Pre-submission self-audit.</w:t>
      </w:r>
      <w:r>
        <w:t xml:space="preserve"> </w:t>
      </w:r>
      <w:r>
        <w:t xml:space="preserve">Authors who want to catch</w:t>
      </w:r>
      <w:r>
        <w:t xml:space="preserve"> </w:t>
      </w:r>
      <w:r>
        <w:t xml:space="preserve">data-formatting inconsistencies before peer review run</w:t>
      </w:r>
      <w:r>
        <w:t xml:space="preserve"> </w:t>
      </w:r>
      <w:r>
        <w:rPr>
          <w:rStyle w:val="VerbatimChar"/>
        </w:rPr>
        <w:t xml:space="preserve">paperguard scan file.csv</w:t>
      </w:r>
      <w:r>
        <w:t xml:space="preserve"> </w:t>
      </w:r>
      <w:r>
        <w:t xml:space="preserve">against their own draft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Editorial-office triage.</w:t>
      </w:r>
      <w:r>
        <w:t xml:space="preserve"> </w:t>
      </w:r>
      <w:r>
        <w:t xml:space="preserve">Editors managing high-volume</w:t>
      </w:r>
      <w:r>
        <w:t xml:space="preserve"> </w:t>
      </w:r>
      <w:r>
        <w:t xml:space="preserve">submission streams use the multi-tenant Web UI to surface</w:t>
      </w:r>
      <w:r>
        <w:t xml:space="preserve"> </w:t>
      </w:r>
      <w:r>
        <w:t xml:space="preserve">manuscripts where multiple detectors fire concordantly, focusing</w:t>
      </w:r>
      <w:r>
        <w:t xml:space="preserve"> </w:t>
      </w:r>
      <w:r>
        <w:t xml:space="preserve">limited human-review capacity on the highest-probability cases.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Forensic re-examination.</w:t>
      </w:r>
      <w:r>
        <w:t xml:space="preserve"> </w:t>
      </w:r>
      <w:r>
        <w:t xml:space="preserve">Post-publication concerns flagged on</w:t>
      </w:r>
      <w:r>
        <w:t xml:space="preserve"> </w:t>
      </w:r>
      <w:r>
        <w:t xml:space="preserve">PubPeer or similar channels can be re-examined by running the</w:t>
      </w:r>
      <w:r>
        <w:t xml:space="preserve"> </w:t>
      </w:r>
      <w:r>
        <w:t xml:space="preserve">full detector battery against the published data, providing</w:t>
      </w:r>
      <w:r>
        <w:t xml:space="preserve"> </w:t>
      </w:r>
      <w:r>
        <w:t xml:space="preserve">independent corroboration that does not rely on the reviewer’s own</w:t>
      </w:r>
      <w:r>
        <w:t xml:space="preserve"> </w:t>
      </w:r>
      <w:r>
        <w:t xml:space="preserve">confirmation bias.</w:t>
      </w:r>
    </w:p>
    <w:p>
      <w:pPr>
        <w:pStyle w:val="FirstParagraph"/>
      </w:pPr>
      <w:r>
        <w:t xml:space="preserve">A fourth, newer use case is</w:t>
      </w:r>
      <w:r>
        <w:t xml:space="preserve"> </w:t>
      </w:r>
      <w:r>
        <w:rPr>
          <w:b/>
          <w:bCs/>
        </w:rPr>
        <w:t xml:space="preserve">industrial-process data audit</w:t>
      </w:r>
      <w:r>
        <w:t xml:space="preserve"> </w:t>
      </w:r>
      <w:r>
        <w:t xml:space="preserve">—</w:t>
      </w:r>
      <w:r>
        <w:t xml:space="preserve"> </w:t>
      </w:r>
      <w:r>
        <w:t xml:space="preserve">pharmaceutical batch-release engineers and wastewater regulatory</w:t>
      </w:r>
      <w:r>
        <w:t xml:space="preserve"> </w:t>
      </w:r>
      <w:r>
        <w:t xml:space="preserve">auditors run</w:t>
      </w:r>
      <w:r>
        <w:t xml:space="preserve"> </w:t>
      </w:r>
      <w:r>
        <w:rPr>
          <w:rStyle w:val="VerbatimChar"/>
        </w:rPr>
        <w:t xml:space="preserve">paperguard scan-industrial --domain X file.csv</w:t>
      </w:r>
      <w:r>
        <w:t xml:space="preserve"> </w:t>
      </w:r>
      <w:r>
        <w:t xml:space="preserve">to</w:t>
      </w:r>
      <w:r>
        <w:t xml:space="preserve"> </w:t>
      </w:r>
      <w:r>
        <w:t xml:space="preserve">flag potentially-falsified process data ahead of FDA or EPA</w:t>
      </w:r>
      <w:r>
        <w:t xml:space="preserve"> </w:t>
      </w:r>
      <w:r>
        <w:t xml:space="preserve">inspections. The industrial-domain templates (12 preconfigured</w:t>
      </w:r>
      <w:r>
        <w:t xml:space="preserve"> </w:t>
      </w:r>
      <w:r>
        <w:t xml:space="preserve">domains: wastewater, waste-gas, pharmaceutical, semiconductor, food,</w:t>
      </w:r>
      <w:r>
        <w:t xml:space="preserve"> </w:t>
      </w:r>
      <w:r>
        <w:t xml:space="preserve">environmental, agricultural, biopharma, biocomputation, distillation,</w:t>
      </w:r>
      <w:r>
        <w:t xml:space="preserve"> </w:t>
      </w:r>
      <w:r>
        <w:t xml:space="preserve">chemical, and medical) ship default tolerances drawn from regulatory</w:t>
      </w:r>
      <w:r>
        <w:t xml:space="preserve"> </w:t>
      </w:r>
      <w:r>
        <w:t xml:space="preserve">references; an empirical study (§3, Industrial-layer recall) documents</w:t>
      </w:r>
      <w:r>
        <w:t xml:space="preserve"> </w:t>
      </w:r>
      <w:r>
        <w:t xml:space="preserve">their out-of-the-box performance and the calibration step required to</w:t>
      </w:r>
      <w:r>
        <w:t xml:space="preserve"> </w:t>
      </w:r>
      <w:r>
        <w:t xml:space="preserve">adapt them to a specific facility.</w:t>
      </w:r>
    </w:p>
    <w:bookmarkEnd w:id="12"/>
    <w:bookmarkEnd w:id="13"/>
    <w:bookmarkStart w:id="19" w:name="implementation-and-architecture"/>
    <w:p>
      <w:pPr>
        <w:pStyle w:val="Heading1"/>
      </w:pPr>
      <w:r>
        <w:t xml:space="preserve">(2) Implementation and architecture</w:t>
      </w:r>
    </w:p>
    <w:bookmarkStart w:id="14" w:name="detector-taxonomy"/>
    <w:p>
      <w:pPr>
        <w:pStyle w:val="Heading2"/>
      </w:pPr>
      <w:r>
        <w:t xml:space="preserve">Detector taxonomy</w:t>
      </w:r>
    </w:p>
    <w:p>
      <w:pPr>
        <w:pStyle w:val="FirstParagraph"/>
      </w:pPr>
      <w:r>
        <w:t xml:space="preserve">Table 1 summarises the 39 built-in detectors organised into eight</w:t>
      </w:r>
      <w:r>
        <w:t xml:space="preserve"> </w:t>
      </w:r>
      <w:r>
        <w:t xml:space="preserve">methodological families.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Detectors</w:t>
            </w:r>
          </w:p>
        </w:tc>
        <w:tc>
          <w:tcPr/>
          <w:p>
            <w:pPr>
              <w:pStyle w:val="Compact"/>
            </w:pPr>
            <w:r>
              <w:t xml:space="preserve">Example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Digit-distribution</w:t>
            </w:r>
          </w:p>
        </w:tc>
        <w:tc>
          <w:tcPr/>
          <w:p>
            <w:pPr>
              <w:pStyle w:val="Compact"/>
            </w:pPr>
            <w:r>
              <w:t xml:space="preserve">A1, A2, A7</w:t>
            </w:r>
          </w:p>
        </w:tc>
        <w:tc>
          <w:tcPr/>
          <w:p>
            <w:pPr>
              <w:pStyle w:val="Compact"/>
            </w:pPr>
            <w:r>
              <w:t xml:space="preserve">Terminal-digit χ², Benford’s first-digit χ², last-digit 0/5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/ bounds</w:t>
            </w:r>
          </w:p>
        </w:tc>
        <w:tc>
          <w:tcPr/>
          <w:p>
            <w:pPr>
              <w:pStyle w:val="Compact"/>
            </w:pPr>
            <w:r>
              <w:t xml:space="preserve">A3, A5, A6</w:t>
            </w:r>
          </w:p>
        </w:tc>
        <w:tc>
          <w:tcPr/>
          <w:p>
            <w:pPr>
              <w:pStyle w:val="Compact"/>
            </w:pPr>
            <w:r>
              <w:t xml:space="preserve">Inter-column arithmetic, decimal consistency, plausible-range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Summary-statistic consistency</w:t>
            </w:r>
          </w:p>
        </w:tc>
        <w:tc>
          <w:tcPr/>
          <w:p>
            <w:pPr>
              <w:pStyle w:val="Compact"/>
            </w:pPr>
            <w:r>
              <w:t xml:space="preserve">B1, B4, B5, B6, B7, B8</w:t>
            </w:r>
          </w:p>
        </w:tc>
        <w:tc>
          <w:tcPr/>
          <w:p>
            <w:pPr>
              <w:pStyle w:val="Compact"/>
            </w:pPr>
            <w:r>
              <w:t xml:space="preserve">GRIM, statcheck, TIVA, GRIMMER, p-curve, SPRITE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Clinical-trial plausibility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Carlisle baseline-imbalance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/ independence</w:t>
            </w:r>
          </w:p>
        </w:tc>
        <w:tc>
          <w:tcPr/>
          <w:p>
            <w:pPr>
              <w:pStyle w:val="Compact"/>
            </w:pPr>
            <w:r>
              <w:t xml:space="preserve">D1, D2, E1</w:t>
            </w:r>
          </w:p>
        </w:tc>
        <w:tc>
          <w:tcPr/>
          <w:p>
            <w:pPr>
              <w:pStyle w:val="Compact"/>
            </w:pPr>
            <w:r>
              <w:t xml:space="preserve">Residual smoothness, missing-data pattern, intra-class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/ metadata forensics</w:t>
            </w:r>
          </w:p>
        </w:tc>
        <w:tc>
          <w:tcPr/>
          <w:p>
            <w:pPr>
              <w:pStyle w:val="Compact"/>
            </w:pPr>
            <w:r>
              <w:t xml:space="preserve">F1–F6, G1, G3, G4, G5</w:t>
            </w:r>
          </w:p>
        </w:tc>
        <w:tc>
          <w:tcPr/>
          <w:p>
            <w:pPr>
              <w:pStyle w:val="Compact"/>
            </w:pPr>
            <w:r>
              <w:t xml:space="preserve">pHash duplication, splice forensics, per-channel patch-splice, EXIF temporal, docx rsid, file metadata, reagent-year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/ authorship / paper-mill</w:t>
            </w:r>
          </w:p>
        </w:tc>
        <w:tc>
          <w:tcPr/>
          <w:p>
            <w:pPr>
              <w:pStyle w:val="Compact"/>
            </w:pPr>
            <w:r>
              <w:t xml:space="preserve">M1, T1–T8</w:t>
            </w:r>
          </w:p>
        </w:tc>
        <w:tc>
          <w:tcPr/>
          <w:p>
            <w:pPr>
              <w:pStyle w:val="Compact"/>
            </w:pPr>
            <w:r>
              <w:t xml:space="preserve">Co-authorship graph signatures, n-gram plagiarism, NCT-trial outcome drift, data-availability audit, stylometry, three LLM-text detectors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process data</w:t>
            </w:r>
          </w:p>
        </w:tc>
        <w:tc>
          <w:tcPr/>
          <w:p>
            <w:pPr>
              <w:pStyle w:val="Compact"/>
            </w:pPr>
            <w:r>
              <w:t xml:space="preserve">I1, I2, I5, I6</w:t>
            </w:r>
          </w:p>
        </w:tc>
        <w:tc>
          <w:tcPr/>
          <w:p>
            <w:pPr>
              <w:pStyle w:val="Compact"/>
            </w:pPr>
            <w:r>
              <w:t xml:space="preserve">Mass-balance closure, SCADA timestamp integrity, batch-repetition detection, process-trend over-smoothness</w:t>
            </w:r>
          </w:p>
        </w:tc>
      </w:tr>
    </w:tbl>
    <w:bookmarkEnd w:id="14"/>
    <w:bookmarkStart w:id="15" w:name="core-abstractions"/>
    <w:p>
      <w:pPr>
        <w:pStyle w:val="Heading2"/>
      </w:pPr>
      <w:r>
        <w:t xml:space="preserve">Core abstractions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BaseDetector</w:t>
      </w:r>
      <w:r>
        <w:t xml:space="preserve"> </w:t>
      </w:r>
      <w:r>
        <w:t xml:space="preserve">abstract base class (in</w:t>
      </w:r>
      <w:r>
        <w:t xml:space="preserve"> </w:t>
      </w:r>
      <w:r>
        <w:rPr>
          <w:rStyle w:val="VerbatimChar"/>
        </w:rPr>
        <w:t xml:space="preserve">src/paperguard/core/ base_detector.py</w:t>
      </w:r>
      <w:r>
        <w:t xml:space="preserve">) defines the contract every detector implements: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BaseDetector(ABC):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ClassVar[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</w:t>
      </w:r>
      <w:r>
        <w:rPr>
          <w:rStyle w:val="CommentTok"/>
        </w:rPr>
        <w:t xml:space="preserve"># e.g. "B4"</w:t>
      </w:r>
      <w:r>
        <w:br/>
      </w:r>
      <w:r>
        <w:rPr>
          <w:rStyle w:val="NormalTok"/>
        </w:rPr>
        <w:t xml:space="preserve">    name: ClassVar[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human-readable</w:t>
      </w:r>
      <w:r>
        <w:br/>
      </w:r>
      <w:r>
        <w:rPr>
          <w:rStyle w:val="NormalTok"/>
        </w:rPr>
        <w:t xml:space="preserve">    description: ClassVar[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one-line summary</w:t>
      </w:r>
      <w:r>
        <w:br/>
      </w:r>
      <w:r>
        <w:rPr>
          <w:rStyle w:val="NormalTok"/>
        </w:rPr>
        <w:t xml:space="preserve">    academic_basis: ClassVar[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citation(s)</w:t>
      </w:r>
      <w:r>
        <w:br/>
      </w:r>
      <w:r>
        <w:rPr>
          <w:rStyle w:val="NormalTok"/>
        </w:rPr>
        <w:t xml:space="preserve">    data_requirements: ClassVar[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assumption_cluster: ClassVar[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for combiner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check_applicability(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data, seed)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[Finding]: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DetectorResult: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"""Public entrypoint; checks applicability then runs _detect."""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carries seven required fields: severity (one of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CONCERN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SUSPICIOUS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), one-line summary,</w:t>
      </w:r>
      <w:r>
        <w:t xml:space="preserve"> </w:t>
      </w:r>
      <w:r>
        <w:t xml:space="preserve">detailed body, structured evidence dictionary, list of</w:t>
      </w:r>
      <w:r>
        <w:t xml:space="preserve"> </w:t>
      </w:r>
      <w:r>
        <w:rPr>
          <w:rStyle w:val="VerbatimChar"/>
        </w:rPr>
        <w:t xml:space="preserve">innocent_ explanations</w:t>
      </w:r>
      <w:r>
        <w:t xml:space="preserve"> </w:t>
      </w:r>
      <w:r>
        <w:t xml:space="preserve">(≥ 3 by codebase-level convention), an</w:t>
      </w:r>
      <w:r>
        <w:t xml:space="preserve"> </w:t>
      </w:r>
      <w:r>
        <w:rPr>
          <w:rStyle w:val="VerbatimChar"/>
        </w:rPr>
        <w:t xml:space="preserve">academic_ reference</w:t>
      </w:r>
      <w:r>
        <w:t xml:space="preserve"> </w:t>
      </w:r>
      <w:r>
        <w:t xml:space="preserve">string, and applicability notes. A static check in CI</w:t>
      </w:r>
      <w:r>
        <w:t xml:space="preserve"> </w:t>
      </w:r>
      <w:r>
        <w:t xml:space="preserve">parses every Finding-emitting code path to ensure none of the</w:t>
      </w:r>
      <w:r>
        <w:t xml:space="preserve"> </w:t>
      </w:r>
      <w:r>
        <w:t xml:space="preserve">forbidden verdict words ever reach a user-facing field.</w:t>
      </w:r>
    </w:p>
    <w:bookmarkEnd w:id="15"/>
    <w:bookmarkStart w:id="16" w:name="cross-detector-evidence-combination"/>
    <w:p>
      <w:pPr>
        <w:pStyle w:val="Heading2"/>
      </w:pPr>
      <w:r>
        <w:t xml:space="preserve">Cross-detector evidence combination</w:t>
      </w:r>
    </w:p>
    <w:p>
      <w:pPr>
        <w:pStyle w:val="FirstParagraph"/>
      </w:pPr>
      <w:r>
        <w:t xml:space="preserve">Single detectors emit independent signals; their joint information</w:t>
      </w:r>
      <w:r>
        <w:t xml:space="preserve"> </w:t>
      </w:r>
      <w:r>
        <w:t xml:space="preserve">content is the focus of the</w:t>
      </w:r>
      <w:r>
        <w:t xml:space="preserve"> </w:t>
      </w:r>
      <w:r>
        <w:rPr>
          <w:rStyle w:val="VerbatimChar"/>
        </w:rPr>
        <w:t xml:space="preserve">paperguard.evidence.combiner</w:t>
      </w:r>
      <w:r>
        <w:t xml:space="preserve"> </w:t>
      </w:r>
      <w:r>
        <w:t xml:space="preserve">module.</w:t>
      </w:r>
      <w:r>
        <w:t xml:space="preserve"> </w:t>
      </w:r>
      <w:r>
        <w:t xml:space="preserve">The combiner aggregates per-detector p-values via Benjamini-Hochberg</w:t>
      </w:r>
      <w:r>
        <w:t xml:space="preserve"> </w:t>
      </w:r>
      <w:r>
        <w:t xml:space="preserve">false-discovery-rate correction</w:t>
      </w:r>
      <w:r>
        <w:t xml:space="preserve"> </w:t>
      </w:r>
      <w:r>
        <w:t xml:space="preserve">(</w:t>
      </w:r>
      <w:hyperlink w:anchor="ref-benjamini1995controlling">
        <w:r>
          <w:rPr>
            <w:rStyle w:val="Hyperlink"/>
          </w:rPr>
          <w:t xml:space="preserve">Benjamini and Hochberg 1995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produces a Stouffer-style</w:t>
      </w:r>
      <w:r>
        <w:t xml:space="preserve"> </w:t>
      </w:r>
      <w:r>
        <w:rPr>
          <w:rStyle w:val="VerbatimChar"/>
        </w:rPr>
        <w:t xml:space="preserve">integrity_score</w:t>
      </w:r>
      <w:r>
        <w:t xml:space="preserve"> </w:t>
      </w:r>
      <w:r>
        <w:t xml:space="preserve">that maps to severity</w:t>
      </w:r>
      <w:r>
        <w:t xml:space="preserve"> </w:t>
      </w:r>
      <w:r>
        <w:t xml:space="preserve">tiers rather than to a verdict. Detectors that share an</w:t>
      </w:r>
      <w:r>
        <w:t xml:space="preserve"> </w:t>
      </w:r>
      <w:r>
        <w:rPr>
          <w:rStyle w:val="VerbatimChar"/>
        </w:rPr>
        <w:t xml:space="preserve">assumption_cluster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paper_mill_signature</w:t>
      </w:r>
      <w:r>
        <w:t xml:space="preserve"> </w:t>
      </w:r>
      <w:r>
        <w:t xml:space="preserve">for T1, T4, M1)</w:t>
      </w:r>
      <w:r>
        <w:t xml:space="preserve"> </w:t>
      </w:r>
      <w:r>
        <w:t xml:space="preserve">are treated as non-independent and down-weighted accordingly.</w:t>
      </w:r>
    </w:p>
    <w:bookmarkEnd w:id="16"/>
    <w:bookmarkStart w:id="17" w:name="plugin-entry-point-system"/>
    <w:p>
      <w:pPr>
        <w:pStyle w:val="Heading2"/>
      </w:pPr>
      <w:r>
        <w:t xml:space="preserve">Plugin entry-point system</w:t>
      </w:r>
    </w:p>
    <w:p>
      <w:pPr>
        <w:pStyle w:val="FirstParagraph"/>
      </w:pPr>
      <w:r>
        <w:t xml:space="preserve">Third-party detectors register via the standard Python</w:t>
      </w:r>
      <w:r>
        <w:t xml:space="preserve"> </w:t>
      </w:r>
      <w:r>
        <w:rPr>
          <w:rStyle w:val="VerbatimChar"/>
        </w:rPr>
        <w:t xml:space="preserve">entry_points</w:t>
      </w:r>
      <w:r>
        <w:t xml:space="preserve"> </w:t>
      </w:r>
      <w:r>
        <w:t xml:space="preserve">mechanism under the</w:t>
      </w:r>
      <w:r>
        <w:t xml:space="preserve"> </w:t>
      </w:r>
      <w:r>
        <w:rPr>
          <w:rStyle w:val="VerbatimChar"/>
        </w:rPr>
        <w:t xml:space="preserve">paperguard.detectors</w:t>
      </w:r>
      <w:r>
        <w:t xml:space="preserve"> </w:t>
      </w:r>
      <w:r>
        <w:t xml:space="preserve">group. A custom detector</w:t>
      </w:r>
      <w:r>
        <w:t xml:space="preserve"> </w:t>
      </w:r>
      <w:r>
        <w:t xml:space="preserve">deployed against a private lab’s domain-specific data shape ships</w:t>
      </w:r>
      <w:r>
        <w:t xml:space="preserve"> </w:t>
      </w:r>
      <w:r>
        <w:t xml:space="preserve">as its own pip-installable wheel;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discovers and</w:t>
      </w:r>
      <w:r>
        <w:t xml:space="preserve"> </w:t>
      </w:r>
      <w:r>
        <w:t xml:space="preserve">registers it automatically at next CLI invocation. No fork of the</w:t>
      </w:r>
      <w:r>
        <w:t xml:space="preserve"> </w:t>
      </w:r>
      <w:r>
        <w:t xml:space="preserve">core package is required, and the plugin’s tests run in isolation</w:t>
      </w:r>
      <w:r>
        <w:t xml:space="preserve"> </w:t>
      </w:r>
      <w:r>
        <w:t xml:space="preserve">against the host’s test suite.</w:t>
      </w:r>
    </w:p>
    <w:bookmarkEnd w:id="17"/>
    <w:bookmarkStart w:id="18" w:name="three-deployment-surfaces"/>
    <w:p>
      <w:pPr>
        <w:pStyle w:val="Heading2"/>
      </w:pPr>
      <w:r>
        <w:t xml:space="preserve">Three deployment surfaces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exposes its detector pipeline through three deployment</w:t>
      </w:r>
      <w:r>
        <w:t xml:space="preserve"> </w:t>
      </w:r>
      <w:r>
        <w:t xml:space="preserve">surfaces sharing a single core: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library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from paperguard import scan; report = scan(path_or_dataframe)</w:t>
      </w:r>
      <w:r>
        <w:t xml:space="preserve"> </w:t>
      </w:r>
      <w:r>
        <w:t xml:space="preserve">for embedding in larger workflows.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Command-line tool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paperguard scan file.{csv,xlsx,docx,pdf}</w:t>
      </w:r>
      <w:r>
        <w:t xml:space="preserve"> </w:t>
      </w:r>
      <w:r>
        <w:t xml:space="preserve">with HTML and JSON output, optional LLM-assisted explanation,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--llm-review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--perplexity-check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--detectgpt-check</w:t>
      </w:r>
      <w:r>
        <w:t xml:space="preserve"> </w:t>
      </w:r>
      <w:r>
        <w:t xml:space="preserve">opt-in flags for the LLM-text family. A second</w:t>
      </w:r>
      <w:r>
        <w:t xml:space="preserve"> </w:t>
      </w:r>
      <w:r>
        <w:rPr>
          <w:rStyle w:val="VerbatimChar"/>
        </w:rPr>
        <w:t xml:space="preserve">paperguard scan-industrial --domain D file.csv</w:t>
      </w:r>
      <w:r>
        <w:t xml:space="preserve"> </w:t>
      </w:r>
      <w:r>
        <w:t xml:space="preserve">subcommand routes through</w:t>
      </w:r>
      <w:r>
        <w:t xml:space="preserve"> </w:t>
      </w:r>
      <w:r>
        <w:t xml:space="preserve">the 12 preconfigured industrial-domain templates.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Multi-tenant Web UI</w:t>
      </w:r>
      <w:r>
        <w:t xml:space="preserve"> </w:t>
      </w:r>
      <w:r>
        <w:t xml:space="preserve">— FastAPI-based, with project-scoped</w:t>
      </w:r>
      <w:r>
        <w:t xml:space="preserve"> </w:t>
      </w:r>
      <w:r>
        <w:t xml:space="preserve">scan history, per-user rate-limiting (10 attempts / 5 min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 60 scans / 60 s / IP on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), SQLite or PostgreSQL</w:t>
      </w:r>
      <w:r>
        <w:t xml:space="preserve"> </w:t>
      </w:r>
      <w:r>
        <w:t xml:space="preserve">persistence, optional Redis cache, an audit-event log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SQLAlchemy model + JSON-lines export via</w:t>
      </w:r>
      <w:r>
        <w:t xml:space="preserve"> </w:t>
      </w:r>
      <w:r>
        <w:rPr>
          <w:rStyle w:val="VerbatimChar"/>
        </w:rPr>
        <w:t xml:space="preserve">PAPERGUARD_AUDIT_FILE</w:t>
      </w:r>
      <w:r>
        <w:t xml:space="preserve"> </w:t>
      </w:r>
      <w:r>
        <w:t xml:space="preserve">env var), and an admin-only audit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GET /app/admin/audit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paperguard doctor</w:t>
      </w:r>
      <w:r>
        <w:t xml:space="preserve"> </w:t>
      </w:r>
      <w:r>
        <w:t xml:space="preserve">diagnostic command runs a 19-item environment</w:t>
      </w:r>
      <w:r>
        <w:t xml:space="preserve"> </w:t>
      </w:r>
      <w:r>
        <w:t xml:space="preserve">pre-flight (Python version, required and optional dependencies,</w:t>
      </w:r>
      <w:r>
        <w:t xml:space="preserve"> </w:t>
      </w:r>
      <w:r>
        <w:t xml:space="preserve">detector registry consistency, plugin entry points, cache directory</w:t>
      </w:r>
      <w:r>
        <w:t xml:space="preserve"> </w:t>
      </w:r>
      <w:r>
        <w:t xml:space="preserve">writability, dynamic dictionary state, image-corpus presence, and</w:t>
      </w:r>
      <w:r>
        <w:t xml:space="preserve"> </w:t>
      </w:r>
      <w:r>
        <w:t xml:space="preserve">LLM endpoint configuration) and reports machine-readable JSON</w:t>
      </w:r>
      <w:r>
        <w:t xml:space="preserve"> </w:t>
      </w:r>
      <w:r>
        <w:t xml:space="preserve">suitable for CI use.</w:t>
      </w:r>
    </w:p>
    <w:bookmarkEnd w:id="18"/>
    <w:bookmarkEnd w:id="19"/>
    <w:bookmarkStart w:id="24" w:name="quality-control"/>
    <w:p>
      <w:pPr>
        <w:pStyle w:val="Heading1"/>
      </w:pPr>
      <w:r>
        <w:t xml:space="preserve">(3) Quality control</w:t>
      </w:r>
    </w:p>
    <w:bookmarkStart w:id="20" w:name="test-suite"/>
    <w:p>
      <w:pPr>
        <w:pStyle w:val="Heading2"/>
      </w:pPr>
      <w:r>
        <w:t xml:space="preserve">Test suite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2.6.1 ships</w:t>
      </w:r>
      <w:r>
        <w:t xml:space="preserve"> </w:t>
      </w:r>
      <w:r>
        <w:rPr>
          <w:b/>
          <w:bCs/>
        </w:rPr>
        <w:t xml:space="preserve">539 unit and integration tests</w:t>
      </w:r>
      <w:r>
        <w:t xml:space="preserve"> </w:t>
      </w:r>
      <w:r>
        <w:t xml:space="preserve">(with 3</w:t>
      </w:r>
      <w:r>
        <w:t xml:space="preserve"> </w:t>
      </w:r>
      <w:r>
        <w:t xml:space="preserve">additional network-dependent tests deselected by default). Tests are</w:t>
      </w:r>
      <w:r>
        <w:t xml:space="preserve"> </w:t>
      </w:r>
      <w:r>
        <w:t xml:space="preserve">authored in pytest, organised by detector family, and run under</w:t>
      </w:r>
      <w:r>
        <w:t xml:space="preserve"> </w:t>
      </w:r>
      <w:r>
        <w:rPr>
          <w:rStyle w:val="VerbatimChar"/>
        </w:rPr>
        <w:t xml:space="preserve">pytest -m "not network"</w:t>
      </w:r>
      <w:r>
        <w:t xml:space="preserve"> </w:t>
      </w:r>
      <w:r>
        <w:t xml:space="preserve">in continuous integration. A</w:t>
      </w:r>
      <w:r>
        <w:t xml:space="preserve"> </w:t>
      </w:r>
      <w:r>
        <w:rPr>
          <w:rStyle w:val="VerbatimChar"/>
        </w:rPr>
        <w:t xml:space="preserve">tests/test_golden.py</w:t>
      </w:r>
      <w:r>
        <w:t xml:space="preserve"> </w:t>
      </w:r>
      <w:r>
        <w:t xml:space="preserve">golden-fixture regression suite ensures no</w:t>
      </w:r>
      <w:r>
        <w:t xml:space="preserve"> </w:t>
      </w:r>
      <w:r>
        <w:t xml:space="preserve">new detector causes a regression on a curated set of synthetic</w:t>
      </w:r>
      <w:r>
        <w:t xml:space="preserve"> </w:t>
      </w:r>
      <w:r>
        <w:t xml:space="preserve">genuine inputs.</w:t>
      </w:r>
    </w:p>
    <w:p>
      <w:pPr>
        <w:pStyle w:val="BodyText"/>
      </w:pPr>
      <w:r>
        <w:t xml:space="preserve">The project enforces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style checks and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t xml:space="preserve">type</w:t>
      </w:r>
      <w:r>
        <w:t xml:space="preserve"> </w:t>
      </w:r>
      <w:r>
        <w:t xml:space="preserve">checks in CI on Linux, macOS, and Windows for Python 3.11 and 3.12.</w:t>
      </w:r>
      <w:r>
        <w:t xml:space="preserve"> </w:t>
      </w:r>
      <w:r>
        <w:t xml:space="preserve">The mypy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configuration covers 103 source files with zero</w:t>
      </w:r>
      <w:r>
        <w:t xml:space="preserve"> </w:t>
      </w:r>
      <w:r>
        <w:t xml:space="preserve">issues at the current release.</w:t>
      </w:r>
    </w:p>
    <w:bookmarkEnd w:id="20"/>
    <w:bookmarkStart w:id="21" w:name="empirical-calibration"/>
    <w:p>
      <w:pPr>
        <w:pStyle w:val="Heading2"/>
      </w:pPr>
      <w:r>
        <w:t xml:space="preserve">Empirical calibration</w:t>
      </w:r>
    </w:p>
    <w:p>
      <w:pPr>
        <w:pStyle w:val="FirstParagraph"/>
      </w:pPr>
      <w:r>
        <w:t xml:space="preserve">Beyond unit tests,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ships</w:t>
      </w:r>
      <w:r>
        <w:t xml:space="preserve"> </w:t>
      </w:r>
      <w:r>
        <w:rPr>
          <w:b/>
          <w:bCs/>
        </w:rPr>
        <w:t xml:space="preserve">13 public empirical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 studies</w:t>
      </w:r>
      <w:r>
        <w:t xml:space="preserve">, with raw data and reproducible analyser</w:t>
      </w:r>
      <w:r>
        <w:t xml:space="preserve"> </w:t>
      </w:r>
      <w:r>
        <w:t xml:space="preserve">scripts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and per-study writeups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These</w:t>
      </w:r>
      <w:r>
        <w:t xml:space="preserve"> </w:t>
      </w:r>
      <w:r>
        <w:t xml:space="preserve">studies establish the operating-point performance of the detector</w:t>
      </w:r>
      <w:r>
        <w:t xml:space="preserve"> </w:t>
      </w:r>
      <w:r>
        <w:t xml:space="preserve">families against curated retraction corpora and synthetic ground</w:t>
      </w:r>
      <w:r>
        <w:t xml:space="preserve"> </w:t>
      </w:r>
      <w:r>
        <w:t xml:space="preserve">truth.</w:t>
      </w:r>
    </w:p>
    <w:p>
      <w:pPr>
        <w:pStyle w:val="BodyText"/>
      </w:pPr>
      <w:r>
        <w:rPr>
          <w:b/>
          <w:bCs/>
        </w:rPr>
        <w:t xml:space="preserve">Text-layer recall (</w:t>
      </w:r>
      <w:r>
        <w:rPr>
          <w:rStyle w:val="VerbatimChar"/>
          <w:b/>
          <w:bCs/>
        </w:rPr>
        <w:t xml:space="preserve">docs/recall_test_v10.md</w:t>
      </w:r>
      <w:r>
        <w:rPr>
          <w:b/>
          <w:bCs/>
        </w:rPr>
        <w:t xml:space="preserve">, N=200).</w:t>
      </w:r>
      <w:r>
        <w:t xml:space="preserve"> </w:t>
      </w:r>
      <w:r>
        <w:t xml:space="preserve">The T6</w:t>
      </w:r>
      <w:r>
        <w:t xml:space="preserve"> </w:t>
      </w:r>
      <w:r>
        <w:t xml:space="preserve">lexical detector at its default 0.003 LLM-marker-density threshold</w:t>
      </w:r>
      <w:r>
        <w:t xml:space="preserve"> </w:t>
      </w:r>
      <w:r>
        <w:t xml:space="preserve">yields LR+ ≈ 0 against Nature-tier post-publication retractions,</w:t>
      </w:r>
      <w:r>
        <w:t xml:space="preserve"> </w:t>
      </w:r>
      <w:r>
        <w:t xml:space="preserve">where copy-editing systematically removes lexical LLM markers before</w:t>
      </w:r>
      <w:r>
        <w:t xml:space="preserve"> </w:t>
      </w:r>
      <w:r>
        <w:t xml:space="preserve">publication. At a stricter 0.001 threshold T6 achieves</w:t>
      </w:r>
      <w:r>
        <w:t xml:space="preserve"> </w:t>
      </w:r>
      <w:r>
        <w:rPr>
          <w:b/>
          <w:bCs/>
        </w:rPr>
        <w:t xml:space="preserve">LR+ = ∞ (1 TP / 0 FP)</w:t>
      </w:r>
      <w:r>
        <w:t xml:space="preserve"> </w:t>
      </w:r>
      <w:r>
        <w:t xml:space="preserve">— one retracted manuscript exceeds the</w:t>
      </w:r>
      <w:r>
        <w:t xml:space="preserve"> </w:t>
      </w:r>
      <w:r>
        <w:t xml:space="preserve">density bar while every control stays below. T6’s operating point is</w:t>
      </w:r>
      <w:r>
        <w:t xml:space="preserve"> </w:t>
      </w:r>
      <w:r>
        <w:t xml:space="preserve">therefore the pre-submission / preprint stage, not post-publication</w:t>
      </w:r>
      <w:r>
        <w:t xml:space="preserve"> </w:t>
      </w:r>
      <w:r>
        <w:t xml:space="preserve">forensics; both numbers are public and the conservative default is</w:t>
      </w:r>
      <w:r>
        <w:t xml:space="preserve"> </w:t>
      </w:r>
      <w:r>
        <w:t xml:space="preserve">the one shipped in the CLI.</w:t>
      </w:r>
    </w:p>
    <w:p>
      <w:pPr>
        <w:pStyle w:val="BodyText"/>
      </w:pPr>
      <w:r>
        <w:rPr>
          <w:b/>
          <w:bCs/>
        </w:rPr>
        <w:t xml:space="preserve">Image-layer recall (</w:t>
      </w:r>
      <w:r>
        <w:rPr>
          <w:rStyle w:val="VerbatimChar"/>
          <w:b/>
          <w:bCs/>
        </w:rPr>
        <w:t xml:space="preserve">docs/recall_image_v6.md</w:t>
      </w:r>
      <w:r>
        <w:rPr>
          <w:b/>
          <w:bCs/>
        </w:rPr>
        <w:t xml:space="preserve">, N=212 analysable</w:t>
      </w:r>
      <w:r>
        <w:rPr>
          <w:b/>
          <w:bCs/>
        </w:rPr>
        <w:t xml:space="preserve"> </w:t>
      </w:r>
      <w:r>
        <w:rPr>
          <w:b/>
          <w:bCs/>
        </w:rPr>
        <w:t xml:space="preserve">after pdf_ok and image-extraction filtering of a raw 200 + 83</w:t>
      </w:r>
      <w:r>
        <w:rPr>
          <w:b/>
          <w:bCs/>
        </w:rPr>
        <w:t xml:space="preserve"> </w:t>
      </w:r>
      <w:r>
        <w:rPr>
          <w:b/>
          <w:bCs/>
        </w:rPr>
        <w:t xml:space="preserve">arm).</w:t>
      </w:r>
      <w:r>
        <w:t xml:space="preserve"> </w:t>
      </w:r>
      <w:r>
        <w:t xml:space="preserve">At the documented</w:t>
      </w:r>
      <w:r>
        <w:t xml:space="preserve"> </w:t>
      </w:r>
      <w:r>
        <w:rPr>
          <w:rStyle w:val="VerbatimChar"/>
        </w:rPr>
        <w:t xml:space="preserve">z=6 / cluster=8</w:t>
      </w:r>
      <w:r>
        <w:t xml:space="preserve"> </w:t>
      </w:r>
      <w:r>
        <w:t xml:space="preserve">defaults, all three</w:t>
      </w:r>
      <w:r>
        <w:t xml:space="preserve"> </w:t>
      </w:r>
      <w:r>
        <w:t xml:space="preserve">image detectors converge to</w:t>
      </w:r>
      <w:r>
        <w:t xml:space="preserve"> </w:t>
      </w:r>
      <w:r>
        <w:rPr>
          <w:b/>
          <w:bCs/>
        </w:rPr>
        <w:t xml:space="preserve">LR+ ≈ 1</w:t>
      </w:r>
      <w:r>
        <w:t xml:space="preserve">: F1 (intra-paper pHash)</w:t>
      </w:r>
      <w:r>
        <w:t xml:space="preserve"> </w:t>
      </w:r>
      <w:r>
        <w:t xml:space="preserve">1.09 with 95 % Wilson CI [0.44, 2.86]; F4 (cross-paper pHash)</w:t>
      </w:r>
      <w:r>
        <w:t xml:space="preserve"> </w:t>
      </w:r>
      <w:r>
        <w:t xml:space="preserve">0.96 [0.28, 3.46]; F6 (per-channel patch-splice) 0.89 [0.74, 1.12].</w:t>
      </w:r>
      <w:r>
        <w:t xml:space="preserve"> </w:t>
      </w:r>
      <w:r>
        <w:t xml:space="preserve">An earlier small-sample run (v4, N=159) reported F6 LR+ = 1.63;</w:t>
      </w:r>
      <w:r>
        <w:t xml:space="preserve"> </w:t>
      </w:r>
      <w:r>
        <w:t xml:space="preserve">the larger v5 (N=180) and v6 (N=212) samples revise this downward</w:t>
      </w:r>
      <w:r>
        <w:t xml:space="preserve"> </w:t>
      </w:r>
      <w:r>
        <w:t xml:space="preserve">to ≈ 1, confirming that the v4 figure was an upward sampling</w:t>
      </w:r>
      <w:r>
        <w:t xml:space="preserve"> </w:t>
      </w:r>
      <w:r>
        <w:t xml:space="preserve">fluctuation rather than calibrated signal. v5’s apparent F4 LR+ of</w:t>
      </w:r>
      <w:r>
        <w:t xml:space="preserve"> </w:t>
      </w:r>
      <w:r>
        <w:t xml:space="preserve">4.36 was specifically a one-false-positive artifact in a control</w:t>
      </w:r>
      <w:r>
        <w:t xml:space="preserve"> </w:t>
      </w:r>
      <w:r>
        <w:t xml:space="preserve">arm of n=48; v6 with five false positives in n=49 collapses it to</w:t>
      </w:r>
      <w:r>
        <w:t xml:space="preserve"> </w:t>
      </w:r>
      <w:r>
        <w:t xml:space="preserve">0.96. The image layer at published defaults is structurally tuned</w:t>
      </w:r>
      <w:r>
        <w:t xml:space="preserve"> </w:t>
      </w:r>
      <w:r>
        <w:t xml:space="preserve">to the Bik-style patch-splice / Western-blot-duplication failure</w:t>
      </w:r>
      <w:r>
        <w:t xml:space="preserve"> </w:t>
      </w:r>
      <w:r>
        <w:t xml:space="preserve">mode</w:t>
      </w:r>
      <w:r>
        <w:t xml:space="preserve"> </w:t>
      </w:r>
      <w:r>
        <w:t xml:space="preserve">(</w:t>
      </w:r>
      <w:hyperlink w:anchor="ref-bik2016prevalence">
        <w:r>
          <w:rPr>
            <w:rStyle w:val="Hyperlink"/>
          </w:rPr>
          <w:t xml:space="preserve">Bik et al. 2016</w:t>
        </w:r>
      </w:hyperlink>
      <w:r>
        <w:t xml:space="preserve">)</w:t>
      </w:r>
      <w:r>
        <w:t xml:space="preserve">, which is rare in randomly-sampled</w:t>
      </w:r>
      <w:r>
        <w:t xml:space="preserve"> </w:t>
      </w:r>
      <w:r>
        <w:t xml:space="preserve">retracted papers on the biomedical Europe-PMC OA corpus dominated</w:t>
      </w:r>
      <w:r>
        <w:t xml:space="preserve"> </w:t>
      </w:r>
      <w:r>
        <w:t xml:space="preserve">by statistical-fabrication, paper-mill, and image-reuse failures</w:t>
      </w:r>
      <w:r>
        <w:t xml:space="preserve"> </w:t>
      </w:r>
      <w:r>
        <w:t xml:space="preserve">that F1/F4/F6 do not cleanly detect. The image layer retains value</w:t>
      </w:r>
      <w:r>
        <w:t xml:space="preserve"> </w:t>
      </w:r>
      <w:r>
        <w:t xml:space="preserve">as a contributor to the cross-detector combiner; future work needs</w:t>
      </w:r>
      <w:r>
        <w:t xml:space="preserve"> </w:t>
      </w:r>
      <w:r>
        <w:t xml:space="preserve">F6 calibration against a Bik-curated patch-splice corpus that is</w:t>
      </w:r>
      <w:r>
        <w:t xml:space="preserve"> </w:t>
      </w:r>
      <w:r>
        <w:t xml:space="preserve">not publicly redistributable today.</w:t>
      </w:r>
    </w:p>
    <w:p>
      <w:pPr>
        <w:pStyle w:val="BodyText"/>
      </w:pPr>
      <w:r>
        <w:rPr>
          <w:b/>
          <w:bCs/>
        </w:rPr>
        <w:t xml:space="preserve">Industrial-layer recall (</w:t>
      </w:r>
      <w:r>
        <w:rPr>
          <w:rStyle w:val="VerbatimChar"/>
          <w:b/>
          <w:bCs/>
        </w:rPr>
        <w:t xml:space="preserve">docs/recall_industrial_v1.md</w:t>
      </w:r>
      <w:r>
        <w:rPr>
          <w:b/>
          <w:bCs/>
        </w:rPr>
        <w:t xml:space="preserve">, 2 domains</w:t>
      </w:r>
      <w:r>
        <w:rPr>
          <w:b/>
          <w:bCs/>
        </w:rPr>
        <w:t xml:space="preserve"> </w:t>
      </w:r>
      <w:r>
        <w:rPr>
          <w:b/>
          <w:bCs/>
        </w:rPr>
        <w:t xml:space="preserve">× 50 clean + 50 tampered = 200 synthetic datasets).</w:t>
      </w:r>
      <w:r>
        <w:t xml:space="preserve"> </w:t>
      </w:r>
      <w:r>
        <w:t xml:space="preserve">On the</w:t>
      </w:r>
      <w:r>
        <w:t xml:space="preserve"> </w:t>
      </w:r>
      <w:r>
        <w:t xml:space="preserve">wastewater domain at template-default thresholds, I5 (batch-</w:t>
      </w:r>
      <w:r>
        <w:t xml:space="preserve"> </w:t>
      </w:r>
      <w:r>
        <w:t xml:space="preserve">repetition detection) achieves</w:t>
      </w:r>
      <w:r>
        <w:t xml:space="preserve"> </w:t>
      </w:r>
      <w:r>
        <w:rPr>
          <w:b/>
          <w:bCs/>
        </w:rPr>
        <w:t xml:space="preserve">LR+ = ∞</w:t>
      </w:r>
      <w:r>
        <w:t xml:space="preserve"> </w:t>
      </w:r>
      <w:r>
        <w:t xml:space="preserve">(60 % TPR / 0 % FPR);</w:t>
      </w:r>
      <w:r>
        <w:t xml:space="preserve"> </w:t>
      </w:r>
      <w:r>
        <w:t xml:space="preserve">I1 (mass-balance) and I2 (timestamp integrity) fire on</w:t>
      </w:r>
      <w:r>
        <w:t xml:space="preserve"> </w:t>
      </w:r>
      <w:r>
        <w:t xml:space="preserve">100 % TPR / 100 % FPR at the same defaults, indicating their</w:t>
      </w:r>
      <w:r>
        <w:t xml:space="preserve"> </w:t>
      </w:r>
      <w:r>
        <w:t xml:space="preserve">out-of-the-box tolerances need calibration to the local plant’s</w:t>
      </w:r>
      <w:r>
        <w:t xml:space="preserve"> </w:t>
      </w:r>
      <w:r>
        <w:t xml:space="preserve">noise floor before they discriminate. On the pharma domain all</w:t>
      </w:r>
      <w:r>
        <w:t xml:space="preserve"> </w:t>
      </w:r>
      <w:r>
        <w:t xml:space="preserve">three detectors fire at 100 % / 100 %. The industrial layer is the</w:t>
      </w:r>
      <w:r>
        <w:t xml:space="preserve"> </w:t>
      </w:r>
      <w:r>
        <w:t xml:space="preserve">most recent addition and has no direct prior art in the academic-</w:t>
      </w:r>
      <w:r>
        <w:t xml:space="preserve"> </w:t>
      </w:r>
      <w:r>
        <w:t xml:space="preserve">integrity literature; this study sets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on</w:t>
      </w:r>
      <w:r>
        <w:t xml:space="preserve"> </w:t>
      </w:r>
      <w:r>
        <w:t xml:space="preserve">detector capability against synthetic ground truth, not an upper</w:t>
      </w:r>
      <w:r>
        <w:t xml:space="preserve"> </w:t>
      </w:r>
      <w:r>
        <w:t xml:space="preserve">bound against real EPA / FDA enforcement actions.</w:t>
      </w:r>
    </w:p>
    <w:p>
      <w:pPr>
        <w:pStyle w:val="BodyText"/>
      </w:pPr>
      <w:r>
        <w:rPr>
          <w:b/>
          <w:bCs/>
        </w:rPr>
        <w:t xml:space="preserve">B4 statcheck cross-validation (</w:t>
      </w:r>
      <w:r>
        <w:rPr>
          <w:rStyle w:val="VerbatimChar"/>
          <w:b/>
          <w:bCs/>
        </w:rPr>
        <w:t xml:space="preserve">docs/crossval_statcheck.md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docs/crossval_statcheck_kappa.md</w:t>
      </w:r>
      <w:r>
        <w:rPr>
          <w:b/>
          <w:bCs/>
        </w:rPr>
        <w:t xml:space="preserve">, N=41).</w:t>
      </w:r>
      <w:r>
        <w:t xml:space="preserve"> </w:t>
      </w:r>
      <w:r>
        <w:t xml:space="preserve">Against an</w:t>
      </w:r>
      <w:r>
        <w:t xml:space="preserve"> </w:t>
      </w:r>
      <w:r>
        <w:t xml:space="preserve">independent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-based p-value reference on a 41-paper</w:t>
      </w:r>
      <w:r>
        <w:t xml:space="preserve"> </w:t>
      </w:r>
      <w:r>
        <w:t xml:space="preserve">ground-truth corpus, B4 achieves recall = 100 % and decision-flip</w:t>
      </w:r>
      <w:r>
        <w:t xml:space="preserve"> </w:t>
      </w:r>
      <w:r>
        <w:t xml:space="preserve">recall = 94.12 %. A separate cross-validation directly against the</w:t>
      </w:r>
      <w:r>
        <w:t xml:space="preserve"> </w:t>
      </w:r>
      <w:r>
        <w:t xml:space="preserve">R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package on the same corpus yields Cohen’s κ = 0.79</w:t>
      </w:r>
      <w:r>
        <w:t xml:space="preserve"> </w:t>
      </w:r>
      <w:r>
        <w:t xml:space="preserve">(</w:t>
      </w:r>
      <w:hyperlink w:anchor="ref-landis1977measurement">
        <w:r>
          <w:rPr>
            <w:rStyle w:val="Hyperlink"/>
          </w:rPr>
          <w:t xml:space="preserve">Landis and Koch 1977</w:t>
        </w:r>
      </w:hyperlink>
      <w:r>
        <w:t xml:space="preserve">)</w:t>
      </w:r>
      <w:r>
        <w:t xml:space="preserve"> </w:t>
      </w:r>
      <w:r>
        <w:t xml:space="preserve">on the decision-flip class, corresponding</w:t>
      </w:r>
      <w:r>
        <w:t xml:space="preserve"> </w:t>
      </w:r>
      <w:r>
        <w:t xml:space="preserve">to Landis–Koch</w:t>
      </w:r>
      <w:r>
        <w:t xml:space="preserve"> </w:t>
      </w:r>
      <w:r>
        <w:t xml:space="preserve">“substantial agreement.”</w:t>
      </w:r>
    </w:p>
    <w:p>
      <w:pPr>
        <w:pStyle w:val="BodyText"/>
      </w:pPr>
      <w:r>
        <w:rPr>
          <w:b/>
          <w:bCs/>
        </w:rPr>
        <w:t xml:space="preserve">T7 controlled endpoint 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docs/llm_detection_real_endpoints.md</w:t>
      </w:r>
      <w:r>
        <w:rPr>
          <w:b/>
          <w:bCs/>
        </w:rPr>
        <w:t xml:space="preserve">, 10 + 10 controlled corpus</w:t>
      </w:r>
      <w:r>
        <w:rPr>
          <w:b/>
          <w:bCs/>
        </w:rPr>
        <w:t xml:space="preserve"> </w:t>
      </w:r>
      <w:r>
        <w:rPr>
          <w:b/>
          <w:bCs/>
        </w:rPr>
        <w:t xml:space="preserve">× 5 endpoints).</w:t>
      </w:r>
      <w:r>
        <w:t xml:space="preserve"> </w:t>
      </w:r>
      <w:r>
        <w:t xml:space="preserve">T7 implements a continuation-perplexity probe in</w:t>
      </w:r>
      <w:r>
        <w:t xml:space="preserve"> </w:t>
      </w:r>
      <w:r>
        <w:t xml:space="preserve">the GLTR / DetectGPT line of work</w:t>
      </w:r>
      <w:r>
        <w:t xml:space="preserve"> </w:t>
      </w:r>
      <w:r>
        <w:t xml:space="preserve">(</w:t>
      </w:r>
      <w:hyperlink w:anchor="ref-gehrmann2019gltr">
        <w:r>
          <w:rPr>
            <w:rStyle w:val="Hyperlink"/>
          </w:rPr>
          <w:t xml:space="preserve">Gehrmann et al. 2019</w:t>
        </w:r>
      </w:hyperlink>
      <w:r>
        <w:t xml:space="preserve">;</w:t>
      </w:r>
      <w:r>
        <w:t xml:space="preserve"> </w:t>
      </w:r>
      <w:hyperlink w:anchor="ref-mitchell2023detectgpt">
        <w:r>
          <w:rPr>
            <w:rStyle w:val="Hyperlink"/>
          </w:rPr>
          <w:t xml:space="preserve">Mitchell et al. 2023</w:t>
        </w:r>
      </w:hyperlink>
      <w:r>
        <w:t xml:space="preserve">)</w:t>
      </w:r>
      <w:r>
        <w:t xml:space="preserve">. Across the five</w:t>
      </w:r>
      <w:r>
        <w:t xml:space="preserve"> </w:t>
      </w:r>
      <w:r>
        <w:t xml:space="preserve">real-logprobs endpoints tested, the four OpenAI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gpt-3.5-turbo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) all show</w:t>
      </w:r>
      <w:r>
        <w:t xml:space="preserve"> </w:t>
      </w:r>
      <w:r>
        <w:rPr>
          <w:i/>
          <w:iCs/>
        </w:rPr>
        <w:t xml:space="preserve">reversed</w:t>
      </w:r>
      <w:r>
        <w:t xml:space="preserve"> </w:t>
      </w:r>
      <w:r>
        <w:t xml:space="preserve">continuation-perplexity direction (AI ppl &gt; human ppl),</w:t>
      </w:r>
      <w:r>
        <w:t xml:space="preserve"> </w:t>
      </w:r>
      <w:r>
        <w:t xml:space="preserve">opposite to the classical assumption that LLM-authored prose</w:t>
      </w:r>
      <w:r>
        <w:t xml:space="preserve"> </w:t>
      </w:r>
      <w:r>
        <w:t xml:space="preserve">exhibits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reference-LM perplexity than human academic</w:t>
      </w:r>
      <w:r>
        <w:t xml:space="preserve"> </w:t>
      </w:r>
      <w:r>
        <w:t xml:space="preserve">writing; the one non-OpenAI endpoint (Groq</w:t>
      </w:r>
      <w:r>
        <w:t xml:space="preserve"> </w:t>
      </w:r>
      <w:r>
        <w:rPr>
          <w:rStyle w:val="VerbatimChar"/>
        </w:rPr>
        <w:t xml:space="preserve">qwen/qwen3-32b</w:t>
      </w:r>
      <w:r>
        <w:t xml:space="preserve">) shows</w:t>
      </w:r>
      <w:r>
        <w:t xml:space="preserve"> </w:t>
      </w:r>
      <w:r>
        <w:t xml:space="preserve">the textbook direction. At an</w:t>
      </w:r>
      <w:r>
        <w:t xml:space="preserve"> </w:t>
      </w:r>
      <w:r>
        <w:t xml:space="preserve">inverted threshold equal to the maximum human perplexity in the</w:t>
      </w:r>
      <w:r>
        <w:t xml:space="preserve"> </w:t>
      </w:r>
      <w:r>
        <w:t xml:space="preserve">corpus, three of four OpenAI runs yield LR+ = ∞ at TPR 70–90 %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from 0.0011 (</w:t>
      </w:r>
      <w:r>
        <w:rPr>
          <w:rStyle w:val="VerbatimChar"/>
        </w:rPr>
        <w:t xml:space="preserve">gpt-4o</w:t>
      </w:r>
      <w:r>
        <w:t xml:space="preserve">) to 2.1 × 10⁻⁶ (</w:t>
      </w:r>
      <w:r>
        <w:rPr>
          <w:rStyle w:val="VerbatimChar"/>
        </w:rPr>
        <w:t xml:space="preserve">gpt-4</w:t>
      </w:r>
      <w:r>
        <w:t xml:space="preserve">).</w:t>
      </w:r>
      <w:r>
        <w:t xml:space="preserve"> </w:t>
      </w:r>
      <w:r>
        <w:t xml:space="preserve">The pattern is</w:t>
      </w:r>
      <w:r>
        <w:t xml:space="preserve"> </w:t>
      </w:r>
      <w:r>
        <w:rPr>
          <w:b/>
          <w:bCs/>
        </w:rPr>
        <w:t xml:space="preserve">not monotonic in model size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gpt-3.5-turbo</w:t>
      </w:r>
      <w:r>
        <w:t xml:space="preserve"> </w:t>
      </w:r>
      <w:r>
        <w:t xml:space="preserve">(small, early) and</w:t>
      </w:r>
      <w:r>
        <w:t xml:space="preserve"> </w:t>
      </w:r>
      <w:r>
        <w:rPr>
          <w:rStyle w:val="VerbatimChar"/>
        </w:rPr>
        <w:t xml:space="preserve">gpt-4</w:t>
      </w:r>
      <w:r>
        <w:t xml:space="preserve"> </w:t>
      </w:r>
      <w:r>
        <w:t xml:space="preserve">(older base)</w:t>
      </w:r>
      <w:r>
        <w:t xml:space="preserve"> </w:t>
      </w:r>
      <w:r>
        <w:t xml:space="preserve">outperform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(newer, larger) at this task — implicating the</w:t>
      </w:r>
      <w:r>
        <w:t xml:space="preserve"> </w:t>
      </w:r>
      <w:r>
        <w:t xml:space="preserve">specific RLHF training schedule rather than parameter count.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exposes the inversion as a per-endpoint configuration</w:t>
      </w:r>
      <w:r>
        <w:t xml:space="preserve"> </w:t>
      </w:r>
      <w:r>
        <w:t xml:space="preserve">choice (</w:t>
      </w:r>
      <w:r>
        <w:rPr>
          <w:rStyle w:val="VerbatimChar"/>
        </w:rPr>
        <w:t xml:space="preserve">PAPERGUARD_T7_INVERT_THRESHOLD</w:t>
      </w:r>
      <w:r>
        <w:t xml:space="preserve"> </w:t>
      </w:r>
      <w:r>
        <w:t xml:space="preserve">env var, auto-detected</w:t>
      </w:r>
      <w:r>
        <w:t xml:space="preserve"> </w:t>
      </w:r>
      <w:r>
        <w:t xml:space="preserve">for OpenAI endpoints since 2.6.0). OpenAI reasoning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o1</w:t>
      </w:r>
      <w:r>
        <w:t xml:space="preserve">,</w:t>
      </w:r>
      <w:r>
        <w:t xml:space="preserve"> </w:t>
      </w:r>
      <w:r>
        <w:rPr>
          <w:rStyle w:val="VerbatimChar"/>
        </w:rPr>
        <w:t xml:space="preserve">o3-mini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o4-mini</w:t>
      </w:r>
      <w:r>
        <w:t xml:space="preserve">) cannot be used as T7 reference LMs:</w:t>
      </w:r>
      <w:r>
        <w:t xml:space="preserve"> </w:t>
      </w:r>
      <w:r>
        <w:t xml:space="preserve">the OpenAI API returns HTTP 400</w:t>
      </w:r>
      <w:r>
        <w:t xml:space="preserve"> </w:t>
      </w:r>
      <w:r>
        <w:rPr>
          <w:i/>
          <w:iCs/>
        </w:rPr>
        <w:t xml:space="preserve">“You are not allowed to request</w:t>
      </w:r>
      <w:r>
        <w:rPr>
          <w:i/>
          <w:iCs/>
        </w:rPr>
        <w:t xml:space="preserve"> </w:t>
      </w:r>
      <w:r>
        <w:rPr>
          <w:i/>
          <w:iCs/>
        </w:rPr>
        <w:t xml:space="preserve">logprobs from this model”</w:t>
      </w:r>
      <w:r>
        <w:t xml:space="preserve"> </w:t>
      </w:r>
      <w:r>
        <w:t xml:space="preserve">— an infrastructure-level confirmation</w:t>
      </w:r>
      <w:r>
        <w:t xml:space="preserve"> </w:t>
      </w:r>
      <w:r>
        <w:t xml:space="preserve">of the structural-incompatibility claim previously argued only on</w:t>
      </w:r>
      <w:r>
        <w:t xml:space="preserve"> </w:t>
      </w:r>
      <w:r>
        <w:t xml:space="preserve">empirical grounds.</w:t>
      </w:r>
    </w:p>
    <w:p>
      <w:pPr>
        <w:pStyle w:val="BodyText"/>
      </w:pPr>
      <w:r>
        <w:rPr>
          <w:b/>
          <w:bCs/>
        </w:rPr>
        <w:t xml:space="preserve">T8 controlled endpoint benchmark.</w:t>
      </w:r>
      <w:r>
        <w:t xml:space="preserve"> </w:t>
      </w:r>
      <w:r>
        <w:t xml:space="preserve">Two real-endpoint runs.</w:t>
      </w:r>
      <w:r>
        <w:t xml:space="preserve"> </w:t>
      </w:r>
      <w:r>
        <w:t xml:space="preserve">On a non-reasoning paraphraser (OpenAI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, N=10 + 10) T8</w:t>
      </w:r>
      <w:r>
        <w:t xml:space="preserve"> </w:t>
      </w:r>
      <w:r>
        <w:t xml:space="preserve">yields</w:t>
      </w:r>
      <w:r>
        <w:t xml:space="preserve"> </w:t>
      </w:r>
      <w:r>
        <w:rPr>
          <w:b/>
          <w:bCs/>
        </w:rPr>
        <w:t xml:space="preserve">LR+ = ∞</w:t>
      </w:r>
      <w:r>
        <w:t xml:space="preserve"> </w:t>
      </w:r>
      <w:r>
        <w:t xml:space="preserve">(2 / 10 TP, 0 / 10 FP) — the cleanest result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has on the DetectGPT family. On a reasoning-model</w:t>
      </w:r>
      <w:r>
        <w:t xml:space="preserve"> </w:t>
      </w:r>
      <w:r>
        <w:t xml:space="preserve">paraphraser (DeepSeek-v4-flash, N=10 + 10) the rewrites stay on</w:t>
      </w:r>
      <w:r>
        <w:t xml:space="preserve"> </w:t>
      </w:r>
      <w:r>
        <w:t xml:space="preserve">the LLM-likelihood manifold, the Mitchell-style probability-</w:t>
      </w:r>
      <w:r>
        <w:t xml:space="preserve"> </w:t>
      </w:r>
      <w:r>
        <w:t xml:space="preserve">curvature signal inverts, and measured LR+ collapses to 0.25 —</w:t>
      </w:r>
      <w:r>
        <w:t xml:space="preserve"> </w:t>
      </w:r>
      <w:r>
        <w:t xml:space="preserve">worse than coin flip — directly validating the structural</w:t>
      </w:r>
      <w:r>
        <w:t xml:space="preserve"> </w:t>
      </w:r>
      <w:r>
        <w:t xml:space="preserve">prediction in</w:t>
      </w:r>
      <w:r>
        <w:t xml:space="preserve"> </w:t>
      </w:r>
      <w:r>
        <w:t xml:space="preserve">(</w:t>
      </w:r>
      <w:hyperlink w:anchor="ref-mitchell2023detectgpt">
        <w:r>
          <w:rPr>
            <w:rStyle w:val="Hyperlink"/>
          </w:rPr>
          <w:t xml:space="preserve">Mitchell et al. 2023</w:t>
        </w:r>
      </w:hyperlink>
      <w:r>
        <w:t xml:space="preserve">)</w:t>
      </w:r>
      <w:r>
        <w:t xml:space="preserve">. The detector ships an</w:t>
      </w:r>
      <w:r>
        <w:t xml:space="preserve"> </w:t>
      </w:r>
      <w:r>
        <w:t xml:space="preserve">authoritative compatibility matrix documenting which endpoint</w:t>
      </w:r>
      <w:r>
        <w:t xml:space="preserve"> </w:t>
      </w:r>
      <w:r>
        <w:t xml:space="preserve">classes the method is mathematically valid on (non-reasoning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, self-hosted Llama-3.3-70B) and which it is structurally</w:t>
      </w:r>
      <w:r>
        <w:t xml:space="preserve"> </w:t>
      </w:r>
      <w:r>
        <w:t xml:space="preserve">incompatible with (OpenAI o-series, DeepSeek-v4,</w:t>
      </w:r>
      <w:r>
        <w:t xml:space="preserve"> </w:t>
      </w:r>
      <w:r>
        <w:t xml:space="preserve">Qwen3-thinking, GPT-5).</w:t>
      </w:r>
    </w:p>
    <w:bookmarkEnd w:id="21"/>
    <w:bookmarkStart w:id="22" w:name="honest-reporting-of-negative-findings"/>
    <w:p>
      <w:pPr>
        <w:pStyle w:val="Heading2"/>
      </w:pPr>
      <w:r>
        <w:t xml:space="preserve">Honest reporting of negative findings</w:t>
      </w:r>
    </w:p>
    <w:p>
      <w:pPr>
        <w:pStyle w:val="FirstParagraph"/>
      </w:pPr>
      <w:r>
        <w:t xml:space="preserve">Publishing the image-layer LR+ ≈ 1 result and the T7 direction</w:t>
      </w:r>
      <w:r>
        <w:t xml:space="preserve"> </w:t>
      </w:r>
      <w:r>
        <w:t xml:space="preserve">inversion at face value is an explicit design choice. The</w:t>
      </w:r>
      <w:r>
        <w:t xml:space="preserve"> </w:t>
      </w:r>
      <w:r>
        <w:t xml:space="preserve">alternative — quoting v4’s small-sample LR+ of 1.63 or the</w:t>
      </w:r>
      <w:r>
        <w:t xml:space="preserve"> </w:t>
      </w:r>
      <w:r>
        <w:t xml:space="preserve">classical-direction T7 numbers as if they were calibrated operating</w:t>
      </w:r>
      <w:r>
        <w:t xml:space="preserve"> </w:t>
      </w:r>
      <w:r>
        <w:t xml:space="preserve">points — would be the kind of mis-calibration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exists</w:t>
      </w:r>
      <w:r>
        <w:t xml:space="preserve"> </w:t>
      </w:r>
      <w:r>
        <w:t xml:space="preserve">to flag in other work. The project publishes its own false-negative</w:t>
      </w:r>
      <w:r>
        <w:t xml:space="preserve"> </w:t>
      </w:r>
      <w:r>
        <w:t xml:space="preserve">rates and per-endpoint failure modes alongside the detection</w:t>
      </w:r>
      <w:r>
        <w:t xml:space="preserve"> </w:t>
      </w:r>
      <w:r>
        <w:t xml:space="preserve">methodology so users can calibrate trust.</w:t>
      </w:r>
    </w:p>
    <w:bookmarkEnd w:id="22"/>
    <w:bookmarkStart w:id="23" w:name="continuous-integration"/>
    <w:p>
      <w:pPr>
        <w:pStyle w:val="Heading2"/>
      </w:pPr>
      <w:r>
        <w:t xml:space="preserve">Continuous integration</w:t>
      </w:r>
    </w:p>
    <w:p>
      <w:pPr>
        <w:pStyle w:val="FirstParagraph"/>
      </w:pPr>
      <w:r>
        <w:t xml:space="preserve">CI runs on Linux, macOS, and Windows × Python 3.11 and 3.12. Each</w:t>
      </w:r>
      <w:r>
        <w:t xml:space="preserve"> </w:t>
      </w:r>
      <w:r>
        <w:t xml:space="preserve">push runs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, a privacy grep</w:t>
      </w:r>
      <w:r>
        <w:t xml:space="preserve"> </w:t>
      </w:r>
      <w:r>
        <w:t xml:space="preserve">guarding against committing local-path or identifying-token leaks,</w:t>
      </w:r>
      <w:r>
        <w:t xml:space="preserve"> </w:t>
      </w:r>
      <w:r>
        <w:t xml:space="preserve">and a builds-the-JOSS-style-PDF workflow on changes to</w:t>
      </w:r>
      <w:r>
        <w:t xml:space="preserve"> </w:t>
      </w:r>
      <w:r>
        <w:rPr>
          <w:rStyle w:val="VerbatimChar"/>
        </w:rPr>
        <w:t xml:space="preserve">paper/*</w:t>
      </w:r>
      <w:r>
        <w:t xml:space="preserve">.</w:t>
      </w:r>
      <w:r>
        <w:t xml:space="preserve"> </w:t>
      </w:r>
      <w:r>
        <w:t xml:space="preserve">Tag pushes additionally trigger a multi-architecture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linux/amd64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linux/arm64</w:t>
      </w:r>
      <w:r>
        <w:t xml:space="preserve">) Docker image build that publishes</w:t>
      </w:r>
      <w:r>
        <w:t xml:space="preserve"> </w:t>
      </w:r>
      <w:r>
        <w:t xml:space="preserve">to the GitHub Container Registry.</w:t>
      </w:r>
    </w:p>
    <w:bookmarkEnd w:id="23"/>
    <w:bookmarkEnd w:id="24"/>
    <w:bookmarkStart w:id="32" w:name="availability"/>
    <w:p>
      <w:pPr>
        <w:pStyle w:val="Heading1"/>
      </w:pPr>
      <w:r>
        <w:t xml:space="preserve">(4) Availability</w:t>
      </w:r>
    </w:p>
    <w:bookmarkStart w:id="25" w:name="operating-system"/>
    <w:p>
      <w:pPr>
        <w:pStyle w:val="Heading2"/>
      </w:pPr>
      <w:r>
        <w:t xml:space="preserve">Operating system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is platform-independent. Continuous integration tests</w:t>
      </w:r>
      <w:r>
        <w:t xml:space="preserve"> </w:t>
      </w:r>
      <w:r>
        <w:t xml:space="preserve">all three major desktop platforms (Linux, macOS, Windows) on every</w:t>
      </w:r>
      <w:r>
        <w:t xml:space="preserve"> </w:t>
      </w:r>
      <w:r>
        <w:t xml:space="preserve">push.</w:t>
      </w:r>
    </w:p>
    <w:bookmarkEnd w:id="25"/>
    <w:bookmarkStart w:id="26" w:name="programming-language"/>
    <w:p>
      <w:pPr>
        <w:pStyle w:val="Heading2"/>
      </w:pPr>
      <w:r>
        <w:t xml:space="preserve">Programming language</w:t>
      </w:r>
    </w:p>
    <w:p>
      <w:pPr>
        <w:pStyle w:val="FirstParagraph"/>
      </w:pPr>
      <w:r>
        <w:t xml:space="preserve">Python ≥ 3.11. The package targets 3.11 and 3.12 in CI; 3.13 is</w:t>
      </w:r>
      <w:r>
        <w:t xml:space="preserve"> </w:t>
      </w:r>
      <w:r>
        <w:t xml:space="preserve">expected to be added after</w:t>
      </w:r>
      <w:r>
        <w:t xml:space="preserve"> </w:t>
      </w:r>
      <w:r>
        <w:rPr>
          <w:rStyle w:val="VerbatimChar"/>
        </w:rPr>
        <w:t xml:space="preserve">pydub</w:t>
      </w:r>
      <w:r>
        <w:t xml:space="preserve"> </w:t>
      </w:r>
      <w:r>
        <w:t xml:space="preserve">(a transitive dependency of the</w:t>
      </w:r>
      <w:r>
        <w:t xml:space="preserve"> </w:t>
      </w:r>
      <w:r>
        <w:t xml:space="preserve">Gradio HuggingFace-Space demo) catches up to the Python-3.13</w:t>
      </w:r>
      <w:r>
        <w:t xml:space="preserve"> </w:t>
      </w:r>
      <w:r>
        <w:rPr>
          <w:rStyle w:val="VerbatimChar"/>
        </w:rPr>
        <w:t xml:space="preserve">audioop</w:t>
      </w:r>
      <w:r>
        <w:t xml:space="preserve"> </w:t>
      </w:r>
      <w:r>
        <w:t xml:space="preserve">standard-library removal.</w:t>
      </w:r>
    </w:p>
    <w:bookmarkEnd w:id="26"/>
    <w:bookmarkStart w:id="27" w:name="additional-system-requirements"/>
    <w:p>
      <w:pPr>
        <w:pStyle w:val="Heading2"/>
      </w:pPr>
      <w:r>
        <w:t xml:space="preserve">Additional system requirements</w:t>
      </w:r>
    </w:p>
    <w:p>
      <w:pPr>
        <w:pStyle w:val="FirstParagraph"/>
      </w:pPr>
      <w:r>
        <w:t xml:space="preserve">A minimal install requires no external services. The Web UI surface</w:t>
      </w:r>
      <w:r>
        <w:t xml:space="preserve"> </w:t>
      </w:r>
      <w:r>
        <w:t xml:space="preserve">optionally uses Redis for cross-worker cache/rate-limit</w:t>
      </w:r>
      <w:r>
        <w:t xml:space="preserve"> </w:t>
      </w:r>
      <w:r>
        <w:t xml:space="preserve">coordination (via the</w:t>
      </w:r>
      <w:r>
        <w:t xml:space="preserve"> </w:t>
      </w:r>
      <w:r>
        <w:rPr>
          <w:rStyle w:val="VerbatimChar"/>
        </w:rPr>
        <w:t xml:space="preserve">PAPERGUARD_REDIS_URL</w:t>
      </w:r>
      <w:r>
        <w:t xml:space="preserve"> </w:t>
      </w:r>
      <w:r>
        <w:t xml:space="preserve">env var); SQLite is the</w:t>
      </w:r>
      <w:r>
        <w:t xml:space="preserve"> </w:t>
      </w:r>
      <w:r>
        <w:t xml:space="preserve">default. The LLM-text detector family (T7 / T8) optionally requires</w:t>
      </w:r>
      <w:r>
        <w:t xml:space="preserve"> </w:t>
      </w:r>
      <w:r>
        <w:t xml:space="preserve">an OpenAI-compatible chat-completion endpoint; the per-endpoint</w:t>
      </w:r>
      <w:r>
        <w:t xml:space="preserve"> </w:t>
      </w:r>
      <w:r>
        <w:t xml:space="preserve">compatibility matrix in §3 documents which endpoints expose real</w:t>
      </w:r>
      <w:r>
        <w:t xml:space="preserve"> </w:t>
      </w:r>
      <w:r>
        <w:t xml:space="preserve">per-token logprobs and which are structurally incompatible with the</w:t>
      </w:r>
      <w:r>
        <w:t xml:space="preserve"> </w:t>
      </w:r>
      <w:r>
        <w:t xml:space="preserve">DetectGPT-style probability-curvature method.</w:t>
      </w:r>
    </w:p>
    <w:bookmarkEnd w:id="27"/>
    <w:bookmarkStart w:id="28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The core dependency surface is intentionally small: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for</w:t>
      </w:r>
      <w:r>
        <w:t xml:space="preserve"> </w:t>
      </w:r>
      <w:r>
        <w:t xml:space="preserve">data structures,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for tabular work,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for</w:t>
      </w:r>
      <w:r>
        <w:t xml:space="preserve"> </w:t>
      </w:r>
      <w:r>
        <w:t xml:space="preserve">the statistical-recomputation detectors,</w:t>
      </w:r>
      <w:r>
        <w:t xml:space="preserve"> </w:t>
      </w:r>
      <w:r>
        <w:rPr>
          <w:rStyle w:val="VerbatimChar"/>
        </w:rPr>
        <w:t xml:space="preserve">pymupdf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for PDF ingestion,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for image</w:t>
      </w:r>
      <w:r>
        <w:t xml:space="preserve"> </w:t>
      </w:r>
      <w:r>
        <w:t xml:space="preserve">processing,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for the paper-mill graph signature,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for OA-PDF and external-API fetches,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ingestion,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itsdangerous</w:t>
      </w:r>
      <w:r>
        <w:t xml:space="preserve"> </w:t>
      </w:r>
      <w:r>
        <w:t xml:space="preserve">for the Web UI auth</w:t>
      </w:r>
      <w:r>
        <w:t xml:space="preserve"> </w:t>
      </w:r>
      <w:r>
        <w:t xml:space="preserve">layer,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aiosqlite</w:t>
      </w:r>
      <w:r>
        <w:t xml:space="preserve"> </w:t>
      </w:r>
      <w:r>
        <w:t xml:space="preserve">for the persistence layer,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for the Web UI HTTP layer, and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for</w:t>
      </w:r>
      <w:r>
        <w:t xml:space="preserve"> </w:t>
      </w:r>
      <w:r>
        <w:t xml:space="preserve">the CLI. Optional extras include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(cache backend) and</w:t>
      </w:r>
      <w:r>
        <w:t xml:space="preserve"> </w:t>
      </w:r>
      <w:r>
        <w:rPr>
          <w:rStyle w:val="VerbatimChar"/>
        </w:rPr>
        <w:t xml:space="preserve">fakeredis</w:t>
      </w:r>
      <w:r>
        <w:t xml:space="preserve"> </w:t>
      </w:r>
      <w:r>
        <w:t xml:space="preserve">(test-only).</w:t>
      </w:r>
    </w:p>
    <w:bookmarkEnd w:id="28"/>
    <w:bookmarkStart w:id="29" w:name="list-of-contributors"/>
    <w:p>
      <w:pPr>
        <w:pStyle w:val="Heading2"/>
      </w:pPr>
      <w:r>
        <w:t xml:space="preserve">List of contributors</w:t>
      </w:r>
    </w:p>
    <w:p>
      <w:pPr>
        <w:pStyle w:val="FirstParagraph"/>
      </w:pPr>
      <w:r>
        <w:t xml:space="preserve">Lei Zhou (https://orcid.org/0009-0000-9073-1349, principal</w:t>
      </w:r>
      <w:r>
        <w:t xml:space="preserve"> </w:t>
      </w:r>
      <w:r>
        <w:t xml:space="preserve">implementer, all code paths, all 13 empirical studies). Third-</w:t>
      </w:r>
      <w:r>
        <w:t xml:space="preserve"> </w:t>
      </w:r>
      <w:r>
        <w:t xml:space="preserve">party contributions are welcomed via the GitHub repository’s pull-</w:t>
      </w:r>
      <w:r>
        <w:t xml:space="preserve"> </w:t>
      </w:r>
      <w:r>
        <w:t xml:space="preserve">request flow.</w:t>
      </w:r>
    </w:p>
    <w:bookmarkEnd w:id="29"/>
    <w:bookmarkStart w:id="30" w:name="software-location"/>
    <w:p>
      <w:pPr>
        <w:pStyle w:val="Heading2"/>
      </w:pPr>
      <w:r>
        <w:t xml:space="preserve">Software 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https://github.com/exergyleizhou-ux/PaperGuard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release</w:t>
            </w:r>
          </w:p>
        </w:tc>
        <w:tc>
          <w:tcPr/>
          <w:p>
            <w:pPr>
              <w:pStyle w:val="Compact"/>
            </w:pPr>
            <w:r>
              <w:t xml:space="preserve">https://github.com/exergyleizhou-ux/PaperGuard/releases/tag/v2.6.1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 distribution</w:t>
            </w:r>
          </w:p>
        </w:tc>
        <w:tc>
          <w:tcPr/>
          <w:p>
            <w:pPr>
              <w:pStyle w:val="Compact"/>
            </w:pPr>
            <w:r>
              <w:t xml:space="preserve">https://pypi.org/project/paperguard/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Multi-architecture Docker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ghcr.io/exergyleizhou-ux/paperguard:latest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linux/amd64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linux/arm64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browser demo</w:t>
            </w:r>
          </w:p>
        </w:tc>
        <w:tc>
          <w:tcPr/>
          <w:p>
            <w:pPr>
              <w:pStyle w:val="Compact"/>
            </w:pPr>
            <w:r>
              <w:t xml:space="preserve">https://huggingface.co/spaces/exergyleizhou/paperguard-demo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tracker</w:t>
            </w:r>
          </w:p>
        </w:tc>
        <w:tc>
          <w:tcPr/>
          <w:p>
            <w:pPr>
              <w:pStyle w:val="Compact"/>
            </w:pPr>
            <w:r>
              <w:t xml:space="preserve">https://github.com/exergyleizhou-ux/PaperGuard/issues</w:t>
            </w:r>
          </w:p>
        </w:tc>
      </w:tr>
    </w:tbl>
    <w:p>
      <w:pPr>
        <w:pStyle w:val="BodyText"/>
      </w:pPr>
      <w:r>
        <w:t xml:space="preserve">Archived versioned snapshots will be deposited on Zenodo with DOI</w:t>
      </w:r>
      <w:r>
        <w:t xml:space="preserve"> </w:t>
      </w:r>
      <w:r>
        <w:t xml:space="preserve">assignment on publication acceptance.</w:t>
      </w:r>
    </w:p>
    <w:bookmarkEnd w:id="30"/>
    <w:bookmarkStart w:id="31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t xml:space="preserve">The user-facing CLI and Web UI surface support English and Simplified</w:t>
      </w:r>
      <w:r>
        <w:t xml:space="preserve"> </w:t>
      </w:r>
      <w:r>
        <w:t xml:space="preserve">Chinese; the codebase, paper, and inline-help strings are all</w:t>
      </w:r>
      <w:r>
        <w:t xml:space="preserve"> </w:t>
      </w:r>
      <w:r>
        <w:t xml:space="preserve">English-primary.</w:t>
      </w:r>
    </w:p>
    <w:bookmarkEnd w:id="31"/>
    <w:bookmarkEnd w:id="32"/>
    <w:bookmarkStart w:id="39" w:name="reuse-potential"/>
    <w:p>
      <w:pPr>
        <w:pStyle w:val="Heading1"/>
      </w:pPr>
      <w:r>
        <w:t xml:space="preserve">(5) Reuse potential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is designed for reuse along five axes.</w:t>
      </w:r>
    </w:p>
    <w:bookmarkStart w:id="33" w:name="reuse-axis-1-as-a-library"/>
    <w:p>
      <w:pPr>
        <w:pStyle w:val="Heading2"/>
      </w:pPr>
      <w:r>
        <w:t xml:space="preserve">Reuse axis 1: as a library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Python package exposes the full detector pipeline</w:t>
      </w:r>
      <w:r>
        <w:t xml:space="preserve"> </w:t>
      </w:r>
      <w:r>
        <w:t xml:space="preserve">through a stable public API: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paperguard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paperguard.core.types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Severity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scan(</w:t>
      </w:r>
      <w:r>
        <w:rPr>
          <w:rStyle w:val="StringTok"/>
        </w:rPr>
        <w:t xml:space="preserve">"manuscript_data.csv"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finding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report.all_findings: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finding.severity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Severity.SUSPICIOUS: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detector_id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Embedding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in a larger editorial-workflow pipeline</w:t>
      </w:r>
      <w:r>
        <w:t xml:space="preserve"> </w:t>
      </w:r>
      <w:r>
        <w:t xml:space="preserve">(e.g. a journal’s submission system that runs an automatic pre-check</w:t>
      </w:r>
      <w:r>
        <w:t xml:space="preserve"> </w:t>
      </w:r>
      <w:r>
        <w:t xml:space="preserve">on every uploaded manuscript) is a one-import operation. The</w:t>
      </w:r>
      <w:r>
        <w:t xml:space="preserve"> </w:t>
      </w:r>
      <w:r>
        <w:rPr>
          <w:rStyle w:val="VerbatimChar"/>
        </w:rPr>
        <w:t xml:space="preserve">DetectorRegistry</w:t>
      </w:r>
      <w:r>
        <w:t xml:space="preserve"> </w:t>
      </w:r>
      <w:r>
        <w:t xml:space="preserve">class exposes per-detector instantiation for</w:t>
      </w:r>
      <w:r>
        <w:t xml:space="preserve"> </w:t>
      </w:r>
      <w:r>
        <w:t xml:space="preserve">callers that want to disable specific detectors or override their</w:t>
      </w:r>
      <w:r>
        <w:t xml:space="preserve"> </w:t>
      </w:r>
      <w:r>
        <w:t xml:space="preserve">thresholds, and the cross-detector combiner can be invoked</w:t>
      </w:r>
      <w:r>
        <w:t xml:space="preserve"> </w:t>
      </w:r>
      <w:r>
        <w:t xml:space="preserve">independently of the full pipeline.</w:t>
      </w:r>
    </w:p>
    <w:bookmarkEnd w:id="33"/>
    <w:bookmarkStart w:id="34" w:name="X646137ed8fae6ea6dec022d564277c8ab417f50"/>
    <w:p>
      <w:pPr>
        <w:pStyle w:val="Heading2"/>
      </w:pPr>
      <w:r>
        <w:t xml:space="preserve">Reuse axis 2: as a custom-detector platform</w:t>
      </w:r>
    </w:p>
    <w:p>
      <w:pPr>
        <w:pStyle w:val="FirstParagraph"/>
      </w:pPr>
      <w:r>
        <w:t xml:space="preserve">Third parties writing domain-specific detectors register them via</w:t>
      </w:r>
      <w:r>
        <w:t xml:space="preserve"> </w:t>
      </w:r>
      <w:r>
        <w:t xml:space="preserve">the standard Python</w:t>
      </w:r>
      <w:r>
        <w:t xml:space="preserve"> </w:t>
      </w:r>
      <w:r>
        <w:rPr>
          <w:rStyle w:val="VerbatimChar"/>
        </w:rPr>
        <w:t xml:space="preserve">entry_points</w:t>
      </w:r>
      <w:r>
        <w:t xml:space="preserve"> </w:t>
      </w:r>
      <w:r>
        <w:t xml:space="preserve">mechanism under the</w:t>
      </w:r>
      <w:r>
        <w:t xml:space="preserve"> </w:t>
      </w:r>
      <w:r>
        <w:rPr>
          <w:rStyle w:val="VerbatimChar"/>
        </w:rPr>
        <w:t xml:space="preserve">paperguard.detectors</w:t>
      </w:r>
      <w:r>
        <w:t xml:space="preserve"> </w:t>
      </w:r>
      <w:r>
        <w:t xml:space="preserve">group. A custom detector deployed against a</w:t>
      </w:r>
      <w:r>
        <w:t xml:space="preserve"> </w:t>
      </w:r>
      <w:r>
        <w:t xml:space="preserve">private lab’s proprietary instrument-data format ships as its own</w:t>
      </w:r>
      <w:r>
        <w:t xml:space="preserve"> </w:t>
      </w:r>
      <w:r>
        <w:t xml:space="preserve">pip-installable wheel;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discovers and registers it at</w:t>
      </w:r>
      <w:r>
        <w:t xml:space="preserve"> </w:t>
      </w:r>
      <w:r>
        <w:t xml:space="preserve">CLI invocation time without any modification to the host package.</w:t>
      </w:r>
      <w:r>
        <w:t xml:space="preserve"> </w:t>
      </w:r>
      <w:r>
        <w:t xml:space="preserve">A reference template at</w:t>
      </w:r>
      <w:r>
        <w:t xml:space="preserve"> </w:t>
      </w:r>
      <w:r>
        <w:rPr>
          <w:rStyle w:val="VerbatimChar"/>
        </w:rPr>
        <w:t xml:space="preserve">examples/03_custom_detector.py</w:t>
      </w:r>
      <w:r>
        <w:t xml:space="preserve"> </w:t>
      </w:r>
      <w:r>
        <w:t xml:space="preserve">walks</w:t>
      </w:r>
      <w:r>
        <w:t xml:space="preserve"> </w:t>
      </w:r>
      <w:r>
        <w:t xml:space="preserve">through the contract.</w:t>
      </w:r>
    </w:p>
    <w:bookmarkEnd w:id="34"/>
    <w:bookmarkStart w:id="35" w:name="reuse-axis-3-industrial-domain-templates"/>
    <w:p>
      <w:pPr>
        <w:pStyle w:val="Heading2"/>
      </w:pPr>
      <w:r>
        <w:t xml:space="preserve">Reuse axis 3: industrial-domain templates</w:t>
      </w:r>
    </w:p>
    <w:p>
      <w:pPr>
        <w:pStyle w:val="FirstParagraph"/>
      </w:pPr>
      <w:r>
        <w:t xml:space="preserve">The four industrial detectors (I1 mass-balance, I2 SCADA timestamp</w:t>
      </w:r>
      <w:r>
        <w:t xml:space="preserve"> </w:t>
      </w:r>
      <w:r>
        <w:t xml:space="preserve">integrity, I5 batch-repetition, I6 process-trend over-smoothness)</w:t>
      </w:r>
      <w:r>
        <w:t xml:space="preserve"> </w:t>
      </w:r>
      <w:r>
        <w:t xml:space="preserve">ship with 12 preconfigured domain templates (wastewater, waste-gas,</w:t>
      </w:r>
      <w:r>
        <w:t xml:space="preserve"> </w:t>
      </w:r>
      <w:r>
        <w:t xml:space="preserve">pharmaceutical, semiconductor, food, environmental, agricultural,</w:t>
      </w:r>
      <w:r>
        <w:t xml:space="preserve"> </w:t>
      </w:r>
      <w:r>
        <w:t xml:space="preserve">biopharma, biocomputation, distillation, chemical, medical). Each</w:t>
      </w:r>
      <w:r>
        <w:t xml:space="preserve"> </w:t>
      </w:r>
      <w:r>
        <w:t xml:space="preserve">template supplies default tolerances drawn from regulatory</w:t>
      </w:r>
      <w:r>
        <w:t xml:space="preserve"> </w:t>
      </w:r>
      <w:r>
        <w:t xml:space="preserve">references for that industry. Adapting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to a 13th</w:t>
      </w:r>
      <w:r>
        <w:t xml:space="preserve"> </w:t>
      </w:r>
      <w:r>
        <w:t xml:space="preserve">domain is a configuration change (a new YAML file under</w:t>
      </w:r>
      <w:r>
        <w:t xml:space="preserve"> </w:t>
      </w:r>
      <w:r>
        <w:rPr>
          <w:rStyle w:val="VerbatimChar"/>
        </w:rPr>
        <w:t xml:space="preserve">src/paperguard/industrial/templates/</w:t>
      </w:r>
      <w:r>
        <w:t xml:space="preserve">) rather than a code change.</w:t>
      </w:r>
    </w:p>
    <w:bookmarkEnd w:id="35"/>
    <w:bookmarkStart w:id="36" w:name="X6e7971b72643910db8bf7445df29d39f33efe43"/>
    <w:p>
      <w:pPr>
        <w:pStyle w:val="Heading2"/>
      </w:pPr>
      <w:r>
        <w:t xml:space="preserve">Reuse axis 4: as an empirical-corpus contribution</w:t>
      </w:r>
    </w:p>
    <w:p>
      <w:pPr>
        <w:pStyle w:val="FirstParagraph"/>
      </w:pPr>
      <w:r>
        <w:t xml:space="preserve">The 13 published empirical studies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constitute a reusable corpus for future research-integrity tooling</w:t>
      </w:r>
      <w:r>
        <w:t xml:space="preserve"> </w:t>
      </w:r>
      <w:r>
        <w:t xml:space="preserve">work. The raw JSON results (e.g. </w:t>
      </w:r>
      <w:r>
        <w:rPr>
          <w:rStyle w:val="VerbatimChar"/>
        </w:rPr>
        <w:t xml:space="preserve">scripts/ recall_image_v6_results.json</w:t>
      </w:r>
      <w:r>
        <w:t xml:space="preserve">, 283 records;</w:t>
      </w:r>
      <w:r>
        <w:t xml:space="preserve"> </w:t>
      </w:r>
      <w:r>
        <w:rPr>
          <w:rStyle w:val="VerbatimChar"/>
        </w:rPr>
        <w:t xml:space="preserve">scripts/ t7_controlled_benchmark_results_*.json</w:t>
      </w:r>
      <w:r>
        <w:t xml:space="preserve">, five-endpoint coverage)</w:t>
      </w:r>
      <w:r>
        <w:t xml:space="preserve"> </w:t>
      </w:r>
      <w:r>
        <w:t xml:space="preserve">are amenable to re-analysis under different threshold rules,</w:t>
      </w:r>
      <w:r>
        <w:t xml:space="preserve"> </w:t>
      </w:r>
      <w:r>
        <w:t xml:space="preserve">different aggregation methods, or different reference cohorts.</w:t>
      </w:r>
      <w:r>
        <w:t xml:space="preserve"> </w:t>
      </w:r>
      <w:r>
        <w:t xml:space="preserve">Downstream tools can publish their own performance numbers against</w:t>
      </w:r>
      <w:r>
        <w:t xml:space="preserve"> </w:t>
      </w:r>
      <w:r>
        <w:t xml:space="preserve">the same corpora for direct method-method comparison.</w:t>
      </w:r>
    </w:p>
    <w:bookmarkEnd w:id="36"/>
    <w:bookmarkStart w:id="37" w:name="X457a49a019f8d0d5fb6fdd48b471878cbd718f0"/>
    <w:p>
      <w:pPr>
        <w:pStyle w:val="Heading2"/>
      </w:pPr>
      <w:r>
        <w:t xml:space="preserve">Reuse axis 5: as a deployment-ready Web service</w:t>
      </w:r>
    </w:p>
    <w:p>
      <w:pPr>
        <w:pStyle w:val="FirstParagraph"/>
      </w:pPr>
      <w:r>
        <w:t xml:space="preserve">The multi-tenant Web UI surface is production-deployable as-is. A</w:t>
      </w:r>
      <w:r>
        <w:t xml:space="preserve"> </w:t>
      </w:r>
      <w:r>
        <w:t xml:space="preserve">single-Docker-container deployment (</w:t>
      </w:r>
      <w:r>
        <w:rPr>
          <w:rStyle w:val="VerbatimChar"/>
        </w:rPr>
        <w:t xml:space="preserve">docker run -p 8000:8000 ghcr.io/exergyleizhou-ux/paperguard:latest server</w:t>
      </w:r>
      <w:r>
        <w:t xml:space="preserve">) suffices for an</w:t>
      </w:r>
      <w:r>
        <w:t xml:space="preserve"> </w:t>
      </w:r>
      <w:r>
        <w:t xml:space="preserve">in-organisation pilot. A production deployment behind an HTTPS-</w:t>
      </w:r>
      <w:r>
        <w:t xml:space="preserve"> </w:t>
      </w:r>
      <w:r>
        <w:t xml:space="preserve">terminating reverse proxy (</w:t>
      </w:r>
      <w:r>
        <w:rPr>
          <w:rStyle w:val="VerbatimChar"/>
        </w:rPr>
        <w:t xml:space="preserve">PAPERGUARD_BEHIND_PROXY=1</w:t>
      </w:r>
      <w:r>
        <w:t xml:space="preserve">) with Redis</w:t>
      </w:r>
      <w:r>
        <w:t xml:space="preserve"> </w:t>
      </w:r>
      <w:r>
        <w:t xml:space="preserve">shared-state (</w:t>
      </w:r>
      <w:r>
        <w:rPr>
          <w:rStyle w:val="VerbatimChar"/>
        </w:rPr>
        <w:t xml:space="preserve">PAPERGUARD_REDIS_URL</w:t>
      </w:r>
      <w:r>
        <w:t xml:space="preserve">) and PostgreSQL persistence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PAPERGUARD_DB_URL</w:t>
      </w:r>
      <w:r>
        <w:t xml:space="preserve">) supports multi-worker, multi-host operation.</w:t>
      </w:r>
      <w:r>
        <w:t xml:space="preserve"> </w:t>
      </w:r>
      <w:r>
        <w:t xml:space="preserve">Authentication is single-tenant invite-only by default; OAuth/SAML</w:t>
      </w:r>
      <w:r>
        <w:t xml:space="preserve"> </w:t>
      </w:r>
      <w:r>
        <w:t xml:space="preserve">SSO integration is the most-requested feature on the public roadmap.</w:t>
      </w:r>
    </w:p>
    <w:bookmarkEnd w:id="37"/>
    <w:bookmarkStart w:id="38" w:name="limitations-and-known-boundaries"/>
    <w:p>
      <w:pPr>
        <w:pStyle w:val="Heading2"/>
      </w:pPr>
      <w:r>
        <w:t xml:space="preserve">Limitations and known boundaries</w:t>
      </w:r>
    </w:p>
    <w:p>
      <w:pPr>
        <w:pStyle w:val="FirstParagraph"/>
      </w:pPr>
      <w:r>
        <w:t xml:space="preserve">The honest negative findings reported in §3 — image-layer LR+ ≈ 1</w:t>
      </w:r>
      <w:r>
        <w:t xml:space="preserve"> </w:t>
      </w:r>
      <w:r>
        <w:t xml:space="preserve">on randomly-sampled retracted papers, T7 direction inversion on</w:t>
      </w:r>
      <w:r>
        <w:t xml:space="preserve"> </w:t>
      </w:r>
      <w:r>
        <w:t xml:space="preserve">RLHF-tuned OpenAI reference LMs — represent the most important</w:t>
      </w:r>
      <w:r>
        <w:t xml:space="preserve"> </w:t>
      </w:r>
      <w:r>
        <w:t xml:space="preserve">known boundaries of the tool. The image-detection family is</w:t>
      </w:r>
      <w:r>
        <w:t xml:space="preserve"> </w:t>
      </w:r>
      <w:r>
        <w:t xml:space="preserve">structurally tuned to the Bik-style patch-splice failure mode and</w:t>
      </w:r>
      <w:r>
        <w:t xml:space="preserve"> </w:t>
      </w:r>
      <w:r>
        <w:t xml:space="preserve">under-performs on the average retraction case, which is dominated</w:t>
      </w:r>
      <w:r>
        <w:t xml:space="preserve"> </w:t>
      </w:r>
      <w:r>
        <w:t xml:space="preserve">by statistical-fabrication and paper-mill failure modes that</w:t>
      </w:r>
      <w:r>
        <w:t xml:space="preserve"> </w:t>
      </w:r>
      <w:r>
        <w:t xml:space="preserve">image-pHash workflows do not cleanly catch. The T7/T8 family</w:t>
      </w:r>
      <w:r>
        <w:t xml:space="preserve"> </w:t>
      </w:r>
      <w:r>
        <w:t xml:space="preserve">requires a non-reasoning reference LM with real per-token logprobs;</w:t>
      </w:r>
      <w:r>
        <w:t xml:space="preserve"> </w:t>
      </w:r>
      <w:r>
        <w:t xml:space="preserve">OpenAI reasoning models are API-blocked from this access.</w:t>
      </w:r>
    </w:p>
    <w:p>
      <w:pPr>
        <w:pStyle w:val="BodyText"/>
      </w:pPr>
      <w:r>
        <w:t xml:space="preserve">The industrial-layer detectors achieve their headline numbers</w:t>
      </w:r>
      <w:r>
        <w:t xml:space="preserve"> </w:t>
      </w:r>
      <w:r>
        <w:t xml:space="preserve">against synthetic ground truth; their real-world performance</w:t>
      </w:r>
      <w:r>
        <w:t xml:space="preserve"> </w:t>
      </w:r>
      <w:r>
        <w:t xml:space="preserve">against actual EPA/FDA enforcement-action data remains future</w:t>
      </w:r>
      <w:r>
        <w:t xml:space="preserve"> </w:t>
      </w:r>
      <w:r>
        <w:t xml:space="preserve">work, gated on access to such datasets.</w:t>
      </w:r>
    </w:p>
    <w:bookmarkEnd w:id="38"/>
    <w:bookmarkEnd w:id="39"/>
    <w:bookmarkStart w:id="4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owes its statistical foundation to the published work</w:t>
      </w:r>
      <w:r>
        <w:t xml:space="preserve"> </w:t>
      </w:r>
      <w:r>
        <w:t xml:space="preserve">of James Heathers, Nicholas Brown, Elisabeth Bik, John Carlisle,</w:t>
      </w:r>
      <w:r>
        <w:t xml:space="preserve"> </w:t>
      </w:r>
      <w:r>
        <w:t xml:space="preserve">Michèle Nuijten, Guillaume Cabanac, Dmitry Kobak, Eric Mitchell,</w:t>
      </w:r>
      <w:r>
        <w:t xml:space="preserve"> </w:t>
      </w:r>
      <w:r>
        <w:t xml:space="preserve">and the broader research-integrity community. The project is</w:t>
      </w:r>
      <w:r>
        <w:t xml:space="preserve"> </w:t>
      </w:r>
      <w:r>
        <w:t xml:space="preserve">independent and unaffiliated with any of the authors cited; any</w:t>
      </w:r>
      <w:r>
        <w:t xml:space="preserve"> </w:t>
      </w:r>
      <w:r>
        <w:t xml:space="preserve">errors in the implementation or interpretation are entirely the</w:t>
      </w:r>
      <w:r>
        <w:t xml:space="preserve"> </w:t>
      </w:r>
      <w:r>
        <w:t xml:space="preserve">implementer’s.</w:t>
      </w:r>
    </w:p>
    <w:p>
      <w:pPr>
        <w:pStyle w:val="BodyText"/>
      </w:pPr>
      <w:r>
        <w:t xml:space="preserve">The author thanks the editors and reviewers in advance for their</w:t>
      </w:r>
      <w:r>
        <w:t xml:space="preserve"> </w:t>
      </w:r>
      <w:r>
        <w:t xml:space="preserve">time, and acknowledges the JOSS review process for the structured</w:t>
      </w:r>
      <w:r>
        <w:t xml:space="preserve"> </w:t>
      </w:r>
      <w:r>
        <w:t xml:space="preserve">feedback that informed several of the 2.4–2.6 release-cycle</w:t>
      </w:r>
      <w:r>
        <w:t xml:space="preserve"> </w:t>
      </w:r>
      <w:r>
        <w:t xml:space="preserve">improvements documented in §3.</w:t>
      </w:r>
    </w:p>
    <w:bookmarkEnd w:id="40"/>
    <w:bookmarkStart w:id="41" w:name="funding-statement"/>
    <w:p>
      <w:pPr>
        <w:pStyle w:val="Heading1"/>
      </w:pPr>
      <w:r>
        <w:t xml:space="preserve">Funding statement</w:t>
      </w:r>
    </w:p>
    <w:p>
      <w:pPr>
        <w:pStyle w:val="FirstParagraph"/>
      </w:pPr>
      <w:r>
        <w:t xml:space="preserve">No external funding supported the development of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. The</w:t>
      </w:r>
      <w:r>
        <w:t xml:space="preserve"> </w:t>
      </w:r>
      <w:r>
        <w:t xml:space="preserve">project is independently developed and maintained.</w:t>
      </w:r>
    </w:p>
    <w:bookmarkEnd w:id="41"/>
    <w:bookmarkStart w:id="42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interests, financial or otherwise.</w:t>
      </w:r>
    </w:p>
    <w:bookmarkEnd w:id="42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44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 Series B</w:t>
      </w:r>
      <w:r>
        <w:t xml:space="preserve"> </w:t>
      </w:r>
      <w:r>
        <w:t xml:space="preserve">57 (1): 289–300.</w:t>
      </w:r>
      <w:r>
        <w:t xml:space="preserve"> </w:t>
      </w:r>
      <w:hyperlink r:id="rId43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44"/>
    <w:bookmarkStart w:id="46" w:name="ref-bik2016prevalence"/>
    <w:p>
      <w:pPr>
        <w:pStyle w:val="Bibliography"/>
      </w:pPr>
      <w:r>
        <w:t xml:space="preserve">Bik, Elisabeth M, Arturo Casadevall, and Ferric C Fang. 2016.</w:t>
      </w:r>
      <w:r>
        <w:t xml:space="preserve"> </w:t>
      </w:r>
      <w:r>
        <w:t xml:space="preserve">“The Prevalence of Inappropriate Image Duplication in Biomedical Research Publications.”</w:t>
      </w:r>
      <w:r>
        <w:t xml:space="preserve"> </w:t>
      </w:r>
      <w:r>
        <w:rPr>
          <w:i/>
          <w:iCs/>
        </w:rPr>
        <w:t xml:space="preserve">mBio</w:t>
      </w:r>
      <w:r>
        <w:t xml:space="preserve"> </w:t>
      </w:r>
      <w:r>
        <w:t xml:space="preserve">7 (3): e00809–16.</w:t>
      </w:r>
      <w:r>
        <w:t xml:space="preserve"> </w:t>
      </w:r>
      <w:hyperlink r:id="rId45">
        <w:r>
          <w:rPr>
            <w:rStyle w:val="Hyperlink"/>
          </w:rPr>
          <w:t xml:space="preserve">https://doi.org/10.1128/mBio.00809-16</w:t>
        </w:r>
      </w:hyperlink>
      <w:r>
        <w:t xml:space="preserve">.</w:t>
      </w:r>
    </w:p>
    <w:bookmarkEnd w:id="46"/>
    <w:bookmarkStart w:id="48" w:name="ref-brown2017grim"/>
    <w:p>
      <w:pPr>
        <w:pStyle w:val="Bibliography"/>
      </w:pPr>
      <w:r>
        <w:t xml:space="preserve">Brown, Nicholas JL, and James AJ Heathers. 2017.</w:t>
      </w:r>
      <w:r>
        <w:t xml:space="preserve"> </w:t>
      </w:r>
      <w:r>
        <w:t xml:space="preserve">“The GRIM Test: A Simple Technique Detects Numerous Anomalies in the Reporting of Results in Psychology.”</w:t>
      </w:r>
      <w:r>
        <w:t xml:space="preserve"> </w:t>
      </w:r>
      <w:r>
        <w:rPr>
          <w:i/>
          <w:iCs/>
        </w:rPr>
        <w:t xml:space="preserve">Social Psychological and Personality Science</w:t>
      </w:r>
      <w:r>
        <w:t xml:space="preserve"> </w:t>
      </w:r>
      <w:r>
        <w:t xml:space="preserve">8 (4): 363–69.</w:t>
      </w:r>
      <w:r>
        <w:t xml:space="preserve"> </w:t>
      </w:r>
      <w:hyperlink r:id="rId47">
        <w:r>
          <w:rPr>
            <w:rStyle w:val="Hyperlink"/>
          </w:rPr>
          <w:t xml:space="preserve">https://doi.org/10.1177/1948550616673876</w:t>
        </w:r>
      </w:hyperlink>
      <w:r>
        <w:t xml:space="preserve">.</w:t>
      </w:r>
    </w:p>
    <w:bookmarkEnd w:id="48"/>
    <w:bookmarkStart w:id="49" w:name="ref-cabanac2024chatgpt"/>
    <w:p>
      <w:pPr>
        <w:pStyle w:val="Bibliography"/>
      </w:pPr>
      <w:r>
        <w:t xml:space="preserve">Cabanac, Guillaume, Cyril Labbé, and Alexander Magazinov. 2024.</w:t>
      </w:r>
      <w:r>
        <w:t xml:space="preserve"> </w:t>
      </w:r>
      <w:r>
        <w:t xml:space="preserve">“ChatGPT-Generated Text in Increasing Number of Scientific Papers.”</w:t>
      </w:r>
      <w:r>
        <w:t xml:space="preserve"> </w:t>
      </w:r>
      <w:r>
        <w:rPr>
          <w:i/>
          <w:iCs/>
        </w:rPr>
        <w:t xml:space="preserve">Nature</w:t>
      </w:r>
      <w:r>
        <w:t xml:space="preserve">.</w:t>
      </w:r>
    </w:p>
    <w:bookmarkEnd w:id="49"/>
    <w:bookmarkStart w:id="51" w:name="ref-carlisle2017non"/>
    <w:p>
      <w:pPr>
        <w:pStyle w:val="Bibliography"/>
      </w:pPr>
      <w:r>
        <w:t xml:space="preserve">Carlisle, John B. 2017.</w:t>
      </w:r>
      <w:r>
        <w:t xml:space="preserve"> </w:t>
      </w:r>
      <w:r>
        <w:t xml:space="preserve">“Data Fabrication and Other Reasons for Non-Random Sampling in 5087 Randomised, Controlled Trials in Anaesthetic and General Medical Journals.”</w:t>
      </w:r>
      <w:r>
        <w:t xml:space="preserve"> </w:t>
      </w:r>
      <w:r>
        <w:rPr>
          <w:i/>
          <w:iCs/>
        </w:rPr>
        <w:t xml:space="preserve">Anaesthesia</w:t>
      </w:r>
      <w:r>
        <w:t xml:space="preserve"> </w:t>
      </w:r>
      <w:r>
        <w:t xml:space="preserve">72 (8): 944–52.</w:t>
      </w:r>
      <w:r>
        <w:t xml:space="preserve"> </w:t>
      </w:r>
      <w:hyperlink r:id="rId50">
        <w:r>
          <w:rPr>
            <w:rStyle w:val="Hyperlink"/>
          </w:rPr>
          <w:t xml:space="preserve">https://doi.org/10.1111/anae.13938</w:t>
        </w:r>
      </w:hyperlink>
      <w:r>
        <w:t xml:space="preserve">.</w:t>
      </w:r>
    </w:p>
    <w:bookmarkEnd w:id="51"/>
    <w:bookmarkStart w:id="53" w:name="ref-gehrmann2019gltr"/>
    <w:p>
      <w:pPr>
        <w:pStyle w:val="Bibliography"/>
      </w:pPr>
      <w:r>
        <w:t xml:space="preserve">Gehrmann, Sebastian, Hendrik Strobelt, and Alexander M Rush. 2019.</w:t>
      </w:r>
      <w:r>
        <w:t xml:space="preserve"> </w:t>
      </w:r>
      <w:r>
        <w:t xml:space="preserve">“GLTR: Statistical Detection and Visualization of Generated Text.”</w:t>
      </w:r>
      <w:r>
        <w:t xml:space="preserve"> </w:t>
      </w:r>
      <w:r>
        <w:rPr>
          <w:i/>
          <w:iCs/>
        </w:rPr>
        <w:t xml:space="preserve">Proceedings of ACL System Demonstrations</w:t>
      </w:r>
      <w:r>
        <w:t xml:space="preserve">, 111–16.</w:t>
      </w:r>
      <w:r>
        <w:t xml:space="preserve"> </w:t>
      </w:r>
      <w:hyperlink r:id="rId52">
        <w:r>
          <w:rPr>
            <w:rStyle w:val="Hyperlink"/>
          </w:rPr>
          <w:t xml:space="preserve">https://doi.org/10.18653/v1/P19-3019</w:t>
        </w:r>
      </w:hyperlink>
      <w:r>
        <w:t xml:space="preserve">.</w:t>
      </w:r>
    </w:p>
    <w:bookmarkEnd w:id="53"/>
    <w:bookmarkStart w:id="55" w:name="ref-heathers2018sprite"/>
    <w:p>
      <w:pPr>
        <w:pStyle w:val="Bibliography"/>
      </w:pPr>
      <w:r>
        <w:t xml:space="preserve">Heathers, James AJ, Nicholas JL Brown, James C Coyne, et al.</w:t>
      </w:r>
      <w:r>
        <w:t xml:space="preserve"> 2018.</w:t>
      </w:r>
      <w:r>
        <w:t xml:space="preserve"> </w:t>
      </w:r>
      <w:r>
        <w:rPr>
          <w:i/>
          <w:iCs/>
        </w:rPr>
        <w:t xml:space="preserve">Recovering Data from Summary Statistics: Sample Parameter Reconstruction via Iterative TEchniques (SPRITE)</w:t>
      </w:r>
      <w:r>
        <w:t xml:space="preserve">. PeerJ Preprints 6:e26968v1.</w:t>
      </w:r>
      <w:r>
        <w:t xml:space="preserve"> </w:t>
      </w:r>
      <w:hyperlink r:id="rId54">
        <w:r>
          <w:rPr>
            <w:rStyle w:val="Hyperlink"/>
          </w:rPr>
          <w:t xml:space="preserve">https://doi.org/10.7287/peerj.preprints.26968v1</w:t>
        </w:r>
      </w:hyperlink>
      <w:r>
        <w:t xml:space="preserve">.</w:t>
      </w:r>
    </w:p>
    <w:bookmarkEnd w:id="55"/>
    <w:bookmarkStart w:id="56" w:name="ref-kobak2025delving"/>
    <w:p>
      <w:pPr>
        <w:pStyle w:val="Bibliography"/>
      </w:pPr>
      <w:r>
        <w:t xml:space="preserve">Kobak, Dmitry, Rita G Márquez, Sebastian Lapuschkin, and Wojciech Samek. 2025.</w:t>
      </w:r>
      <w:r>
        <w:t xml:space="preserve"> </w:t>
      </w:r>
      <w:r>
        <w:t xml:space="preserve">“Delving into ChatGPT Word Patterns.”</w:t>
      </w:r>
      <w:r>
        <w:t xml:space="preserve"> </w:t>
      </w:r>
      <w:r>
        <w:rPr>
          <w:i/>
          <w:iCs/>
        </w:rPr>
        <w:t xml:space="preserve">arXiv Preprint arXiv:2406.07016</w:t>
      </w:r>
      <w:r>
        <w:t xml:space="preserve">.</w:t>
      </w:r>
    </w:p>
    <w:bookmarkEnd w:id="56"/>
    <w:bookmarkStart w:id="58" w:name="ref-landis1977measurement"/>
    <w:p>
      <w:pPr>
        <w:pStyle w:val="Bibliography"/>
      </w:pPr>
      <w:r>
        <w:t xml:space="preserve">Landis, J Richard, and Gary G Koch. 1977.</w:t>
      </w:r>
      <w:r>
        <w:t xml:space="preserve"> </w:t>
      </w:r>
      <w:r>
        <w:t xml:space="preserve">“The Measurement of Observer Agreement for Categorical Data.”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33 (1): 159–74.</w:t>
      </w:r>
      <w:r>
        <w:t xml:space="preserve"> </w:t>
      </w:r>
      <w:hyperlink r:id="rId57">
        <w:r>
          <w:rPr>
            <w:rStyle w:val="Hyperlink"/>
          </w:rPr>
          <w:t xml:space="preserve">https://doi.org/10.2307/2529310</w:t>
        </w:r>
      </w:hyperlink>
      <w:r>
        <w:t xml:space="preserve">.</w:t>
      </w:r>
    </w:p>
    <w:bookmarkEnd w:id="58"/>
    <w:bookmarkStart w:id="59" w:name="ref-mitchell2023detectgpt"/>
    <w:p>
      <w:pPr>
        <w:pStyle w:val="Bibliography"/>
      </w:pPr>
      <w:r>
        <w:t xml:space="preserve">Mitchell, Eric, Yoonho Lee, Alexander Khazatsky, Christopher D Manning, and Chelsea Finn. 2023.</w:t>
      </w:r>
      <w:r>
        <w:t xml:space="preserve"> </w:t>
      </w:r>
      <w:r>
        <w:t xml:space="preserve">“DetectGPT: Zero-Shot Machine-Generated Text Detection Using Probability Curvature.”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t xml:space="preserve">.</w:t>
      </w:r>
    </w:p>
    <w:bookmarkEnd w:id="59"/>
    <w:bookmarkStart w:id="61" w:name="ref-nuijten2016statcheck"/>
    <w:p>
      <w:pPr>
        <w:pStyle w:val="Bibliography"/>
      </w:pPr>
      <w:r>
        <w:t xml:space="preserve">Nuijten, Michèle B, Chris HJ Hartgerink, Marcel ALM van Assen, Sacha Epskamp, and Jelte M Wicherts. 2016.</w:t>
      </w:r>
      <w:r>
        <w:t xml:space="preserve"> </w:t>
      </w:r>
      <w:r>
        <w:t xml:space="preserve">“The Prevalence of Statistical Reporting Errors in Psychology (1985–2013).”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 </w:t>
      </w:r>
      <w:r>
        <w:t xml:space="preserve">48 (4): 1205–26.</w:t>
      </w:r>
      <w:r>
        <w:t xml:space="preserve"> </w:t>
      </w:r>
      <w:hyperlink r:id="rId60">
        <w:r>
          <w:rPr>
            <w:rStyle w:val="Hyperlink"/>
          </w:rPr>
          <w:t xml:space="preserve">https://doi.org/10.3758/s13428-015-0664-2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https://doi.org/10.1111/anae.13938" TargetMode="External" /><Relationship Type="http://schemas.openxmlformats.org/officeDocument/2006/relationships/hyperlink" Id="rId43" Target="https://doi.org/10.1111/j.2517-6161.1995.tb02031.x" TargetMode="External" /><Relationship Type="http://schemas.openxmlformats.org/officeDocument/2006/relationships/hyperlink" Id="rId45" Target="https://doi.org/10.1128/mBio.00809-16" TargetMode="External" /><Relationship Type="http://schemas.openxmlformats.org/officeDocument/2006/relationships/hyperlink" Id="rId47" Target="https://doi.org/10.1177/1948550616673876" TargetMode="External" /><Relationship Type="http://schemas.openxmlformats.org/officeDocument/2006/relationships/hyperlink" Id="rId52" Target="https://doi.org/10.18653/v1/P19-3019" TargetMode="External" /><Relationship Type="http://schemas.openxmlformats.org/officeDocument/2006/relationships/hyperlink" Id="rId57" Target="https://doi.org/10.2307/2529310" TargetMode="External" /><Relationship Type="http://schemas.openxmlformats.org/officeDocument/2006/relationships/hyperlink" Id="rId60" Target="https://doi.org/10.3758/s13428-015-0664-2" TargetMode="External" /><Relationship Type="http://schemas.openxmlformats.org/officeDocument/2006/relationships/hyperlink" Id="rId54" Target="https://doi.org/10.7287/peerj.preprints.26968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doi.org/10.1111/anae.13938" TargetMode="External" /><Relationship Type="http://schemas.openxmlformats.org/officeDocument/2006/relationships/hyperlink" Id="rId43" Target="https://doi.org/10.1111/j.2517-6161.1995.tb02031.x" TargetMode="External" /><Relationship Type="http://schemas.openxmlformats.org/officeDocument/2006/relationships/hyperlink" Id="rId45" Target="https://doi.org/10.1128/mBio.00809-16" TargetMode="External" /><Relationship Type="http://schemas.openxmlformats.org/officeDocument/2006/relationships/hyperlink" Id="rId47" Target="https://doi.org/10.1177/1948550616673876" TargetMode="External" /><Relationship Type="http://schemas.openxmlformats.org/officeDocument/2006/relationships/hyperlink" Id="rId52" Target="https://doi.org/10.18653/v1/P19-3019" TargetMode="External" /><Relationship Type="http://schemas.openxmlformats.org/officeDocument/2006/relationships/hyperlink" Id="rId57" Target="https://doi.org/10.2307/2529310" TargetMode="External" /><Relationship Type="http://schemas.openxmlformats.org/officeDocument/2006/relationships/hyperlink" Id="rId60" Target="https://doi.org/10.3758/s13428-015-0664-2" TargetMode="External" /><Relationship Type="http://schemas.openxmlformats.org/officeDocument/2006/relationships/hyperlink" Id="rId54" Target="https://doi.org/10.7287/peerj.preprints.26968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PaperGuard: A 39-detector open-source pipeline for triage-stage statistical-anomaly screening in research-data integrity, with a non-verdict architectural design and 13 empirical-calibration studies</dc:title>
  <dc:creator>Lei Zhou (ORCID 0009-0000-9073-1349)</dc:creator>
  <cp:keywords>research integrity, statistical forensics, LLM-text detection, image forensics, industrial-process data, GRIM, statcheck, SPRITE, Carlisle, DetectGPT, empirical calibration</cp:keywords>
  <dcterms:created xsi:type="dcterms:W3CDTF">2026-05-24T05:07:55Z</dcterms:created>
  <dcterms:modified xsi:type="dcterms:W3CDTF">2026-05-24T05:07:55Z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graphy">
    <vt:lpwstr>paper/paper.bib</vt:lpwstr>
  </property>
  <property fmtid="{D5CDD505-2E9C-101B-9397-08002B2CF9AE}" pid="5" name="date">
    <vt:lpwstr>24 May 2026</vt:lpwstr>
  </property>
  <property fmtid="{D5CDD505-2E9C-101B-9397-08002B2CF9AE}" pid="6" name="link-citations">
    <vt:lpwstr>True</vt:lpwstr>
  </property>
</Properties>
</file>