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3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an open, tested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 well-tested Python package that makes</w:t>
      </w:r>
      <w:r>
        <w:t xml:space="preserve"> </w:t>
      </w:r>
      <w:r>
        <w:t xml:space="preserve">reaction-order-polytope (ROP) geometry and flux-exponent control (FEC) — a framework for</w:t>
      </w:r>
      <w:r>
        <w:t xml:space="preserve"> </w:t>
      </w:r>
      <w:r>
        <w:t xml:space="preserve">regulating and predicting metabolic-network dynamics from binding structure without full</w:t>
      </w:r>
      <w:r>
        <w:t xml:space="preserve"> </w:t>
      </w:r>
      <w:r>
        <w:t xml:space="preserve">kinetic-parameter identification — runnable and verifiable. The idea is attractive for</w:t>
      </w:r>
      <w:r>
        <w:t xml:space="preserve"> </w:t>
      </w:r>
      <w:r>
        <w:t xml:space="preserve">controlling staged bioconversion, but we show it is only partly supported; it had existed as</w:t>
      </w:r>
      <w:r>
        <w:t xml:space="preserve"> </w:t>
      </w:r>
      <w:r>
        <w:t xml:space="preserve">theory and a model-predictive-control concept without an open, tested implementation. The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 reference</w:t>
      </w:r>
      <w:r>
        <w:t xml:space="preserve"> </w:t>
      </w:r>
      <w:r>
        <w:t xml:space="preserve">architecture. The software ships 44 automated tests and a one-command reproduction of the data figures it</w:t>
      </w:r>
      <w:r>
        <w:t xml:space="preserve"> </w:t>
      </w:r>
      <w:r>
        <w:t xml:space="preserve">generates and their numbers (the Example-1 tracking costs come from a separate bundled</w:t>
      </w:r>
      <w:r>
        <w:t xml:space="preserve"> </w:t>
      </w:r>
      <w:r>
        <w:t xml:space="preserve">benchmark script; the architecture is a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 not materially 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3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10.5281/zenodo.20805373</w:t>
              </w:r>
            </w:hyperlink>
            <w:r>
              <w:t xml:space="preserve"> </w:t>
            </w:r>
            <w:r>
              <w:t xml:space="preserve">(Zenodo,</w:t>
            </w:r>
            <w:r>
              <w:t xml:space="preserve"> </w:t>
            </w:r>
            <w:r>
              <w:rPr>
                <w:rStyle w:val="VerbatimChar"/>
              </w:rPr>
              <w:t xml:space="preserve">v1.0.1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otherwise); plus the bundled in-repo</w:t>
            </w:r>
            <w:r>
              <w:t xml:space="preserve"> </w:t>
            </w:r>
            <w:r>
              <w:rPr>
                <w:rStyle w:val="VerbatimChar"/>
              </w:rPr>
              <w:t xml:space="preserve">bos_platform</w:t>
            </w:r>
            <w:r>
              <w:t xml:space="preserve"> </w:t>
            </w:r>
            <w:r>
              <w:t xml:space="preserve">reference package (installed by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  <w:r>
              <w:t xml:space="preserve">), used by the benchmark/integration tests and the Example-1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3"/>
    <w:bookmarkStart w:id="14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 and colleagues proposed</w:t>
      </w:r>
      <w:r>
        <w:t xml:space="preserve"> </w:t>
      </w:r>
      <w:r>
        <w:t xml:space="preserve">another </w:t>
      </w:r>
      <w:r>
        <w:t xml:space="preserve">[9]</w:t>
      </w:r>
      <w:r>
        <w:t xml:space="preserve">, building on a line of structural work </w:t>
      </w:r>
      <w:r>
        <w:t xml:space="preserve">[10–12]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</w:t>
      </w:r>
      <w:r>
        <w:t xml:space="preserve"> </w:t>
      </w:r>
      <w:r>
        <w:t xml:space="preserve">reproducible implementation and the empirical map around it; no methodological novelty is claimed. Concretely the package provides:</w:t>
      </w:r>
    </w:p>
    <w:p>
      <w:pPr>
        <w:numPr>
          <w:ilvl w:val="0"/>
          <w:numId w:val="1001"/>
        </w:numPr>
      </w:pPr>
      <w:r>
        <w:t xml:space="preserve">a validated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more than a slight advantage for</w:t>
      </w:r>
      <w:r>
        <w:t xml:space="preserve"> </w:t>
      </w:r>
      <w:r>
        <w:t xml:space="preserve">data-driven order estimation (Section 3). This null comparison ships as a runnable test, so</w:t>
      </w:r>
      <w:r>
        <w:t xml:space="preserve"> </w:t>
      </w:r>
      <w:r>
        <w:t xml:space="preserve">the negative finding is reproducible and remains open to refutation on new data.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contribution, an in-silico scope with reference components is appropriate.</w:t>
      </w:r>
    </w:p>
    <w:bookmarkEnd w:id="14"/>
    <w:bookmarkStart w:id="22" w:name="sec:desc"/>
    <w:p>
      <w:pPr>
        <w:pStyle w:val="Heading1"/>
      </w:pPr>
      <w:r>
        <w:t xml:space="preserve">Software description</w:t>
      </w:r>
    </w:p>
    <w:bookmarkStart w:id="16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 (the</w:t>
      </w:r>
      <w:r>
        <w:t xml:space="preserve"> </w:t>
      </w:r>
      <w:r>
        <w:t xml:space="preserve">S</w:t>
      </w:r>
      <w:r>
        <w:t xml:space="preserve">-system formalism) </w:t>
      </w:r>
      <w:r>
        <w:t xml:space="preserve">[16–18]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 reaction-order</w:t>
      </w:r>
      <w:r>
        <w:t xml:space="preserve"> </w:t>
      </w:r>
      <w:r>
        <w:rPr>
          <w:i/>
          <w:iCs/>
        </w:rPr>
        <w:t xml:space="preserve">matrix</w:t>
      </w:r>
      <w:r>
        <w:t xml:space="preserve">. Collecting the exponents that</w:t>
      </w:r>
      <w:r>
        <w:t xml:space="preserve"> </w:t>
      </w:r>
      <w:r>
        <w:t xml:space="preserve">FEC regulates into 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(selected entries of</w:t>
      </w:r>
      <w:r>
        <w:t xml:space="preserve"> </w:t>
      </w:r>
      <m:oMath>
        <m:r>
          <m:t>α</m:t>
        </m:r>
      </m:oMath>
      <w:r>
        <w:t xml:space="preserve">), the</w:t>
      </w:r>
      <w:r>
        <w:t xml:space="preserve"> </w:t>
      </w:r>
      <w:r>
        <w:rPr>
          <w:i/>
          <w:iCs/>
        </w:rPr>
        <w:t xml:space="preserve">reaction order polytope</w:t>
      </w:r>
      <w:r>
        <w:t xml:space="preserve"> </w:t>
      </w:r>
      <w:r>
        <w:t xml:space="preserve">constrains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≜</m:t>
        </m:r>
        <m:r>
          <m:rPr>
            <m:sty m:val="p"/>
          </m:rPr>
          <m:t>{</m:t>
        </m:r>
        <m:r>
          <m:t>θ</m:t>
        </m:r>
        <m:r>
          <m:rPr>
            <m:sty m:val="p"/>
          </m:rPr>
          <m:t>∣</m:t>
        </m:r>
        <m:r>
          <m:t>A</m:t>
        </m:r>
        <m:r>
          <m:t>θ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,</m:t>
        </m:r>
        <m:r>
          <m:t> </m:t>
        </m:r>
        <m:r>
          <m:t>θ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 binding stoichiometry.</w:t>
      </w:r>
      <w:r>
        <w:t xml:space="preserve"> </w:t>
      </w: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Start w:id="15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[19–21]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 each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5"/>
    <w:bookmarkEnd w:id="16"/>
    <w:bookmarkStart w:id="21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[22]</w:t>
      </w:r>
      <w:r>
        <w:t xml:space="preserve"> </w:t>
      </w:r>
      <w:r>
        <w:t xml:space="preserve">and solved with IPOPT </w:t>
      </w:r>
      <w:r>
        <w:t xml:space="preserve">[23]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[24–29]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reference blocks are deliberately swappable and are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[30]</w:t>
      </w:r>
      <w:r>
        <w:t xml:space="preserve"> </w:t>
      </w:r>
      <w:r>
        <w:t xml:space="preserve">(dimensionless form following </w:t>
      </w:r>
      <w:r>
        <w:t xml:space="preserve">[31]</w:t>
      </w:r>
      <w:r>
        <w:t xml:space="preserve">) and the</w:t>
      </w:r>
      <w:r>
        <w:t xml:space="preserve"> </w:t>
      </w:r>
      <w:r>
        <w:t xml:space="preserve">single-cell core of the Wolf–Heinrich yeast model </w:t>
      </w:r>
      <w:r>
        <w:t xml:space="preserve">[32]</w:t>
      </w:r>
      <w:r>
        <w:t xml:space="preserve"> </w:t>
      </w:r>
      <w:r>
        <w:t xml:space="preserve">(parameters and initial</w:t>
      </w:r>
      <w:r>
        <w:t xml:space="preserve"> </w:t>
      </w:r>
      <w:r>
        <w:t xml:space="preserve">conditions taken verbatim from BioModels </w:t>
      </w:r>
      <w:r>
        <w:t xml:space="preserve">[33]</w:t>
      </w:r>
      <w:r>
        <w:t xml:space="preserve">),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the data figures this</w:t>
      </w:r>
      <w:r>
        <w:t xml:space="preserve"> </w:t>
      </w:r>
      <w:r>
        <w:t xml:space="preserve">script owns and their numbers (the Example-1 tracking costs are produced by the bundled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benchmark, not by this script).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20" w:name="fig:arch"/>
    <w:p>
      <w:pPr>
        <w:pStyle w:val="CaptionedFigure"/>
      </w:pPr>
      <w:r>
        <w:drawing>
          <wp:inline>
            <wp:extent cx="5334000" cy="15181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ropfec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20"/>
    <w:bookmarkEnd w:id="21"/>
    <w:bookmarkEnd w:id="22"/>
    <w:bookmarkStart w:id="38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7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</w:t>
      </w:r>
      <w:r>
        <w:t xml:space="preserve"> </w:t>
      </w:r>
      <w:r>
        <w:t xml:space="preserve">flux with a small regularizer toward the nominal exponent, returns an in-ROP solution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prescribed ground-truth exponent. This is a transcription/feasibility check,</w:t>
      </w:r>
      <w:r>
        <w:t xml:space="preserve"> </w:t>
      </w:r>
      <w:r>
        <w:t xml:space="preserve">not an identification result: pure flux tracking on this toy network is under-determined, so</w:t>
      </w:r>
      <w:r>
        <w:t xml:space="preserve"> </w:t>
      </w:r>
      <w:r>
        <w:t xml:space="preserve">the round-trip is driven mainly by the regularizer. On the same network the FEC solution</w:t>
      </w:r>
      <w:r>
        <w:t xml:space="preserve"> </w:t>
      </w:r>
      <w:r>
        <w:t xml:space="preserve">yields a final-state tracking cost no worse than the in-ROP FBA- and MM-derived exponent</w:t>
      </w:r>
      <w:r>
        <w:t xml:space="preserve"> </w:t>
      </w:r>
      <w:r>
        <w:t xml:space="preserve">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, a single deterministic evaluation). Because all three</w:t>
      </w:r>
      <w:r>
        <w:t xml:space="preserve"> </w:t>
      </w:r>
      <w:r>
        <w:t xml:space="preserve">policies are projected onto the same ROP, this compares policy heuristics under a shared</w:t>
      </w:r>
      <w:r>
        <w:t xml:space="preserve"> </w:t>
      </w:r>
      <w:r>
        <w:t xml:space="preserve">constraint and does not by itself attribute the cost gap to the binding geometry. A</w:t>
      </w:r>
      <w:r>
        <w:t xml:space="preserve"> </w:t>
      </w:r>
      <w:r>
        <w:t xml:space="preserve">scenario-robust variant bounds the worst case at near-nominal cost. These are internal sanity</w:t>
      </w:r>
      <w:r>
        <w:t xml:space="preserve"> </w:t>
      </w:r>
      <w:r>
        <w:t xml:space="preserve">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6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toy_traj_comparis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6"/>
    <w:bookmarkEnd w:id="27"/>
    <w:bookmarkStart w:id="32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1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case_studies_oscillatio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1"/>
    <w:bookmarkEnd w:id="32"/>
    <w:bookmarkStart w:id="37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[34]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paired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is not statistically significant</w:t>
      </w:r>
      <w:r>
        <w:t xml:space="preserve"> </w:t>
      </w:r>
      <w:r>
        <w:t xml:space="preserve">(paired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0.5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6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order_uq_negativ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a paired difference that is not statistically significant. Shipped as a re-runnable test.</w:t>
      </w:r>
    </w:p>
    <w:bookmarkEnd w:id="36"/>
    <w:bookmarkEnd w:id="37"/>
    <w:bookmarkEnd w:id="38"/>
    <w:bookmarkStart w:id="39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t xml:space="preserve">The order-uncertainty module exposes importable primitives (</w:t>
      </w:r>
      <w:r>
        <w:rPr>
          <w:rStyle w:val="VerbatimChar"/>
        </w:rPr>
        <w:t xml:space="preserve">worst_case_range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bounding_box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data_halfspaces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estimate_orders_loglinear</w:t>
      </w:r>
      <w:r>
        <w:t xml:space="preserve">), and the two</w:t>
      </w:r>
      <w:r>
        <w:t xml:space="preserve"> </w:t>
      </w:r>
      <w:r>
        <w:t xml:space="preserve">oscillator modules are imported directly by the 44-test suite.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falsification, with its count-matched random-facet null,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 — a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9"/>
    <w:bookmarkStart w:id="40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falsification: against a count-matched random-facet null, the binding-derived</w:t>
      </w:r>
      <w:r>
        <w:t xml:space="preserve"> </w:t>
      </w:r>
      <w:r>
        <w:t xml:space="preserve">structure confers at most a marginal advantage for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its</w:t>
      </w:r>
      <w:r>
        <w:t xml:space="preserve"> </w:t>
      </w:r>
      <w:r>
        <w:t xml:space="preserve">demonstrated role is instead as a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(Example 1). The</w:t>
      </w:r>
      <w:r>
        <w:t xml:space="preserve"> </w:t>
      </w:r>
      <w:r>
        <w:t xml:space="preserve">work is offered as a reproducible reference and a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40"/>
    <w:bookmarkStart w:id="45" w:name="declarations"/>
    <w:p>
      <w:pPr>
        <w:pStyle w:val="Heading1"/>
      </w:pPr>
      <w:r>
        <w:t xml:space="preserve">Declarations</w:t>
      </w:r>
    </w:p>
    <w:bookmarkStart w:id="41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the data figures are released under the MIT license at</w:t>
      </w:r>
      <w:r>
        <w:t xml:space="preserve"> </w:t>
      </w:r>
      <w:hyperlink r:id="rId11">
        <w:r>
          <w:rPr>
            <w:rStyle w:val="Hyperlink"/>
          </w:rPr>
          <w:t xml:space="preserve">https://github.com/exergyleizhou-ux/ropfec</w:t>
        </w:r>
      </w:hyperlink>
      <w:r>
        <w:t xml:space="preserve"> </w:t>
      </w:r>
      <w:r>
        <w:t xml:space="preserve">(Table 1); a versioned snapshot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 </w:t>
      </w:r>
      <w:r>
        <w:t xml:space="preserve">release is archived on Zenodo (</w:t>
      </w:r>
      <w:hyperlink r:id="rId12">
        <w:r>
          <w:rPr>
            <w:rStyle w:val="Hyperlink"/>
          </w:rPr>
          <w:t xml:space="preserve">10.5281/zenodo.20805373</w:t>
        </w:r>
      </w:hyperlink>
      <w:r>
        <w:t xml:space="preserve">; concept DOI 10.5281/zenodo.20805372).</w:t>
      </w:r>
    </w:p>
    <w:bookmarkEnd w:id="41"/>
    <w:bookmarkStart w:id="42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2"/>
    <w:bookmarkStart w:id="43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3"/>
    <w:bookmarkStart w:id="44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4"/>
    <w:bookmarkEnd w:id="45"/>
    <w:bookmarkStart w:id="46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6"/>
    <w:bookmarkStart w:id="110" w:name="references"/>
    <w:p>
      <w:pPr>
        <w:pStyle w:val="Heading1"/>
      </w:pPr>
      <w:r>
        <w:t xml:space="preserve">References</w:t>
      </w:r>
    </w:p>
    <w:bookmarkStart w:id="109" w:name="refs"/>
    <w:bookmarkStart w:id="48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7">
        <w:r>
          <w:rPr>
            <w:rStyle w:val="Hyperlink"/>
          </w:rPr>
          <w:t xml:space="preserve">10.1038/nbt.1614</w:t>
        </w:r>
      </w:hyperlink>
    </w:p>
    <w:bookmarkEnd w:id="48"/>
    <w:bookmarkStart w:id="50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9">
        <w:r>
          <w:rPr>
            <w:rStyle w:val="Hyperlink"/>
          </w:rPr>
          <w:t xml:space="preserve">10.1128/aem.60.10.3724-3731.1994</w:t>
        </w:r>
      </w:hyperlink>
    </w:p>
    <w:bookmarkEnd w:id="50"/>
    <w:bookmarkStart w:id="52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1">
        <w:r>
          <w:rPr>
            <w:rStyle w:val="Hyperlink"/>
          </w:rPr>
          <w:t xml:space="preserve">10.1016/j.biotechadv.2017.09.005</w:t>
        </w:r>
      </w:hyperlink>
    </w:p>
    <w:bookmarkEnd w:id="52"/>
    <w:bookmarkStart w:id="54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3">
        <w:r>
          <w:rPr>
            <w:rStyle w:val="Hyperlink"/>
          </w:rPr>
          <w:t xml:space="preserve">10.1016/S0006-3495(02)73903-9</w:t>
        </w:r>
      </w:hyperlink>
    </w:p>
    <w:bookmarkEnd w:id="54"/>
    <w:bookmarkStart w:id="56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5">
        <w:r>
          <w:rPr>
            <w:rStyle w:val="Hyperlink"/>
          </w:rPr>
          <w:t xml:space="preserve">10.1002/(SICI)1097-0290(19970420)54:2&lt;91::AID-BIT1&gt;3.0.CO;2-Q</w:t>
        </w:r>
      </w:hyperlink>
    </w:p>
    <w:bookmarkEnd w:id="56"/>
    <w:bookmarkStart w:id="58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7">
        <w:r>
          <w:rPr>
            <w:rStyle w:val="Hyperlink"/>
          </w:rPr>
          <w:t xml:space="preserve">10.1016/S1096-7176(03)00025-9</w:t>
        </w:r>
      </w:hyperlink>
    </w:p>
    <w:bookmarkEnd w:id="58"/>
    <w:bookmarkStart w:id="60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9">
        <w:r>
          <w:rPr>
            <w:rStyle w:val="Hyperlink"/>
          </w:rPr>
          <w:t xml:space="preserve">10.1016/j.tibtech.2010.05.003</w:t>
        </w:r>
      </w:hyperlink>
    </w:p>
    <w:bookmarkEnd w:id="60"/>
    <w:bookmarkStart w:id="62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1">
        <w:r>
          <w:rPr>
            <w:rStyle w:val="Hyperlink"/>
          </w:rPr>
          <w:t xml:space="preserve">10.1111/j.1742-4658.2007.06076.x</w:t>
        </w:r>
      </w:hyperlink>
    </w:p>
    <w:bookmarkEnd w:id="62"/>
    <w:bookmarkStart w:id="64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3">
        <w:r>
          <w:rPr>
            <w:rStyle w:val="Hyperlink"/>
          </w:rPr>
          <w:t xml:space="preserve">10.23919/ACC55779.2023.10156281</w:t>
        </w:r>
      </w:hyperlink>
    </w:p>
    <w:bookmarkEnd w:id="64"/>
    <w:bookmarkStart w:id="66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5">
        <w:r>
          <w:rPr>
            <w:rStyle w:val="Hyperlink"/>
          </w:rPr>
          <w:t xml:space="preserve">10.7907/rtwq-v497</w:t>
        </w:r>
      </w:hyperlink>
    </w:p>
    <w:bookmarkEnd w:id="66"/>
    <w:bookmarkStart w:id="68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7">
        <w:r>
          <w:rPr>
            <w:rStyle w:val="Hyperlink"/>
          </w:rPr>
          <w:t xml:space="preserve">10.23919/ACC50511.2021.9483039</w:t>
        </w:r>
      </w:hyperlink>
    </w:p>
    <w:bookmarkEnd w:id="68"/>
    <w:bookmarkStart w:id="70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9">
        <w:r>
          <w:rPr>
            <w:rStyle w:val="Hyperlink"/>
          </w:rPr>
          <w:t xml:space="preserve">10.1109/CDC.2018.8619101</w:t>
        </w:r>
      </w:hyperlink>
    </w:p>
    <w:bookmarkEnd w:id="70"/>
    <w:bookmarkStart w:id="71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1"/>
    <w:bookmarkStart w:id="73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2">
        <w:r>
          <w:rPr>
            <w:rStyle w:val="Hyperlink"/>
          </w:rPr>
          <w:t xml:space="preserve">10.1007/BFb0109870</w:t>
        </w:r>
      </w:hyperlink>
    </w:p>
    <w:bookmarkEnd w:id="73"/>
    <w:bookmarkStart w:id="74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4"/>
    <w:bookmarkStart w:id="76" w:name="ref-savageau196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Savageau, M. A. Biochemical systems analysis:</w:t>
      </w:r>
      <w:r>
        <w:t xml:space="preserve"> </w:t>
      </w:r>
      <w:r>
        <w:t xml:space="preserve">II</w:t>
      </w:r>
      <w:r>
        <w:t xml:space="preserve">. The steady-state solutions for an</w:t>
      </w:r>
      <w:r>
        <w:t xml:space="preserve"> </w:t>
      </w:r>
      <m:oMath>
        <m:r>
          <m:t>n</m:t>
        </m:r>
      </m:oMath>
      <w:r>
        <w:t xml:space="preserve">-pool system using a power-law approximation. Journal of Theoretical Biology, 1969;25:370–379. doi:</w:t>
      </w:r>
      <w:hyperlink r:id="rId75">
        <w:r>
          <w:rPr>
            <w:rStyle w:val="Hyperlink"/>
          </w:rPr>
          <w:t xml:space="preserve">10.1016/S0022-5193(69)80027-5</w:t>
        </w:r>
      </w:hyperlink>
    </w:p>
    <w:bookmarkEnd w:id="76"/>
    <w:bookmarkStart w:id="78" w:name="ref-feinberg2019cr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7">
        <w:r>
          <w:rPr>
            <w:rStyle w:val="Hyperlink"/>
          </w:rPr>
          <w:t xml:space="preserve">10.1007/978-3-030-03858-8</w:t>
        </w:r>
      </w:hyperlink>
    </w:p>
    <w:bookmarkEnd w:id="78"/>
    <w:bookmarkStart w:id="79" w:name="ref-alon2019system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9"/>
    <w:bookmarkStart w:id="80" w:name="ref-kacser1973contro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80"/>
    <w:bookmarkStart w:id="82" w:name="ref-heinrich1974linea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81">
        <w:r>
          <w:rPr>
            <w:rStyle w:val="Hyperlink"/>
          </w:rPr>
          <w:t xml:space="preserve">10.1111/j.1432-1033.1974.tb03318.x</w:t>
        </w:r>
      </w:hyperlink>
    </w:p>
    <w:bookmarkEnd w:id="82"/>
    <w:bookmarkStart w:id="83" w:name="ref-fell1997understanding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3"/>
    <w:bookmarkStart w:id="85" w:name="ref-andersson2019casadi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4">
        <w:r>
          <w:rPr>
            <w:rStyle w:val="Hyperlink"/>
          </w:rPr>
          <w:t xml:space="preserve">10.1007/s12532-018-0139-4</w:t>
        </w:r>
      </w:hyperlink>
    </w:p>
    <w:bookmarkEnd w:id="85"/>
    <w:bookmarkStart w:id="87" w:name="ref-wachter2006ipop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6">
        <w:r>
          <w:rPr>
            <w:rStyle w:val="Hyperlink"/>
          </w:rPr>
          <w:t xml:space="preserve">10.1007/s10107-004-0559-y</w:t>
        </w:r>
      </w:hyperlink>
    </w:p>
    <w:bookmarkEnd w:id="87"/>
    <w:bookmarkStart w:id="89" w:name="ref-kothare1996robus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8">
        <w:r>
          <w:rPr>
            <w:rStyle w:val="Hyperlink"/>
          </w:rPr>
          <w:t xml:space="preserve">10.1016/0005-1098(96)00063-5</w:t>
        </w:r>
      </w:hyperlink>
    </w:p>
    <w:bookmarkEnd w:id="89"/>
    <w:bookmarkStart w:id="91" w:name="ref-scokaert1998minmax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90">
        <w:r>
          <w:rPr>
            <w:rStyle w:val="Hyperlink"/>
          </w:rPr>
          <w:t xml:space="preserve">10.1109/9.704989</w:t>
        </w:r>
      </w:hyperlink>
    </w:p>
    <w:bookmarkEnd w:id="91"/>
    <w:bookmarkStart w:id="93" w:name="ref-mayne2005tub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92">
        <w:r>
          <w:rPr>
            <w:rStyle w:val="Hyperlink"/>
          </w:rPr>
          <w:t xml:space="preserve">10.1016/j.automatica.2004.08.019</w:t>
        </w:r>
      </w:hyperlink>
    </w:p>
    <w:bookmarkEnd w:id="93"/>
    <w:bookmarkStart w:id="95" w:name="ref-calafiore2006scenario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4">
        <w:r>
          <w:rPr>
            <w:rStyle w:val="Hyperlink"/>
          </w:rPr>
          <w:t xml:space="preserve">10.1109/TAC.2006.875041</w:t>
        </w:r>
      </w:hyperlink>
    </w:p>
    <w:bookmarkEnd w:id="95"/>
    <w:bookmarkStart w:id="97" w:name="ref-campi2008exac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6">
        <w:r>
          <w:rPr>
            <w:rStyle w:val="Hyperlink"/>
          </w:rPr>
          <w:t xml:space="preserve">10.1137/07069821X</w:t>
        </w:r>
      </w:hyperlink>
    </w:p>
    <w:bookmarkEnd w:id="97"/>
    <w:bookmarkStart w:id="99" w:name="ref-bertsimas2011robus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8">
        <w:r>
          <w:rPr>
            <w:rStyle w:val="Hyperlink"/>
          </w:rPr>
          <w:t xml:space="preserve">10.1137/080734510</w:t>
        </w:r>
      </w:hyperlink>
    </w:p>
    <w:bookmarkEnd w:id="99"/>
    <w:bookmarkStart w:id="101" w:name="ref-selkov1968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100">
        <w:r>
          <w:rPr>
            <w:rStyle w:val="Hyperlink"/>
          </w:rPr>
          <w:t xml:space="preserve">10.1111/j.1432-1033.1968.tb00175.x</w:t>
        </w:r>
      </w:hyperlink>
    </w:p>
    <w:bookmarkEnd w:id="101"/>
    <w:bookmarkStart w:id="102" w:name="ref-strogatz2014nonlinear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Strogatz, S. H. Nonlinear dynamics and chaos. Westview Press, 2014.</w:t>
      </w:r>
      <w:r>
        <w:t xml:space="preserve"> </w:t>
      </w:r>
    </w:p>
    <w:bookmarkEnd w:id="102"/>
    <w:bookmarkStart w:id="104" w:name="ref-wolf2000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103">
        <w:r>
          <w:rPr>
            <w:rStyle w:val="Hyperlink"/>
          </w:rPr>
          <w:t xml:space="preserve">10.1042/bj3450321</w:t>
        </w:r>
      </w:hyperlink>
    </w:p>
    <w:bookmarkEnd w:id="104"/>
    <w:bookmarkStart w:id="106" w:name="ref-biomd691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BioModels Database. Wolf2000_glycolytic_oscillations_yeast. BioModels, accession BIOMD0000000691 (SBML L2V4), EMBL-EBI, 2000.</w:t>
      </w:r>
      <w:r>
        <w:t xml:space="preserve"> </w:t>
      </w:r>
      <w:hyperlink r:id="rId105">
        <w:r>
          <w:rPr>
            <w:rStyle w:val="Hyperlink"/>
          </w:rPr>
          <w:t xml:space="preserve">https://www.ebi.ac.uk/biomodels/BIOMD0000000691</w:t>
        </w:r>
      </w:hyperlink>
    </w:p>
    <w:bookmarkEnd w:id="106"/>
    <w:bookmarkStart w:id="108" w:name="ref-bental1998robus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7">
        <w:r>
          <w:rPr>
            <w:rStyle w:val="Hyperlink"/>
          </w:rPr>
          <w:t xml:space="preserve">10.1287/moor.23.4.769</w:t>
        </w:r>
      </w:hyperlink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hyperlink" Id="rId55" Target="https://doi.org/10.1002/(SICI)1097-0290(19970420)54:2&lt;91::AID-BIT1&gt;3.0.CO;2-Q" TargetMode="External" /><Relationship Type="http://schemas.openxmlformats.org/officeDocument/2006/relationships/hyperlink" Id="rId77" Target="https://doi.org/10.1007/978-3-030-03858-8" TargetMode="External" /><Relationship Type="http://schemas.openxmlformats.org/officeDocument/2006/relationships/hyperlink" Id="rId72" Target="https://doi.org/10.1007/BFb0109870" TargetMode="External" /><Relationship Type="http://schemas.openxmlformats.org/officeDocument/2006/relationships/hyperlink" Id="rId86" Target="https://doi.org/10.1007/s10107-004-0559-y" TargetMode="External" /><Relationship Type="http://schemas.openxmlformats.org/officeDocument/2006/relationships/hyperlink" Id="rId84" Target="https://doi.org/10.1007/s12532-018-0139-4" TargetMode="External" /><Relationship Type="http://schemas.openxmlformats.org/officeDocument/2006/relationships/hyperlink" Id="rId88" Target="https://doi.org/10.1016/0005-1098(96)00063-5" TargetMode="External" /><Relationship Type="http://schemas.openxmlformats.org/officeDocument/2006/relationships/hyperlink" Id="rId53" Target="https://doi.org/10.1016/S0006-3495(02)73903-9" TargetMode="External" /><Relationship Type="http://schemas.openxmlformats.org/officeDocument/2006/relationships/hyperlink" Id="rId75" Target="https://doi.org/10.1016/S0022-5193(69)80027-5" TargetMode="External" /><Relationship Type="http://schemas.openxmlformats.org/officeDocument/2006/relationships/hyperlink" Id="rId57" Target="https://doi.org/10.1016/S1096-7176(03)00025-9" TargetMode="External" /><Relationship Type="http://schemas.openxmlformats.org/officeDocument/2006/relationships/hyperlink" Id="rId92" Target="https://doi.org/10.1016/j.automatica.2004.08.019" TargetMode="External" /><Relationship Type="http://schemas.openxmlformats.org/officeDocument/2006/relationships/hyperlink" Id="rId51" Target="https://doi.org/10.1016/j.biotechadv.2017.09.005" TargetMode="External" /><Relationship Type="http://schemas.openxmlformats.org/officeDocument/2006/relationships/hyperlink" Id="rId59" Target="https://doi.org/10.1016/j.tibtech.2010.05.003" TargetMode="External" /><Relationship Type="http://schemas.openxmlformats.org/officeDocument/2006/relationships/hyperlink" Id="rId47" Target="https://doi.org/10.1038/nbt.1614" TargetMode="External" /><Relationship Type="http://schemas.openxmlformats.org/officeDocument/2006/relationships/hyperlink" Id="rId103" Target="https://doi.org/10.1042/bj3450321" TargetMode="External" /><Relationship Type="http://schemas.openxmlformats.org/officeDocument/2006/relationships/hyperlink" Id="rId90" Target="https://doi.org/10.1109/9.704989" TargetMode="External" /><Relationship Type="http://schemas.openxmlformats.org/officeDocument/2006/relationships/hyperlink" Id="rId69" Target="https://doi.org/10.1109/CDC.2018.8619101" TargetMode="External" /><Relationship Type="http://schemas.openxmlformats.org/officeDocument/2006/relationships/hyperlink" Id="rId94" Target="https://doi.org/10.1109/TAC.2006.875041" TargetMode="External" /><Relationship Type="http://schemas.openxmlformats.org/officeDocument/2006/relationships/hyperlink" Id="rId100" Target="https://doi.org/10.1111/j.1432-1033.1968.tb00175.x" TargetMode="External" /><Relationship Type="http://schemas.openxmlformats.org/officeDocument/2006/relationships/hyperlink" Id="rId81" Target="https://doi.org/10.1111/j.1432-1033.1974.tb03318.x" TargetMode="External" /><Relationship Type="http://schemas.openxmlformats.org/officeDocument/2006/relationships/hyperlink" Id="rId61" Target="https://doi.org/10.1111/j.1742-4658.2007.06076.x" TargetMode="External" /><Relationship Type="http://schemas.openxmlformats.org/officeDocument/2006/relationships/hyperlink" Id="rId49" Target="https://doi.org/10.1128/aem.60.10.3724-3731.1994" TargetMode="External" /><Relationship Type="http://schemas.openxmlformats.org/officeDocument/2006/relationships/hyperlink" Id="rId96" Target="https://doi.org/10.1137/07069821X" TargetMode="External" /><Relationship Type="http://schemas.openxmlformats.org/officeDocument/2006/relationships/hyperlink" Id="rId98" Target="https://doi.org/10.1137/080734510" TargetMode="External" /><Relationship Type="http://schemas.openxmlformats.org/officeDocument/2006/relationships/hyperlink" Id="rId107" Target="https://doi.org/10.1287/moor.23.4.769" TargetMode="External" /><Relationship Type="http://schemas.openxmlformats.org/officeDocument/2006/relationships/hyperlink" Id="rId67" Target="https://doi.org/10.23919/ACC50511.2021.9483039" TargetMode="External" /><Relationship Type="http://schemas.openxmlformats.org/officeDocument/2006/relationships/hyperlink" Id="rId63" Target="https://doi.org/10.23919/ACC55779.2023.10156281" TargetMode="External" /><Relationship Type="http://schemas.openxmlformats.org/officeDocument/2006/relationships/hyperlink" Id="rId12" Target="https://doi.org/10.5281/zenodo.20805373" TargetMode="External" /><Relationship Type="http://schemas.openxmlformats.org/officeDocument/2006/relationships/hyperlink" Id="rId65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5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02/(SICI)1097-0290(19970420)54:2&lt;91::AID-BIT1&gt;3.0.CO;2-Q" TargetMode="External" /><Relationship Type="http://schemas.openxmlformats.org/officeDocument/2006/relationships/hyperlink" Id="rId77" Target="https://doi.org/10.1007/978-3-030-03858-8" TargetMode="External" /><Relationship Type="http://schemas.openxmlformats.org/officeDocument/2006/relationships/hyperlink" Id="rId72" Target="https://doi.org/10.1007/BFb0109870" TargetMode="External" /><Relationship Type="http://schemas.openxmlformats.org/officeDocument/2006/relationships/hyperlink" Id="rId86" Target="https://doi.org/10.1007/s10107-004-0559-y" TargetMode="External" /><Relationship Type="http://schemas.openxmlformats.org/officeDocument/2006/relationships/hyperlink" Id="rId84" Target="https://doi.org/10.1007/s12532-018-0139-4" TargetMode="External" /><Relationship Type="http://schemas.openxmlformats.org/officeDocument/2006/relationships/hyperlink" Id="rId88" Target="https://doi.org/10.1016/0005-1098(96)00063-5" TargetMode="External" /><Relationship Type="http://schemas.openxmlformats.org/officeDocument/2006/relationships/hyperlink" Id="rId53" Target="https://doi.org/10.1016/S0006-3495(02)73903-9" TargetMode="External" /><Relationship Type="http://schemas.openxmlformats.org/officeDocument/2006/relationships/hyperlink" Id="rId75" Target="https://doi.org/10.1016/S0022-5193(69)80027-5" TargetMode="External" /><Relationship Type="http://schemas.openxmlformats.org/officeDocument/2006/relationships/hyperlink" Id="rId57" Target="https://doi.org/10.1016/S1096-7176(03)00025-9" TargetMode="External" /><Relationship Type="http://schemas.openxmlformats.org/officeDocument/2006/relationships/hyperlink" Id="rId92" Target="https://doi.org/10.1016/j.automatica.2004.08.019" TargetMode="External" /><Relationship Type="http://schemas.openxmlformats.org/officeDocument/2006/relationships/hyperlink" Id="rId51" Target="https://doi.org/10.1016/j.biotechadv.2017.09.005" TargetMode="External" /><Relationship Type="http://schemas.openxmlformats.org/officeDocument/2006/relationships/hyperlink" Id="rId59" Target="https://doi.org/10.1016/j.tibtech.2010.05.003" TargetMode="External" /><Relationship Type="http://schemas.openxmlformats.org/officeDocument/2006/relationships/hyperlink" Id="rId47" Target="https://doi.org/10.1038/nbt.1614" TargetMode="External" /><Relationship Type="http://schemas.openxmlformats.org/officeDocument/2006/relationships/hyperlink" Id="rId103" Target="https://doi.org/10.1042/bj3450321" TargetMode="External" /><Relationship Type="http://schemas.openxmlformats.org/officeDocument/2006/relationships/hyperlink" Id="rId90" Target="https://doi.org/10.1109/9.704989" TargetMode="External" /><Relationship Type="http://schemas.openxmlformats.org/officeDocument/2006/relationships/hyperlink" Id="rId69" Target="https://doi.org/10.1109/CDC.2018.8619101" TargetMode="External" /><Relationship Type="http://schemas.openxmlformats.org/officeDocument/2006/relationships/hyperlink" Id="rId94" Target="https://doi.org/10.1109/TAC.2006.875041" TargetMode="External" /><Relationship Type="http://schemas.openxmlformats.org/officeDocument/2006/relationships/hyperlink" Id="rId100" Target="https://doi.org/10.1111/j.1432-1033.1968.tb00175.x" TargetMode="External" /><Relationship Type="http://schemas.openxmlformats.org/officeDocument/2006/relationships/hyperlink" Id="rId81" Target="https://doi.org/10.1111/j.1432-1033.1974.tb03318.x" TargetMode="External" /><Relationship Type="http://schemas.openxmlformats.org/officeDocument/2006/relationships/hyperlink" Id="rId61" Target="https://doi.org/10.1111/j.1742-4658.2007.06076.x" TargetMode="External" /><Relationship Type="http://schemas.openxmlformats.org/officeDocument/2006/relationships/hyperlink" Id="rId49" Target="https://doi.org/10.1128/aem.60.10.3724-3731.1994" TargetMode="External" /><Relationship Type="http://schemas.openxmlformats.org/officeDocument/2006/relationships/hyperlink" Id="rId96" Target="https://doi.org/10.1137/07069821X" TargetMode="External" /><Relationship Type="http://schemas.openxmlformats.org/officeDocument/2006/relationships/hyperlink" Id="rId98" Target="https://doi.org/10.1137/080734510" TargetMode="External" /><Relationship Type="http://schemas.openxmlformats.org/officeDocument/2006/relationships/hyperlink" Id="rId107" Target="https://doi.org/10.1287/moor.23.4.769" TargetMode="External" /><Relationship Type="http://schemas.openxmlformats.org/officeDocument/2006/relationships/hyperlink" Id="rId67" Target="https://doi.org/10.23919/ACC50511.2021.9483039" TargetMode="External" /><Relationship Type="http://schemas.openxmlformats.org/officeDocument/2006/relationships/hyperlink" Id="rId63" Target="https://doi.org/10.23919/ACC55779.2023.10156281" TargetMode="External" /><Relationship Type="http://schemas.openxmlformats.org/officeDocument/2006/relationships/hyperlink" Id="rId12" Target="https://doi.org/10.5281/zenodo.20805373" TargetMode="External" /><Relationship Type="http://schemas.openxmlformats.org/officeDocument/2006/relationships/hyperlink" Id="rId65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5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an open, tested implementation of reaction-order-constrained flux-exponent control for staged bioconversion</dc:title>
  <dc:creator>Lei Zhou</dc:creator>
  <cp:keywords/>
  <dcterms:created xsi:type="dcterms:W3CDTF">2026-06-23T01:00:50Z</dcterms:created>
  <dcterms:modified xsi:type="dcterms:W3CDTF">2026-06-23T01:00:50Z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We present ropfec, a small, well-tested Python package that makes reaction-order-polytope (ROP) geometry and flux-exponent control (FEC) — a framework for regulating and predicting metabolic-network dynamics from binding structure without full kinetic-parameter identification — runnable and verifiable. The idea is attractive for controlling staged bioconversion, but we show it is only partly supported; it had existed as theory and a model-predictive-control concept without an open, tested implementation. The package provides: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the data figures it generates and their numbers (the Example-1 tracking costs come from a separate bundled benchmark script; the architecture is a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2026-06-23</vt:lpwstr>
  </property>
</Properties>
</file>