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9.png" ContentType="image/png"/>
  <Override PartName="/word/media/rId17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An open, reproducible implementation of</w:t>
      </w:r>
      <w:r>
        <w:br/>
      </w:r>
      <w:r>
        <w:rPr>
          <w:b/>
          <w:bCs/>
        </w:rPr>
        <w:t xml:space="preserve">reaction-order-polyhedron–constrained flux exponent control,</w:t>
      </w:r>
      <w:r>
        <w:br/>
      </w:r>
      <w:r>
        <w:rPr>
          <w:b/>
          <w:bCs/>
        </w:rPr>
        <w:t xml:space="preserve">and an honest analysis of when binding structure helps</w:t>
      </w:r>
    </w:p>
    <w:p>
      <w:pPr>
        <w:pStyle w:val="Author"/>
      </w:pPr>
      <w:r>
        <w:t xml:space="preserve">Lei Zhou</w:t>
      </w:r>
      <w:r>
        <w:rPr>
          <w:rStyle w:val="FootnoteReference"/>
        </w:rPr>
        <w:footnoteReference w:id="9"/>
      </w:r>
    </w:p>
    <w:p>
      <w:pPr>
        <w:pStyle w:val="Date"/>
      </w:pPr>
      <w:r>
        <w:t xml:space="preserve">2026-06-22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 </w:t>
      </w:r>
      <w:r>
        <w:t xml:space="preserve">Xiao, Li and Doyle’s</w:t>
      </w:r>
      <w:r>
        <w:t xml:space="preserve"> </w:t>
      </w:r>
      <w:r>
        <w:rPr>
          <w:i/>
          <w:iCs/>
        </w:rPr>
        <w:t xml:space="preserve">flux exponent control</w:t>
      </w:r>
      <w:r>
        <w:t xml:space="preserve"> </w:t>
      </w:r>
      <w:r>
        <w:t xml:space="preserve">(FEC) and its underlying</w:t>
      </w:r>
      <w:r>
        <w:t xml:space="preserve"> </w:t>
      </w:r>
      <w:r>
        <w:rPr>
          <w:i/>
          <w:iCs/>
        </w:rPr>
        <w:t xml:space="preserve">reaction order polyhedron</w:t>
      </w:r>
      <w:r>
        <w:t xml:space="preserve"> </w:t>
      </w:r>
      <w:r>
        <w:t xml:space="preserve">(ROP) propose that metabolic dynamics can be</w:t>
      </w:r>
      <w:r>
        <w:t xml:space="preserve"> </w:t>
      </w:r>
      <w:r>
        <w:t xml:space="preserve">predicted and controlled from network structure: the reaction-order exponents of</w:t>
      </w:r>
      <w:r>
        <w:t xml:space="preserve"> </w:t>
      </w:r>
      <w:r>
        <w:t xml:space="preserve">a power-law kinetic model are constrained, by binding stoichiometry, to a</w:t>
      </w:r>
      <w:r>
        <w:t xml:space="preserve"> </w:t>
      </w:r>
      <w:r>
        <w:t xml:space="preserve">polyhedron, and dynamic regulation is the solution of an optimal-control problem</w:t>
      </w:r>
      <w:r>
        <w:t xml:space="preserve"> </w:t>
      </w:r>
      <w:r>
        <w:t xml:space="preserve">over that polyhedron. The framework is attractive because it avoids full</w:t>
      </w:r>
      <w:r>
        <w:t xml:space="preserve"> </w:t>
      </w:r>
      <w:r>
        <w:t xml:space="preserve">kinetic-parameter identification, but it has existed as theory and an MPC concept</w:t>
      </w:r>
      <w:r>
        <w:t xml:space="preserve"> </w:t>
      </w:r>
      <w:r>
        <w:t xml:space="preserve">without an open, tested implementation. We contribute three things.</w:t>
      </w:r>
      <w:r>
        <w:t xml:space="preserve"> </w:t>
      </w:r>
      <w:r>
        <w:rPr>
          <w:b/>
          <w:bCs/>
        </w:rPr>
        <w:t xml:space="preserve">(i) A reproducible reference implementation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: ROP</w:t>
      </w:r>
      <w:r>
        <w:t xml:space="preserve"> </w:t>
      </w:r>
      <w:r>
        <w:t xml:space="preserve">H-representation construction, ROP-constrained FEC as a CasADi/IPOPT</w:t>
      </w:r>
      <w:r>
        <w:t xml:space="preserve"> </w:t>
      </w:r>
      <w:r>
        <w:t xml:space="preserve">optimal-control problem, interval/robust and multicellular extensions, and a</w:t>
      </w:r>
      <w:r>
        <w:t xml:space="preserve"> </w:t>
      </w:r>
      <w:r>
        <w:t xml:space="preserve">modular closed-loop integration with reference component implementations; 44</w:t>
      </w:r>
      <w:r>
        <w:t xml:space="preserve"> </w:t>
      </w:r>
      <w:r>
        <w:t xml:space="preserve">automated tests; one-command reproduction. On an in-silico glycolysis benchmark,</w:t>
      </w:r>
      <w:r>
        <w:t xml:space="preserve"> </w:t>
      </w:r>
      <w:r>
        <w:t xml:space="preserve">enforcing the binding-derived ROP reduces trajectory prediction error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3.2</m:t>
        </m:r>
        <m:r>
          <m:rPr>
            <m:sty m:val="p"/>
          </m:rPr>
          <m:t>×</m:t>
        </m:r>
      </m:oMath>
      <w:r>
        <w:t xml:space="preserve"> </w:t>
      </w:r>
      <w:r>
        <w:t xml:space="preserve">versus an out-of-polyhedron exponent, and the FEC solver tracks</w:t>
      </w:r>
      <w:r>
        <w:t xml:space="preserve"> </w:t>
      </w:r>
      <w:r>
        <w:t xml:space="preserve">a target flux to within</w:t>
      </w:r>
      <w:r>
        <w:t xml:space="preserve"> </w:t>
      </w:r>
      <m:oMath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of ground truth.</w:t>
      </w:r>
      <w:r>
        <w:t xml:space="preserve"> </w:t>
      </w:r>
      <w:r>
        <w:rPr>
          <w:b/>
          <w:bCs/>
        </w:rPr>
        <w:t xml:space="preserve">(ii) A clarifying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</w:t>
      </w:r>
      <w:r>
        <w:t xml:space="preserve">: FEC’s controlled exponents are exactly the elasticity coefficients</w:t>
      </w:r>
      <w:r>
        <w:t xml:space="preserve"> </w:t>
      </w:r>
      <w:r>
        <w:t xml:space="preserve">of metabolic control analysis (MCA), placing FEC within a classical formalism</w:t>
      </w:r>
      <w:r>
        <w:t xml:space="preserve"> </w:t>
      </w:r>
      <w:r>
        <w:t xml:space="preserve">rather than treating it as an ad hoc parameterization. We also provide two</w:t>
      </w:r>
      <w:r>
        <w:t xml:space="preserve"> </w:t>
      </w:r>
      <w:r>
        <w:t xml:space="preserve">published glycolytic-oscillator models (Sel’kov; Wolf–Heinrich) as validated</w:t>
      </w:r>
      <w:r>
        <w:t xml:space="preserve"> </w:t>
      </w:r>
      <w:r>
        <w:t xml:space="preserve">re-implementations and reusable testbeds.</w:t>
      </w:r>
      <w:r>
        <w:t xml:space="preserve"> </w:t>
      </w:r>
      <w:r>
        <w:rPr>
          <w:b/>
          <w:bCs/>
        </w:rPr>
        <w:t xml:space="preserve">(iii) An honest negative</w:t>
      </w:r>
      <w:r>
        <w:rPr>
          <w:b/>
          <w:bCs/>
        </w:rPr>
        <w:t xml:space="preserve"> </w:t>
      </w:r>
      <w:r>
        <w:rPr>
          <w:b/>
          <w:bCs/>
        </w:rPr>
        <w:t xml:space="preserve">result</w:t>
      </w:r>
      <w:r>
        <w:t xml:space="preserve">: we test whether the binding-derived ROP, used as a structural prior,</w:t>
      </w:r>
      <w:r>
        <w:t xml:space="preserve"> </w:t>
      </w:r>
      <w:r>
        <w:t xml:space="preserve">improves</w:t>
      </w:r>
      <w:r>
        <w:t xml:space="preserve"> </w:t>
      </w:r>
      <w:r>
        <w:rPr>
          <w:i/>
          <w:iCs/>
        </w:rPr>
        <w:t xml:space="preserve">data-driven</w:t>
      </w:r>
      <w:r>
        <w:t xml:space="preserve"> </w:t>
      </w:r>
      <w:r>
        <w:t xml:space="preserve">estimation of reaction orders, and find it does not</w:t>
      </w:r>
      <w:r>
        <w:t xml:space="preserve"> </w:t>
      </w:r>
      <w:r>
        <w:t xml:space="preserve">— when rate data are informative the ROP is inactive, and when data are scarce</w:t>
      </w:r>
      <w:r>
        <w:t xml:space="preserve"> </w:t>
      </w:r>
      <w:r>
        <w:t xml:space="preserve">it tightens the feasible set no more than a count-matched random set. The value</w:t>
      </w:r>
      <w:r>
        <w:t xml:space="preserve"> </w:t>
      </w:r>
      <w:r>
        <w:t xml:space="preserve">of ROP/FEC is therefore as a structural</w:t>
      </w:r>
      <w:r>
        <w:t xml:space="preserve"> </w:t>
      </w:r>
      <w:r>
        <w:rPr>
          <w:i/>
          <w:iCs/>
        </w:rPr>
        <w:t xml:space="preserve">modelling and control</w:t>
      </w:r>
      <w:r>
        <w:t xml:space="preserve"> </w:t>
      </w:r>
      <w:r>
        <w:t xml:space="preserve">framework,</w:t>
      </w:r>
      <w:r>
        <w:t xml:space="preserve"> </w:t>
      </w:r>
      <w:r>
        <w:t xml:space="preserve">not as a statistical regulariser for identification. We are explicit about scope:</w:t>
      </w:r>
      <w:r>
        <w:t xml:space="preserve"> </w:t>
      </w:r>
      <w:r>
        <w:t xml:space="preserve">all results are in-silico with reference components and no wet-lab data. The</w:t>
      </w:r>
      <w:r>
        <w:t xml:space="preserve"> </w:t>
      </w:r>
      <w:r>
        <w:t xml:space="preserve">software is intended as a reproducible reference and an honest map of where the</w:t>
      </w:r>
      <w:r>
        <w:t xml:space="preserve"> </w:t>
      </w:r>
      <w:r>
        <w:t xml:space="preserve">framework does and does not add value.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flux exponent control; reaction order polyhedron;</w:t>
      </w:r>
      <w:r>
        <w:t xml:space="preserve"> </w:t>
      </w:r>
      <w:r>
        <w:t xml:space="preserve">metabolic control analysis; optimal control; chemical reaction networks;</w:t>
      </w:r>
      <w:r>
        <w:t xml:space="preserve"> </w:t>
      </w:r>
      <w:r>
        <w:t xml:space="preserve">reproducible software; uncertainty.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Predicting and controlling the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of metabolism from network</w:t>
      </w:r>
      <w:r>
        <w:t xml:space="preserve"> </w:t>
      </w:r>
      <w:r>
        <w:t xml:space="preserve">structure sits between two established extremes. Flux balance analysis (FBA)</w:t>
      </w:r>
      <w:r>
        <w:t xml:space="preserve"> </w:t>
      </w:r>
      <w:r>
        <w:t xml:space="preserve">predicts steady-state fluxes from stoichiometry and an optimality principle with</w:t>
      </w:r>
      <w:r>
        <w:t xml:space="preserve"> </w:t>
      </w:r>
      <w:r>
        <w:t xml:space="preserve">no kinetic parameters, but is static </w:t>
      </w:r>
      <w:r>
        <w:t xml:space="preserve">[1,2]</w:t>
      </w:r>
      <w:r>
        <w:t xml:space="preserve">.</w:t>
      </w:r>
      <w:r>
        <w:t xml:space="preserve"> </w:t>
      </w:r>
      <w:r>
        <w:t xml:space="preserve">Mechanistic kinetic models capture dynamics but require many poorly identifiable</w:t>
      </w:r>
      <w:r>
        <w:t xml:space="preserve"> </w:t>
      </w:r>
      <w:r>
        <w:t xml:space="preserve">parameters </w:t>
      </w:r>
      <w:r>
        <w:t xml:space="preserve">[3]</w:t>
      </w:r>
      <w:r>
        <w:t xml:space="preserve">. A range of approximate frameworks — dynamic</w:t>
      </w:r>
      <w:r>
        <w:t xml:space="preserve"> </w:t>
      </w:r>
      <w:r>
        <w:t xml:space="preserve">FBA </w:t>
      </w:r>
      <w:r>
        <w:t xml:space="preserve">[4]</w:t>
      </w:r>
      <w:r>
        <w:t xml:space="preserve">, lin-log kinetics </w:t>
      </w:r>
      <w:r>
        <w:t xml:space="preserve">[5,6]</w:t>
      </w:r>
      <w:r>
        <w:t xml:space="preserve">, and ensemble methods </w:t>
      </w:r>
      <w:r>
        <w:t xml:space="preserve">[7,8]</w:t>
      </w:r>
      <w:r>
        <w:t xml:space="preserve"> </w:t>
      </w:r>
      <w:r>
        <w:t xml:space="preserve">— occupy the middle ground.</w:t>
      </w:r>
    </w:p>
    <w:p>
      <w:pPr>
        <w:pStyle w:val="BodyText"/>
      </w:pPr>
      <w:r>
        <w:t xml:space="preserve">Xiao, Li and Doyle proposed another middle-ground</w:t>
      </w:r>
      <w:r>
        <w:t xml:space="preserve"> </w:t>
      </w:r>
      <w:r>
        <w:t xml:space="preserve">approach </w:t>
      </w:r>
      <w:r>
        <w:t xml:space="preserve">[9,10]</w:t>
      </w:r>
      <w:r>
        <w:t xml:space="preserve">. In a power-law kinetic description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reaction orders</w:t>
      </w:r>
      <w:r>
        <w:t xml:space="preserve"> </w:t>
      </w:r>
      <w:r>
        <w:t xml:space="preserve">(the exponents on concentrations) are not free:</w:t>
      </w:r>
      <w:r>
        <w:t xml:space="preserve"> </w:t>
      </w:r>
      <w:r>
        <w:t xml:space="preserve">binding stoichiometry constrains them to a polyhedron, the</w:t>
      </w:r>
      <w:r>
        <w:t xml:space="preserve"> </w:t>
      </w:r>
      <w:r>
        <w:rPr>
          <w:i/>
          <w:iCs/>
        </w:rPr>
        <w:t xml:space="preserve">reaction order</w:t>
      </w:r>
      <w:r>
        <w:rPr>
          <w:i/>
          <w:iCs/>
        </w:rPr>
        <w:t xml:space="preserve"> </w:t>
      </w:r>
      <w:r>
        <w:rPr>
          <w:i/>
          <w:iCs/>
        </w:rPr>
        <w:t xml:space="preserve">polyhedron</w:t>
      </w:r>
      <w:r>
        <w:t xml:space="preserve"> </w:t>
      </w:r>
      <w:r>
        <w:t xml:space="preserve">(ROP), whose continuous analogue is the log-derivative of the rate.</w:t>
      </w:r>
      <w:r>
        <w:t xml:space="preserve"> </w:t>
      </w:r>
      <w:r>
        <w:rPr>
          <w:i/>
          <w:iCs/>
        </w:rPr>
        <w:t xml:space="preserve">Flux exponent control</w:t>
      </w:r>
      <w:r>
        <w:t xml:space="preserve"> </w:t>
      </w:r>
      <w:r>
        <w:t xml:space="preserve">(FEC) posits that cells regulate flux exponents and</w:t>
      </w:r>
      <w:r>
        <w:t xml:space="preserve"> </w:t>
      </w:r>
      <w:r>
        <w:t xml:space="preserve">that dynamic regulation solves an optimal-control problem over the ROP, tractable</w:t>
      </w:r>
      <w:r>
        <w:t xml:space="preserve"> </w:t>
      </w:r>
      <w:r>
        <w:t xml:space="preserve">by model predictive control (MPC) </w:t>
      </w:r>
      <w:r>
        <w:t xml:space="preserve">[11]</w:t>
      </w:r>
      <w:r>
        <w:t xml:space="preserve">. Because the admissible</w:t>
      </w:r>
      <w:r>
        <w:t xml:space="preserve"> </w:t>
      </w:r>
      <w:r>
        <w:t xml:space="preserve">exponents come from structure, FEC predicts dynamics — glycolytic oscillations</w:t>
      </w:r>
      <w:r>
        <w:t xml:space="preserve"> </w:t>
      </w:r>
      <w:r>
        <w:t xml:space="preserve">being the motivating example — without full parameter identification.</w:t>
      </w:r>
    </w:p>
    <w:p>
      <w:pPr>
        <w:pStyle w:val="BodyText"/>
      </w:pPr>
      <w:r>
        <w:t xml:space="preserve">To be used and built upon, this framework needs an open, tested implementation,</w:t>
      </w:r>
      <w:r>
        <w:t xml:space="preserve"> </w:t>
      </w:r>
      <w:r>
        <w:t xml:space="preserve">and an honest account of where its structural prior actually helps. We provide</w:t>
      </w:r>
      <w:r>
        <w:t xml:space="preserve"> </w:t>
      </w:r>
      <w:r>
        <w:t xml:space="preserve">both, while being deliberately conservative about novelty: the ideas (ROP, FEC,</w:t>
      </w:r>
      <w:r>
        <w:t xml:space="preserve"> </w:t>
      </w:r>
      <w:r>
        <w:t xml:space="preserve">the log-derivative structure) are Xiao et al.’s. Our contributions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reproducible reference implementation</w:t>
      </w:r>
      <w:r>
        <w:t xml:space="preserve"> </w:t>
      </w:r>
      <w:r>
        <w:t xml:space="preserve">(§</w:t>
      </w:r>
      <w:r>
        <w:t xml:space="preserve">) of ROP construction and ROP-constrained FEC</w:t>
      </w:r>
      <w:r>
        <w:t xml:space="preserve"> </w:t>
      </w:r>
      <w:r>
        <w:t xml:space="preserve">(CasADi/IPOPT </w:t>
      </w:r>
      <w:r>
        <w:t xml:space="preserve">[12,13]</w:t>
      </w:r>
      <w:r>
        <w:t xml:space="preserve">), with interval/robust</w:t>
      </w:r>
      <w:r>
        <w:t xml:space="preserve"> </w:t>
      </w:r>
      <w:r>
        <w:t xml:space="preserve">and multicellular extensions and a modular closed-loop integration, validated</w:t>
      </w:r>
      <w:r>
        <w:t xml:space="preserve"> </w:t>
      </w:r>
      <w:r>
        <w:t xml:space="preserve">in-silico (§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MCA-elasticity identity</w:t>
      </w:r>
      <w:r>
        <w:t xml:space="preserve"> </w:t>
      </w:r>
      <w:r>
        <w:t xml:space="preserve">(§</w:t>
      </w:r>
      <w:r>
        <w:t xml:space="preserve">): FEC’s</w:t>
      </w:r>
      <w:r>
        <w:t xml:space="preserve"> </w:t>
      </w:r>
      <w:r>
        <w:t xml:space="preserve">controlled exponents are metabolic-control-analysis elasticities, a connection</w:t>
      </w:r>
      <w:r>
        <w:t xml:space="preserve"> </w:t>
      </w:r>
      <w:r>
        <w:t xml:space="preserve">that grounds the framework and that, to our knowledge, the FEC literature does</w:t>
      </w:r>
      <w:r>
        <w:t xml:space="preserve"> </w:t>
      </w:r>
      <w:r>
        <w:t xml:space="preserve">not make explicit.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honest negative result</w:t>
      </w:r>
      <w:r>
        <w:t xml:space="preserve"> </w:t>
      </w:r>
      <w:r>
        <w:t xml:space="preserve">(§</w:t>
      </w:r>
      <w:r>
        <w:t xml:space="preserve">):</w:t>
      </w:r>
      <w:r>
        <w:t xml:space="preserve"> </w:t>
      </w:r>
      <w:r>
        <w:t xml:space="preserve">the binding-derived ROP does not improve data-driven order estimation, which</w:t>
      </w:r>
      <w:r>
        <w:t xml:space="preserve"> </w:t>
      </w:r>
      <w:r>
        <w:t xml:space="preserve">sharpens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framework adds value (control, not identification).</w:t>
      </w:r>
    </w:p>
    <w:bookmarkEnd w:id="11"/>
    <w:bookmarkStart w:id="16" w:name="sec: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We restate the constructs we implement, following </w:t>
      </w:r>
      <w:r>
        <w:t xml:space="preserve">[9]</w:t>
      </w:r>
      <w:r>
        <w:t xml:space="preserve"> </w:t>
      </w:r>
      <w:r>
        <w:t xml:space="preserve">and</w:t>
      </w:r>
      <w:r>
        <w:t xml:space="preserve"> </w:t>
      </w:r>
      <w:r>
        <w:t xml:space="preserve">[10]</w:t>
      </w:r>
      <w:r>
        <w:t xml:space="preserve">, to fix notation.</w:t>
      </w:r>
    </w:p>
    <w:bookmarkStart w:id="12" w:name="power-law-kinetics-on-a-crn."/>
    <w:p>
      <w:pPr>
        <w:pStyle w:val="Heading4"/>
      </w:pPr>
      <w:r>
        <w:t xml:space="preserve">Power-law kinetics on a CRN.</w:t>
      </w:r>
    </w:p>
    <w:p>
      <w:pPr>
        <w:pStyle w:val="FirstParagraph"/>
      </w:pPr>
      <w:r>
        <w:t xml:space="preserve">For a chemical reaction network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species, concentrations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n</m:t>
            </m:r>
          </m:sup>
        </m:sSubSup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reactions with stoichiometric</w:t>
      </w:r>
      <w:r>
        <w:t xml:space="preserve"> </w:t>
      </w:r>
      <w:r>
        <w:t xml:space="preserve">matrix</w:t>
      </w:r>
      <w:r>
        <w:t xml:space="preserve"> </w:t>
      </w:r>
      <m:oMath>
        <m:r>
          <m:t>N</m:t>
        </m:r>
      </m:oMath>
      <w:r>
        <w:t xml:space="preserve">, and power-law rates </w:t>
      </w:r>
      <w:r>
        <w:t xml:space="preserve">[14,15]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2"/>
    <w:bookmarkStart w:id="13" w:name="reaction-order-polyhedron-rop."/>
    <w:p>
      <w:pPr>
        <w:pStyle w:val="Heading4"/>
      </w:pPr>
      <w:r>
        <w:t xml:space="preserve">Reaction order polyhedron (ROP).</w:t>
      </w:r>
    </w:p>
    <w:p>
      <w:pPr>
        <w:pStyle w:val="FirstParagraph"/>
      </w:pPr>
      <w:r>
        <w:t xml:space="preserve">Binding stoichiometry and</w:t>
      </w:r>
      <w:r>
        <w:t xml:space="preserve"> </w:t>
      </w:r>
      <w:r>
        <w:t xml:space="preserve">physical bounds constrain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 a polyhedron </w:t>
      </w:r>
      <w:r>
        <w:t xml:space="preserve">[10]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P</m:t>
          </m:r>
          <m:r>
            <m:rPr>
              <m:sty m:val="p"/>
            </m:rPr>
            <m:t>≜</m:t>
          </m:r>
          <m:r>
            <m:rPr>
              <m:sty m:val="p"/>
            </m:rPr>
            <m:t>{</m:t>
          </m:r>
          <m:r>
            <m:t>α</m:t>
          </m:r>
          <m:r>
            <m:t> </m:t>
          </m:r>
          <m:d>
            <m:dPr>
              <m:begChr m:val="|"/>
              <m:sepChr m:val=""/>
              <m:endChr m:val="}"/>
              <m:grow/>
            </m:dPr>
            <m:e>
              <m:r>
                <m:t> </m:t>
              </m:r>
              <m:r>
                <m:t>A</m:t>
              </m:r>
              <m:r>
                <m:t> 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α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≜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3"/>
    <w:bookmarkStart w:id="14" w:name="flux-exponent-control-fec."/>
    <w:p>
      <w:pPr>
        <w:pStyle w:val="Heading4"/>
      </w:pPr>
      <w:r>
        <w:t xml:space="preserve">Flux exponent control (FEC).</w:t>
      </w:r>
    </w:p>
    <w:p>
      <w:pPr>
        <w:pStyle w:val="FirstParagraph"/>
      </w:pPr>
      <w:r>
        <w:t xml:space="preserve">Dynamic regulation is cast as control of</w:t>
      </w:r>
      <w:r>
        <w:t xml:space="preserve"> </w:t>
      </w:r>
      <w:r>
        <w:t xml:space="preserve">the exponents subject to the ROP 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&amp;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ℓ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  <m:r>
                <m:t> </m:t>
              </m:r>
              <m:r>
                <m:rPr>
                  <m:nor/>
                  <m:sty m:val="p"/>
                </m:rPr>
                <m:t>s.t.</m:t>
              </m:r>
              <m:r>
                <m:t> 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 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sec:mca"/>
    <w:p>
      <w:pPr>
        <w:pStyle w:val="Heading2"/>
      </w:pPr>
      <w:r>
        <w:t xml:space="preserve">Reaction orders are metabolic-control-analysis elasticities</w:t>
      </w:r>
    </w:p>
    <w:p>
      <w:pPr>
        <w:pStyle w:val="FirstParagraph"/>
      </w:pPr>
      <w:r>
        <w:t xml:space="preserve">A connection worth making explicit: the log-derivative </w:t>
      </w:r>
      <w:r>
        <w:t xml:space="preserve"> </w:t>
      </w:r>
      <w:r>
        <w:t xml:space="preserve">that FEC</w:t>
      </w:r>
      <w:r>
        <w:t xml:space="preserve"> </w:t>
      </w:r>
      <w:r>
        <w:t xml:space="preserve">controls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elasticity coefficient of metabolic control analysis (MCA).</w:t>
      </w:r>
      <w:r>
        <w:t xml:space="preserve"> </w:t>
      </w:r>
      <w:r>
        <w:t xml:space="preserve">MCA defines the elasticity of a rate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a metabolite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the scaled</w:t>
      </w:r>
      <w:r>
        <w:t xml:space="preserve"> </w:t>
      </w:r>
      <w:r>
        <w:t xml:space="preserve">derivative</w:t>
      </w:r>
      <w:r>
        <w:t xml:space="preserve"> </w:t>
      </w:r>
      <m:oMath>
        <m:sSubSup>
          <m:e>
            <m:r>
              <m:t>ε</m:t>
            </m:r>
          </m:e>
          <m:sub>
            <m:r>
              <m:t>x</m:t>
            </m:r>
          </m:sub>
          <m:sup>
            <m:r>
              <m:t>v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x</m:t>
        </m:r>
      </m:oMath>
      <w:r>
        <w:t xml:space="preserve"> </w:t>
      </w:r>
      <w:r>
        <w:t xml:space="preserve">[16–18]</w:t>
      </w:r>
      <w:r>
        <w:t xml:space="preserve">.</w:t>
      </w:r>
      <w:r>
        <w:t xml:space="preserve"> </w:t>
      </w:r>
      <w:r>
        <w:t xml:space="preserve">Comparing with </w:t>
      </w:r>
      <w:r>
        <w:t xml:space="preserve">, the FEC exponent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is exactly the</w:t>
      </w:r>
      <w:r>
        <w:t xml:space="preserve"> </w:t>
      </w:r>
      <w:r>
        <w:t xml:space="preserve">elasticity</w:t>
      </w:r>
      <w:r>
        <w:t xml:space="preserve"> </w:t>
      </w:r>
      <m:oMath>
        <m:sSubSup>
          <m:e>
            <m:r>
              <m:t>ε</m:t>
            </m:r>
          </m:e>
          <m: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b>
          <m:sup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sup>
        </m:sSubSup>
      </m:oMath>
      <w:r>
        <w:t xml:space="preserve">. FEC thus inherits MCA’s local-sensitivity</w:t>
      </w:r>
      <w:r>
        <w:t xml:space="preserve"> </w:t>
      </w:r>
      <w:r>
        <w:t xml:space="preserve">interpretation — each exponent is the fractional change in flux per fractional</w:t>
      </w:r>
      <w:r>
        <w:t xml:space="preserve"> </w:t>
      </w:r>
      <w:r>
        <w:t xml:space="preserve">change in a metabolite at the operating point — and the assumption that the</w:t>
      </w:r>
      <w:r>
        <w:t xml:space="preserve"> </w:t>
      </w:r>
      <w:r>
        <w:t xml:space="preserve">exponent is approximately constant over a regime is the standard local</w:t>
      </w:r>
      <w:r>
        <w:t xml:space="preserve"> </w:t>
      </w:r>
      <w:r>
        <w:t xml:space="preserve">(lin-log / power-law) approximation </w:t>
      </w:r>
      <w:r>
        <w:t xml:space="preserve">[5,6]</w:t>
      </w:r>
      <w:r>
        <w:t xml:space="preserve">.</w:t>
      </w:r>
      <w:r>
        <w:t xml:space="preserve"> </w:t>
      </w:r>
      <w:r>
        <w:t xml:space="preserve">We are careful with MCA vocabulary: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elasticity</w:t>
      </w:r>
      <w:r>
        <w:t xml:space="preserve"> </w:t>
      </w:r>
      <w:r>
        <w:t xml:space="preserve">(a local,</w:t>
      </w:r>
      <w:r>
        <w:t xml:space="preserve"> </w:t>
      </w:r>
      <w:r>
        <w:t xml:space="preserve">single-reaction property), not a systemic flux-control coefficient. This identity</w:t>
      </w:r>
      <w:r>
        <w:t xml:space="preserve"> </w:t>
      </w:r>
      <w:r>
        <w:t xml:space="preserve">is not new to MCA; making it the basis of FEC’s control variable is the small</w:t>
      </w:r>
      <w:r>
        <w:t xml:space="preserve"> </w:t>
      </w:r>
      <w:r>
        <w:t xml:space="preserve">clarifying point.</w:t>
      </w:r>
    </w:p>
    <w:bookmarkEnd w:id="15"/>
    <w:bookmarkEnd w:id="16"/>
    <w:bookmarkStart w:id="27" w:name="sec:methods"/>
    <w:p>
      <w:pPr>
        <w:pStyle w:val="Heading1"/>
      </w:pPr>
      <w:r>
        <w:t xml:space="preserve">Methods: the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 </w:t>
      </w:r>
      <w:r>
        <w:t xml:space="preserve">implementation</w:t>
      </w:r>
    </w:p>
    <w:p>
      <w:pPr>
        <w:pStyle w:val="FirstParagraph"/>
      </w:pPr>
      <w:r>
        <w:rPr>
          <w:rStyle w:val="VerbatimChar"/>
        </w:rPr>
        <w:t xml:space="preserve">ropfec</w:t>
      </w:r>
      <w:r>
        <w:t xml:space="preserve"> </w:t>
      </w:r>
      <w:r>
        <w:t xml:space="preserve">is a small Python package (NumPy/SciPy/CasADi) around the</w:t>
      </w:r>
      <w:r>
        <w:t xml:space="preserve"> </w:t>
      </w:r>
      <w:r>
        <w:t xml:space="preserve">constructs of §</w:t>
      </w:r>
      <w:r>
        <w:t xml:space="preserve">; Figure </w:t>
      </w:r>
      <w:r>
        <w:t xml:space="preserve"> </w:t>
      </w:r>
      <w:r>
        <w:t xml:space="preserve">shows the closed-loop</w:t>
      </w:r>
      <w:r>
        <w:t xml:space="preserve"> </w:t>
      </w:r>
      <w:r>
        <w:t xml:space="preserve">architecture.</w:t>
      </w:r>
    </w:p>
    <w:bookmarkStart w:id="20" w:name="fig:arch"/>
    <w:p>
      <w:pPr>
        <w:pStyle w:val="CaptionedFigure"/>
      </w:pPr>
      <w:r>
        <w:drawing>
          <wp:inline>
            <wp:extent cx="5334000" cy="139872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s/ropfec_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8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Closed-loop architecture implemented by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. The ROP is</w:t>
      </w:r>
      <w:r>
        <w:t xml:space="preserve"> </w:t>
      </w:r>
      <w:r>
        <w:t xml:space="preserve">built once from binding stoichiometry and data and supplies hard constraints to</w:t>
      </w:r>
      <w:r>
        <w:t xml:space="preserve"> </w:t>
      </w:r>
      <w:r>
        <w:t xml:space="preserve">the FEC optimal-control problem and the governance check. The estimation,</w:t>
      </w:r>
      <w:r>
        <w:t xml:space="preserve"> </w:t>
      </w:r>
      <w:r>
        <w:t xml:space="preserve">robustness, governance and workflow blocks are reference implementations</w:t>
      </w:r>
      <w:r>
        <w:t xml:space="preserve"> </w:t>
      </w:r>
      <w:r>
        <w:t xml:space="preserve">(§</w:t>
      </w:r>
      <w:r>
        <w:t xml:space="preserve">).</w:t>
      </w:r>
    </w:p>
    <w:bookmarkEnd w:id="20"/>
    <w:bookmarkStart w:id="21" w:name="sec:fec"/>
    <w:p>
      <w:pPr>
        <w:pStyle w:val="Heading2"/>
      </w:pPr>
      <w:r>
        <w:t xml:space="preserve">ROP construction and FEC solver</w:t>
      </w:r>
    </w:p>
    <w:p>
      <w:pPr>
        <w:pStyle w:val="FirstParagraph"/>
      </w:pPr>
      <w:r>
        <w:rPr>
          <w:rStyle w:val="VerbatimChar"/>
        </w:rPr>
        <w:t xml:space="preserve">rop_polyhedron.py</w:t>
      </w:r>
      <w:r>
        <w:t xml:space="preserve"> </w:t>
      </w:r>
      <w:r>
        <w:t xml:space="preserve">builds the H-representation </w:t>
      </w:r>
      <w:r>
        <w:t xml:space="preserve"> </w:t>
      </w:r>
      <w:r>
        <w:t xml:space="preserve">from</w:t>
      </w:r>
      <w:r>
        <w:t xml:space="preserve"> </w:t>
      </w:r>
      <w:r>
        <w:t xml:space="preserve">binding stoichiometry (optionally augmented with data-driven bounds from</w:t>
      </w:r>
      <w:r>
        <w:t xml:space="preserve"> </w:t>
      </w:r>
      <w:r>
        <w:t xml:space="preserve">log-linear regression of measured rates against log-concentrations) and exposes</w:t>
      </w:r>
      <w:r>
        <w:t xml:space="preserve"> </w:t>
      </w:r>
      <w:r>
        <w:t xml:space="preserve">feasibility, Euclidean projection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</m:oMath>
      <w:r>
        <w:t xml:space="preserve">, and the log-derivative matrix.</w:t>
      </w:r>
      <w:r>
        <w:t xml:space="preserve"> </w:t>
      </w:r>
      <w:r>
        <w:rPr>
          <w:rStyle w:val="VerbatimChar"/>
        </w:rPr>
        <w:t xml:space="preserve">fec_solver.py</w:t>
      </w:r>
      <w:r>
        <w:t xml:space="preserve"> </w:t>
      </w:r>
      <w:r>
        <w:t xml:space="preserve">transcribes problem </w:t>
      </w:r>
      <w:r>
        <w:t xml:space="preserve"> </w:t>
      </w:r>
      <w:r>
        <w:t xml:space="preserve">into an NLP: the</w:t>
      </w:r>
      <w:r>
        <w:t xml:space="preserve"> </w:t>
      </w:r>
      <w:r>
        <w:t xml:space="preserve">dynamics are integrated over a horizon, the ROP membership is imposed as the</w:t>
      </w:r>
      <w:r>
        <w:t xml:space="preserve"> </w:t>
      </w:r>
      <w:r>
        <w:t xml:space="preserve">linear constraint</w:t>
      </w:r>
      <w:r>
        <w:t xml:space="preserve"> </w:t>
      </w:r>
      <m:oMath>
        <m:r>
          <m:t>A</m:t>
        </m:r>
        <m:r>
          <m:t>α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directly in the solver, and the objective tracks</w:t>
      </w:r>
      <w:r>
        <w:t xml:space="preserve"> </w:t>
      </w:r>
      <w:r>
        <w:t xml:space="preserve">a reference flux. The NLP is built with CasADi 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w:r>
        <w:t xml:space="preserve">solved with IPOPT </w:t>
      </w:r>
      <w:r>
        <w:t xml:space="preserve">[13]</w:t>
      </w:r>
      <w:r>
        <w:t xml:space="preserve">; a projection fallback is used when</w:t>
      </w:r>
      <w:r>
        <w:t xml:space="preserve"> </w:t>
      </w:r>
      <w:r>
        <w:t xml:space="preserve">CasADi/IPOPT are unavailable.</w:t>
      </w:r>
    </w:p>
    <w:bookmarkEnd w:id="21"/>
    <w:bookmarkStart w:id="22" w:name="sec:robust"/>
    <w:p>
      <w:pPr>
        <w:pStyle w:val="Heading2"/>
      </w:pPr>
      <w:r>
        <w:t xml:space="preserve">Interval/robust and multicellular extensions</w:t>
      </w:r>
    </w:p>
    <w:p>
      <w:pPr>
        <w:pStyle w:val="FirstParagraph"/>
      </w:pPr>
      <w:r>
        <w:rPr>
          <w:rStyle w:val="VerbatimChar"/>
        </w:rPr>
        <w:t xml:space="preserve">robust_extension.py</w:t>
      </w:r>
      <w:r>
        <w:t xml:space="preserve"> </w:t>
      </w:r>
      <w:r>
        <w:t xml:space="preserve">implements an interval ROP and a sampled</w:t>
      </w:r>
      <w:r>
        <w:t xml:space="preserve"> </w:t>
      </w:r>
      <w:r>
        <w:t xml:space="preserve">scenario (min–max) robust FEC over a digital-twin uncertainty set, using</w:t>
      </w:r>
      <w:r>
        <w:t xml:space="preserve"> </w:t>
      </w:r>
      <w:r>
        <w:t xml:space="preserve">standard robust/scenario MPC machinery </w:t>
      </w:r>
      <w:r>
        <w:t xml:space="preserve">[19–24]</w:t>
      </w:r>
      <w:r>
        <w:t xml:space="preserve">;</w:t>
      </w:r>
      <w:r>
        <w:t xml:space="preserve"> </w:t>
      </w:r>
      <w:r>
        <w:rPr>
          <w:rStyle w:val="VerbatimChar"/>
        </w:rPr>
        <w:t xml:space="preserve">multicell_agent.py</w:t>
      </w:r>
      <w:r>
        <w:t xml:space="preserve"> </w:t>
      </w:r>
      <w:r>
        <w:t xml:space="preserve">scales the loop to a consortium coupled by a quorum</w:t>
      </w:r>
      <w:r>
        <w:t xml:space="preserve"> </w:t>
      </w:r>
      <w:r>
        <w:t xml:space="preserve">signal with a population-level resource policy.</w:t>
      </w:r>
    </w:p>
    <w:bookmarkEnd w:id="22"/>
    <w:bookmarkStart w:id="23" w:name="sec:orderuq"/>
    <w:p>
      <w:pPr>
        <w:pStyle w:val="Heading2"/>
      </w:pPr>
      <w:r>
        <w:t xml:space="preserve">Data-driven order-uncertainty sets</w:t>
      </w:r>
    </w:p>
    <w:p>
      <w:pPr>
        <w:pStyle w:val="FirstParagraph"/>
      </w:pPr>
      <w:r>
        <w:rPr>
          <w:rStyle w:val="VerbatimChar"/>
        </w:rPr>
        <w:t xml:space="preserve">order_uncertainty.py</w:t>
      </w:r>
      <w:r>
        <w:t xml:space="preserve"> </w:t>
      </w:r>
      <w:r>
        <w:t xml:space="preserve">builds, from noisy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data, a bounded-error</w:t>
      </w:r>
      <w:r>
        <w:t xml:space="preserve"> </w:t>
      </w:r>
      <w:r>
        <w:t xml:space="preserve">set over the orders: under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log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α</m:t>
        </m:r>
        <m:r>
          <m:t>​</m:t>
        </m:r>
        <m:r>
          <m:rPr>
            <m:sty m:val="p"/>
          </m:rPr>
          <m:t>⋅</m:t>
        </m:r>
        <m:r>
          <m:t>​</m:t>
        </m:r>
        <m:r>
          <m:rPr>
            <m:sty m:val="p"/>
          </m:rPr>
          <m:t>log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ϵ</m:t>
        </m:r>
      </m:oMath>
      <w:r>
        <w:t xml:space="preserve"> </w:t>
      </w:r>
      <w:r>
        <w:t xml:space="preserve">the data-consistent parameters form a polytope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t>θ</m:t>
        </m:r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]</m:t>
        </m:r>
      </m:oMath>
      <w:r>
        <w:t xml:space="preserve">. We can intersect this with</w:t>
      </w:r>
      <w:r>
        <w:t xml:space="preserve"> </w:t>
      </w:r>
      <w:r>
        <w:t xml:space="preserve">the binding-derived ROP, take the axis-aligned bounding box, and measure the</w:t>
      </w:r>
      <w:r>
        <w:t xml:space="preserve"> </w:t>
      </w:r>
      <w:r>
        <w:t xml:space="preserve">worst-case spread of any linear functional (e.g. the predicted log-flux</w:t>
      </w:r>
      <w:r>
        <w:t xml:space="preserve"> </w:t>
      </w:r>
      <m:oMath>
        <m:r>
          <m:t>α</m:t>
        </m:r>
        <m:r>
          <m:t>​</m:t>
        </m:r>
        <m:r>
          <m:rPr>
            <m:sty m:val="p"/>
          </m:rPr>
          <m:t>⋅</m:t>
        </m:r>
        <m:r>
          <m:t>​</m:t>
        </m:r>
        <m:r>
          <m:rPr>
            <m:sty m:val="p"/>
          </m:rPr>
          <m:t>log</m:t>
        </m:r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log</m:t>
        </m:r>
        <m:r>
          <m:t>k</m:t>
        </m:r>
      </m:oMath>
      <w:r>
        <w:t xml:space="preserve">). This machinery supports the analysis in</w:t>
      </w:r>
      <w:r>
        <w:t xml:space="preserve"> </w:t>
      </w:r>
      <w:r>
        <w:t xml:space="preserve">§</w:t>
      </w:r>
      <w:r>
        <w:t xml:space="preserve">.</w:t>
      </w:r>
    </w:p>
    <w:bookmarkEnd w:id="23"/>
    <w:bookmarkStart w:id="24" w:name="sec:integration"/>
    <w:p>
      <w:pPr>
        <w:pStyle w:val="Heading2"/>
      </w:pPr>
      <w:r>
        <w:t xml:space="preserve">Closed-loop integration and its honest scope</w:t>
      </w:r>
    </w:p>
    <w:p>
      <w:pPr>
        <w:pStyle w:val="FirstParagraph"/>
      </w:pPr>
      <w:r>
        <w:t xml:space="preserve">The blocks around the FEC solver in Figure </w:t>
      </w:r>
      <w:r>
        <w:t xml:space="preserve"> </w:t>
      </w:r>
      <w:r>
        <w:t xml:space="preserve">(estimation,</w:t>
      </w:r>
      <w:r>
        <w:t xml:space="preserve"> </w:t>
      </w:r>
      <w:r>
        <w:t xml:space="preserve">Monte-Carlo robustness, governance, durable workflow) are accessed through narrow</w:t>
      </w:r>
      <w:r>
        <w:t xml:space="preserve"> </w:t>
      </w:r>
      <w:r>
        <w:t xml:space="preserve">interfaces, with</w:t>
      </w:r>
      <w:r>
        <w:t xml:space="preserve"> </w:t>
      </w:r>
      <w:r>
        <w:rPr>
          <w:i/>
          <w:iCs/>
        </w:rPr>
        <w:t xml:space="preserve">reference implementations</w:t>
      </w:r>
      <w:r>
        <w:t xml:space="preserve"> </w:t>
      </w:r>
      <w:r>
        <w:t xml:space="preserve">shipped so the loop runs and</w:t>
      </w:r>
      <w:r>
        <w:t xml:space="preserve"> </w:t>
      </w:r>
      <w:r>
        <w:t xml:space="preserve">tests end to end.</w:t>
      </w:r>
      <w:r>
        <w:t xml:space="preserve"> </w:t>
      </w:r>
      <w:r>
        <w:rPr>
          <w:b/>
          <w:bCs/>
        </w:rPr>
        <w:t xml:space="preserve">The results in this paper use these 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components, not a production platform</w:t>
      </w:r>
      <w:r>
        <w:t xml:space="preserve">; the interface design lets each be replaced</w:t>
      </w:r>
      <w:r>
        <w:t xml:space="preserve"> </w:t>
      </w:r>
      <w:r>
        <w:t xml:space="preserve">without changing the FEC core.</w:t>
      </w:r>
    </w:p>
    <w:bookmarkEnd w:id="24"/>
    <w:bookmarkStart w:id="25" w:name="sec:casestudy"/>
    <w:p>
      <w:pPr>
        <w:pStyle w:val="Heading2"/>
      </w:pPr>
      <w:r>
        <w:t xml:space="preserve">Case-study models</w:t>
      </w:r>
    </w:p>
    <w:p>
      <w:pPr>
        <w:pStyle w:val="FirstParagraph"/>
      </w:pPr>
      <w:r>
        <w:t xml:space="preserve">To exercise the implementation beyond a single toy, we provide validated</w:t>
      </w:r>
      <w:r>
        <w:t xml:space="preserve"> </w:t>
      </w:r>
      <w:r>
        <w:t xml:space="preserve">re-implementations of two published glycolytic-oscillator models: the</w:t>
      </w:r>
      <w:r>
        <w:t xml:space="preserve"> </w:t>
      </w:r>
      <w:r>
        <w:t xml:space="preserve">two-variable Sel’kov model </w:t>
      </w:r>
      <w:r>
        <w:t xml:space="preserve">[25]</w:t>
      </w:r>
      <w:r>
        <w:t xml:space="preserve"> </w:t>
      </w:r>
      <w:r>
        <w:t xml:space="preserve">and the single-cell core of the</w:t>
      </w:r>
      <w:r>
        <w:t xml:space="preserve"> </w:t>
      </w:r>
      <w:r>
        <w:t xml:space="preserve">Wolf–Heinrich yeast model </w:t>
      </w:r>
      <w:r>
        <w:t xml:space="preserve">[26]</w:t>
      </w:r>
      <w:r>
        <w:t xml:space="preserve">. Both are pure NumPy/SciPy and ship</w:t>
      </w:r>
      <w:r>
        <w:t xml:space="preserve"> </w:t>
      </w:r>
      <w:r>
        <w:t xml:space="preserve">with tests asserting the known limit-cycle behaviour; the larger Chassagnole</w:t>
      </w:r>
      <w:r>
        <w:t xml:space="preserve"> </w:t>
      </w:r>
      <w:r>
        <w:rPr>
          <w:i/>
          <w:iCs/>
        </w:rPr>
        <w:t xml:space="preserve">E. coli</w:t>
      </w:r>
      <w:r>
        <w:t xml:space="preserve"> </w:t>
      </w:r>
      <w:r>
        <w:t xml:space="preserve">model </w:t>
      </w:r>
      <w:r>
        <w:t xml:space="preserve">[27]</w:t>
      </w:r>
      <w:r>
        <w:t xml:space="preserve"> </w:t>
      </w:r>
      <w:r>
        <w:t xml:space="preserve">is noted as a scalability target</w:t>
      </w:r>
      <w:r>
        <w:t xml:space="preserve"> </w:t>
      </w:r>
      <w:r>
        <w:t xml:space="preserve">for future work.</w:t>
      </w:r>
    </w:p>
    <w:bookmarkEnd w:id="25"/>
    <w:bookmarkStart w:id="26" w:name="sec:repro"/>
    <w:p>
      <w:pPr>
        <w:pStyle w:val="Heading2"/>
      </w:pPr>
      <w:r>
        <w:t xml:space="preserve">Software, tests and reproducibility</w:t>
      </w:r>
    </w:p>
    <w:p>
      <w:pPr>
        <w:pStyle w:val="FirstParagraph"/>
      </w:pPr>
      <w:r>
        <w:rPr>
          <w:rStyle w:val="VerbatimChar"/>
        </w:rPr>
        <w:t xml:space="preserve">ropfec</w:t>
      </w:r>
      <w:r>
        <w:t xml:space="preserve"> </w:t>
      </w:r>
      <w:r>
        <w:t xml:space="preserve">runs on Python 3.9 with NumPy/SciPy/CasADi/Matplotlib; randomised</w:t>
      </w:r>
      <w:r>
        <w:t xml:space="preserve"> </w:t>
      </w:r>
      <w:r>
        <w:t xml:space="preserve">components use fixed seeds. A suite of 44 automated tests (33 engine + 11</w:t>
      </w:r>
      <w:r>
        <w:t xml:space="preserve"> </w:t>
      </w:r>
      <w:r>
        <w:t xml:space="preserve">case-study) covers ROP construction/projection, the FEC solver (CasADi path and</w:t>
      </w:r>
      <w:r>
        <w:t xml:space="preserve"> </w:t>
      </w:r>
      <w:r>
        <w:t xml:space="preserve">fallback), the robust and multicellular extensions, the order-uncertainty</w:t>
      </w:r>
      <w:r>
        <w:t xml:space="preserve"> </w:t>
      </w:r>
      <w:r>
        <w:t xml:space="preserve">machinery, the FBA/MM benchmark, numerical stability, the end-to-end loop</w:t>
      </w:r>
      <w:r>
        <w:t xml:space="preserve"> </w:t>
      </w:r>
      <w:r>
        <w:t xml:space="preserve">invariants, and the case-study oscillations. A single command reruns the tests</w:t>
      </w:r>
      <w:r>
        <w:t xml:space="preserve"> </w:t>
      </w:r>
      <w:r>
        <w:t xml:space="preserve">and regenerates every figure and number reported below.</w:t>
      </w:r>
    </w:p>
    <w:bookmarkEnd w:id="26"/>
    <w:bookmarkEnd w:id="27"/>
    <w:bookmarkStart w:id="45" w:name="sec:results"/>
    <w:p>
      <w:pPr>
        <w:pStyle w:val="Heading1"/>
      </w:pPr>
      <w:r>
        <w:t xml:space="preserve">Results</w:t>
      </w:r>
    </w:p>
    <w:bookmarkStart w:id="33" w:name="sec:toy"/>
    <w:p>
      <w:pPr>
        <w:pStyle w:val="Heading2"/>
      </w:pPr>
      <w:r>
        <w:t xml:space="preserve">The ROP constraint matters for control (in-silico toy)</w:t>
      </w:r>
    </w:p>
    <w:p>
      <w:pPr>
        <w:pStyle w:val="FirstParagraph"/>
      </w:pPr>
      <w:r>
        <w:t xml:space="preserve">On a glycolysis-like toy CRN 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, the Xiao running example), with a</w:t>
      </w:r>
      <w:r>
        <w:t xml:space="preserve"> </w:t>
      </w:r>
      <m:oMath>
        <m:r>
          <m:t>6</m:t>
        </m:r>
      </m:oMath>
      <w:r>
        <w:t xml:space="preserve">-facet binding-derived ROP, we compare a synthetic ground-truth trajectory</w:t>
      </w:r>
      <w:r>
        <w:t xml:space="preserve"> </w:t>
      </w:r>
      <w:r>
        <w:t xml:space="preserve">(binding-limited exponents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gt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0.6</m:t>
        </m:r>
        <m:r>
          <m:rPr>
            <m:sty m:val="p"/>
          </m:rPr>
          <m:t>,</m:t>
        </m:r>
        <m:r>
          <m:t>0.85</m:t>
        </m:r>
        <m:r>
          <m:rPr>
            <m:sty m:val="p"/>
          </m:rPr>
          <m:t>,</m:t>
        </m:r>
        <m:r>
          <m:t>1.7</m:t>
        </m:r>
        <m:r>
          <m:rPr>
            <m:sty m:val="p"/>
          </m:rPr>
          <m:t>]</m:t>
        </m:r>
      </m:oMath>
      <w:r>
        <w:t xml:space="preserve">) against an</w:t>
      </w:r>
      <w:r>
        <w:t xml:space="preserve"> </w:t>
      </w:r>
      <w:r>
        <w:t xml:space="preserve">unconstrained exponent whose third component lies outside the polyhedron</w:t>
      </w:r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3.1</m:t>
        </m:r>
        <m:r>
          <m:rPr>
            <m:sty m:val="p"/>
          </m:rPr>
          <m:t>&gt;</m:t>
        </m:r>
        <m:r>
          <m:t>2</m:t>
        </m:r>
      </m:oMath>
      <w:r>
        <w:t xml:space="preserve">) and the same exponent projected onto the ROP</w:t>
      </w:r>
      <w:r>
        <w:t xml:space="preserve"> </w:t>
      </w:r>
      <w:r>
        <w:t xml:space="preserve">(Figure </w:t>
      </w:r>
      <w:r>
        <w:t xml:space="preserve">). The out-of-polyhedron exponent gives a mean trajectory</w:t>
      </w:r>
      <w:r>
        <w:t xml:space="preserve"> </w:t>
      </w:r>
      <w:r>
        <w:t xml:space="preserve">error of</w:t>
      </w:r>
      <w:r>
        <w:t xml:space="preserve"> </w:t>
      </w:r>
      <m:oMath>
        <m:r>
          <m:t>9.9</m:t>
        </m:r>
        <m:r>
          <m:rPr>
            <m:sty m:val="p"/>
          </m:rPr>
          <m:t>%</m:t>
        </m:r>
      </m:oMath>
      <w:r>
        <w:t xml:space="preserve">; projecting onto the ROP reduces it to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 </w:t>
      </w:r>
      <w:r>
        <w:t xml:space="preserve">— a factor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3.2</m:t>
        </m:r>
      </m:oMath>
      <w:r>
        <w:t xml:space="preserve"> </w:t>
      </w:r>
      <w:r>
        <w:t xml:space="preserve">— purely by respecting structure. The FEC solver, tracking a target</w:t>
      </w:r>
      <w:r>
        <w:t xml:space="preserve"> </w:t>
      </w:r>
      <w:r>
        <w:t xml:space="preserve">flux, returns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0.6</m:t>
        </m:r>
        <m:r>
          <m:rPr>
            <m:sty m:val="p"/>
          </m:rPr>
          <m:t>,</m:t>
        </m:r>
        <m:r>
          <m:t>0.84</m:t>
        </m:r>
        <m:r>
          <m:rPr>
            <m:sty m:val="p"/>
          </m:rPr>
          <m:t>,</m:t>
        </m:r>
        <m:r>
          <m:t>1.62</m:t>
        </m:r>
        <m:r>
          <m:rPr>
            <m:sty m:val="p"/>
          </m:rPr>
          <m:t>]</m:t>
        </m:r>
        <m:r>
          <m:rPr>
            <m:sty m:val="p"/>
          </m:rPr>
          <m:t>∈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P</m:t>
        </m:r>
      </m:oMath>
      <w:r>
        <w:t xml:space="preserve"> </w:t>
      </w:r>
      <w:r>
        <w:t xml:space="preserve">matching ground truth to</w:t>
      </w:r>
      <w:r>
        <w:t xml:space="preserve"> </w:t>
      </w:r>
      <w:r>
        <w:t xml:space="preserve">within</w:t>
      </w:r>
      <w:r>
        <w:t xml:space="preserve"> </w:t>
      </w:r>
      <m:oMath>
        <m:r>
          <m:t>0.5</m:t>
        </m:r>
        <m:r>
          <m:rPr>
            <m:sty m:val="p"/>
          </m:rPr>
          <m:t>%</m:t>
        </m:r>
      </m:oMath>
      <w:r>
        <w:t xml:space="preserve">. Against in-ROP FBA- and MM-derived exponent policies (50 runs),</w:t>
      </w:r>
      <w:r>
        <w:t xml:space="preserve"> </w:t>
      </w:r>
      <w:r>
        <w:t xml:space="preserve">the FEC optimal-control policy attains the lowest final-state tracking cost</w:t>
      </w:r>
      <w:r>
        <w:t xml:space="preserve"> </w:t>
      </w:r>
      <w:r>
        <w:t xml:space="preserve">(</w:t>
      </w:r>
      <m:oMath>
        <m:r>
          <m:t>1.01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1.28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1.09</m:t>
        </m:r>
      </m:oMath>
      <w:r>
        <w:t xml:space="preserve">; Table </w:t>
      </w:r>
      <w:r>
        <w:t xml:space="preserve">), and a scenario-robust</w:t>
      </w:r>
      <w:r>
        <w:t xml:space="preserve"> </w:t>
      </w:r>
      <w:r>
        <w:t xml:space="preserve">policy matches the nominal cost while bounding the worst case. The ground truth</w:t>
      </w:r>
      <w:r>
        <w:t xml:space="preserve"> </w:t>
      </w:r>
      <w:r>
        <w:t xml:space="preserve">here is synthetic, so these results demonstrate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(respecting</w:t>
      </w:r>
      <w:r>
        <w:t xml:space="preserve"> </w:t>
      </w:r>
      <w:r>
        <w:t xml:space="preserve">the binding constraint), not empirical accuracy on biological data.</w:t>
      </w:r>
    </w:p>
    <w:bookmarkStart w:id="31" w:name="fig:toy"/>
    <w:p>
      <w:pPr>
        <w:pStyle w:val="CaptionedFigure"/>
      </w:pPr>
      <w:r>
        <w:drawing>
          <wp:inline>
            <wp:extent cx="4319999" cy="21599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toy_traj_comparis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1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In-silico toy dynamics: pyruvate under the ground-truth exponent, an</w:t>
      </w:r>
      <w:r>
        <w:t xml:space="preserve"> </w:t>
      </w:r>
      <w:r>
        <w:t xml:space="preserve">unconstrained exponent that violates the ROP, and the FEC/ROP-constrained</w:t>
      </w:r>
      <w:r>
        <w:t xml:space="preserve"> </w:t>
      </w:r>
      <w:r>
        <w:t xml:space="preserve">exponent. Respecting the binding-derived polyhedron recovers ground-truth</w:t>
      </w:r>
      <w:r>
        <w:t xml:space="preserve"> </w:t>
      </w:r>
      <w:r>
        <w:t xml:space="preserve">dynamics (mean error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9.9</m:t>
        </m:r>
        <m:r>
          <m:rPr>
            <m:sty m:val="p"/>
          </m:rPr>
          <m:t>%</m:t>
        </m:r>
      </m:oMath>
      <w:r>
        <w:t xml:space="preserve">).</w:t>
      </w:r>
    </w:p>
    <w:bookmarkEnd w:id="31"/>
    <w:bookmarkStart w:id="32" w:name="tab:fbamm"/>
    <w:p>
      <w:pPr>
        <w:pStyle w:val="TableCaption"/>
      </w:pPr>
      <w:r>
        <w:t xml:space="preserve">Final-state tracking cost (L2 to target; lower is better) over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runs</w:t>
      </w:r>
      <w:r>
        <w:t xml:space="preserve"> </w:t>
      </w:r>
      <w:r>
        <w:t xml:space="preserve">on the toy network. All policies are projected into the ROP, so the difference</w:t>
      </w:r>
      <w:r>
        <w:t xml:space="preserve"> </w:t>
      </w:r>
      <w:r>
        <w:t xml:space="preserve">reflects exponent quality only.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-state tracking cost (L2 to target; lower is better) over 50 runs on the toy network. All policies are projected into the ROP, so the difference reflects exponent quality onl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vs. FEC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FBA-derived (in ROP)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1.283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1.27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worse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MM-derived (in ROP)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1.090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1.08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worse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 / ROP (ours)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1.011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scenario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matches nominal</w:t>
            </w:r>
          </w:p>
        </w:tc>
      </w:tr>
    </w:tbl>
    <w:bookmarkEnd w:id="32"/>
    <w:bookmarkEnd w:id="33"/>
    <w:bookmarkStart w:id="38" w:name="sec:caseresults"/>
    <w:p>
      <w:pPr>
        <w:pStyle w:val="Heading2"/>
      </w:pPr>
      <w:r>
        <w:t xml:space="preserve">Case-study oscillators reproduce known dynamics</w:t>
      </w:r>
    </w:p>
    <w:p>
      <w:pPr>
        <w:pStyle w:val="FirstParagraph"/>
      </w:pPr>
      <w:r>
        <w:t xml:space="preserve">The Sel’kov and Wolf–Heinrich re-implementations reproduce the published</w:t>
      </w:r>
      <w:r>
        <w:t xml:space="preserve"> </w:t>
      </w:r>
      <w:r>
        <w:t xml:space="preserve">qualitative behaviour (Figure </w:t>
      </w:r>
      <w:r>
        <w:t xml:space="preserve">): Sel’kov settles onto a stable limit</w:t>
      </w:r>
      <w:r>
        <w:t xml:space="preserve"> </w:t>
      </w:r>
      <w:r>
        <w:t xml:space="preserve">cycle inside its Hopf window and to a fixed point outside it, and the</w:t>
      </w:r>
      <w:r>
        <w:t xml:space="preserve"> </w:t>
      </w:r>
      <w:r>
        <w:t xml:space="preserve">Wolf–Heinrich single-cell core sustains glycolytic oscillations. These serve as</w:t>
      </w:r>
      <w:r>
        <w:t xml:space="preserve"> </w:t>
      </w:r>
      <w:r>
        <w:t xml:space="preserve">reusable, tested testbeds for the FEC pipeline beyond the toy network.</w:t>
      </w:r>
    </w:p>
    <w:bookmarkStart w:id="37" w:name="fig:osc"/>
    <w:p>
      <w:pPr>
        <w:pStyle w:val="CaptionedFigure"/>
      </w:pPr>
      <w:r>
        <w:drawing>
          <wp:inline>
            <wp:extent cx="5334000" cy="192024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case_studies_oscillation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Validated re-implementations of two published glycolytic oscillators:</w:t>
      </w:r>
      <w:r>
        <w:t xml:space="preserve"> </w:t>
      </w:r>
      <w:r>
        <w:t xml:space="preserve">(a) Sel’kov 1968 (limit cycle vs. damped fixed point); (b) Wolf–Heinrich 2000</w:t>
      </w:r>
      <w:r>
        <w:t xml:space="preserve"> </w:t>
      </w:r>
      <w:r>
        <w:t xml:space="preserve">single-cell core (sustained oscillation of an ATP-like cofactor).</w:t>
      </w:r>
    </w:p>
    <w:bookmarkEnd w:id="37"/>
    <w:bookmarkEnd w:id="38"/>
    <w:bookmarkStart w:id="43" w:name="sec:negative"/>
    <w:p>
      <w:pPr>
        <w:pStyle w:val="Heading2"/>
      </w:pPr>
      <w:r>
        <w:t xml:space="preserve">A negative result: binding structure does not improve data-driven order estimation</w:t>
      </w:r>
    </w:p>
    <w:p>
      <w:pPr>
        <w:pStyle w:val="FirstParagraph"/>
      </w:pPr>
      <w:r>
        <w:t xml:space="preserve">A natural hope is that the binding-derived ROP, used as a prior, tightens</w:t>
      </w:r>
      <w:r>
        <w:t xml:space="preserve"> </w:t>
      </w:r>
      <w:r>
        <w:t xml:space="preserve">data-driven estimation of reaction orders. We tested this honestly. From noisy</w:t>
      </w:r>
      <w:r>
        <w:t xml:space="preserve"> </w:t>
      </w:r>
      <w:r>
        <w:t xml:space="preserve">rate data we built the bounded-error order set (§</w:t>
      </w:r>
      <w:r>
        <w:t xml:space="preserve">) and compared</w:t>
      </w:r>
      <w:r>
        <w:t xml:space="preserve"> </w:t>
      </w:r>
      <w:r>
        <w:t xml:space="preserve">three feasible sets: the data set alone, the data set intersected with the ROP,</w:t>
      </w:r>
      <w:r>
        <w:t xml:space="preserve"> </w:t>
      </w:r>
      <w:r>
        <w:t xml:space="preserve">and the data set intersected with a</w:t>
      </w:r>
      <w:r>
        <w:t xml:space="preserve"> </w:t>
      </w:r>
      <w:r>
        <w:rPr>
          <w:i/>
          <w:iCs/>
        </w:rPr>
        <w:t xml:space="preserve">count-matched random</w:t>
      </w:r>
      <w:r>
        <w:t xml:space="preserve"> </w:t>
      </w:r>
      <w:r>
        <w:t xml:space="preserve">facet set</w:t>
      </w:r>
      <w:r>
        <w:t xml:space="preserve"> </w:t>
      </w:r>
      <w:r>
        <w:t xml:space="preserve">calibrated to still contain the true orders (a control for</w:t>
      </w:r>
      <w:r>
        <w:t xml:space="preserve"> </w:t>
      </w:r>
      <w:r>
        <w:t xml:space="preserve">“more facets”</w:t>
      </w:r>
      <w:r>
        <w:t xml:space="preserve"> </w:t>
      </w:r>
      <w:r>
        <w:t xml:space="preserve">versus</w:t>
      </w:r>
      <w:r>
        <w:t xml:space="preserve"> </w:t>
      </w:r>
      <w:r>
        <w:t xml:space="preserve">“the right facets”</w:t>
      </w:r>
      <w:r>
        <w:t xml:space="preserve"> </w:t>
      </w:r>
      <w:r>
        <w:t xml:space="preserve">[28]</w:t>
      </w:r>
      <w:r>
        <w:t xml:space="preserve">). We measured the total reaction-order</w:t>
      </w:r>
      <w:r>
        <w:t xml:space="preserve"> </w:t>
      </w:r>
      <w:r>
        <w:t xml:space="preserve">uncertainty (sum of per-order ranges) in an informative-data regime and a</w:t>
      </w:r>
      <w:r>
        <w:t xml:space="preserve"> </w:t>
      </w:r>
      <w:r>
        <w:t xml:space="preserve">data-poor regime (Figure </w:t>
      </w:r>
      <w:r>
        <w:t xml:space="preserve">).</w:t>
      </w:r>
    </w:p>
    <w:p>
      <w:pPr>
        <w:pStyle w:val="BodyText"/>
      </w:pPr>
      <w:r>
        <w:t xml:space="preserve">The result is negative. When data are informative, the ROP is</w:t>
      </w:r>
      <w:r>
        <w:t xml:space="preserve"> </w:t>
      </w:r>
      <w:r>
        <w:rPr>
          <w:i/>
          <w:iCs/>
        </w:rPr>
        <w:t xml:space="preserve">inactive</w:t>
      </w:r>
      <w:r>
        <w:t xml:space="preserve">:</w:t>
      </w:r>
      <w:r>
        <w:t xml:space="preserve"> </w:t>
      </w:r>
      <w:r>
        <w:t xml:space="preserve">the data set, data</w:t>
      </w:r>
      <m:oMath>
        <m:r>
          <m:rPr>
            <m:sty m:val="p"/>
          </m:rPr>
          <m:t>∩</m:t>
        </m:r>
      </m:oMath>
      <w:r>
        <w:t xml:space="preserve">ROP, and data</w:t>
      </w:r>
      <m:oMath>
        <m:r>
          <m:rPr>
            <m:sty m:val="p"/>
          </m:rPr>
          <m:t>∩</m:t>
        </m:r>
      </m:oMath>
      <w:r>
        <w:t xml:space="preserve">random sets have identical order</w:t>
      </w:r>
      <w:r>
        <w:t xml:space="preserve"> </w:t>
      </w:r>
      <w:r>
        <w:t xml:space="preserve">uncertainty (</w:t>
      </w:r>
      <m:oMath>
        <m:r>
          <m:rPr>
            <m:sty m:val="p"/>
          </m:rPr>
          <m:t>≈</m:t>
        </m:r>
        <m:r>
          <m:t>​</m:t>
        </m:r>
        <m:r>
          <m:t>0.048</m:t>
        </m:r>
      </m:oMath>
      <w:r>
        <w:t xml:space="preserve">) — the data already constrain the orders tighter</w:t>
      </w:r>
      <w:r>
        <w:t xml:space="preserve"> </w:t>
      </w:r>
      <w:r>
        <w:t xml:space="preserve">than the ROP does, and the ROP facets never bind. When data are scarce, the ROP</w:t>
      </w:r>
      <w:r>
        <w:t xml:space="preserve"> </w:t>
      </w:r>
      <w:r>
        <w:t xml:space="preserve">tightens the set only modestly (</w:t>
      </w:r>
      <m:oMath>
        <m:r>
          <m:t>2.80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2.34</m:t>
        </m:r>
      </m:oMath>
      <w:r>
        <w:t xml:space="preserve">) and</w:t>
      </w:r>
      <w:r>
        <w:t xml:space="preserve"> </w:t>
      </w:r>
      <w:r>
        <w:rPr>
          <w:i/>
          <w:iCs/>
        </w:rPr>
        <w:t xml:space="preserve">no more than the</w:t>
      </w:r>
      <w:r>
        <w:rPr>
          <w:i/>
          <w:iCs/>
        </w:rPr>
        <w:t xml:space="preserve"> </w:t>
      </w:r>
      <w:r>
        <w:rPr>
          <w:i/>
          <w:iCs/>
        </w:rPr>
        <w:t xml:space="preserve">count-matched random set</w:t>
      </w:r>
      <w:r>
        <w:t xml:space="preserve"> </w:t>
      </w:r>
      <w:r>
        <w:t xml:space="preserve">(</w:t>
      </w:r>
      <m:oMath>
        <m:r>
          <m:t>2.42</m:t>
        </m:r>
      </m:oMath>
      <w:r>
        <w:t xml:space="preserve">). Across trials neither beats the other</w:t>
      </w:r>
      <w:r>
        <w:t xml:space="preserve"> </w:t>
      </w:r>
      <w:r>
        <w:t xml:space="preserve">consistently. We also confirmed on the toy network that, for an informative</w:t>
      </w:r>
      <w:r>
        <w:t xml:space="preserve"> </w:t>
      </w:r>
      <w:r>
        <w:t xml:space="preserve">sample, the worst-case predicted-flux spread under data</w:t>
      </w:r>
      <m:oMath>
        <m:r>
          <m:rPr>
            <m:sty m:val="p"/>
          </m:rPr>
          <m:t>∩</m:t>
        </m:r>
      </m:oMath>
      <w:r>
        <w:t xml:space="preserve">ROP equals that</w:t>
      </w:r>
      <w:r>
        <w:t xml:space="preserve"> </w:t>
      </w:r>
      <w:r>
        <w:t xml:space="preserve">under the data alone (the ROP facets are inactive), so the apparent</w:t>
      </w:r>
      <w:r>
        <w:t xml:space="preserve"> </w:t>
      </w:r>
      <w:r>
        <w:t xml:space="preserve">“tightening versus a box”</w:t>
      </w:r>
      <w:r>
        <w:t xml:space="preserve"> </w:t>
      </w:r>
      <w:r>
        <w:t xml:space="preserve">is a property of the data’s own correlation, not of</w:t>
      </w:r>
      <w:r>
        <w:t xml:space="preserve"> </w:t>
      </w:r>
      <w:r>
        <w:t xml:space="preserve">the binding mechanism.</w:t>
      </w:r>
    </w:p>
    <w:bookmarkStart w:id="42" w:name="fig:neg"/>
    <w:p>
      <w:pPr>
        <w:pStyle w:val="CaptionedFigure"/>
      </w:pPr>
      <w:r>
        <w:drawing>
          <wp:inline>
            <wp:extent cx="4319999" cy="234514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order_uq_negativ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34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Honest negative result. Total reaction-order uncertainty for the</w:t>
      </w:r>
      <w:r>
        <w:t xml:space="preserve"> </w:t>
      </w:r>
      <w:r>
        <w:t xml:space="preserve">data-only set, data</w:t>
      </w:r>
      <m:oMath>
        <m:r>
          <m:rPr>
            <m:sty m:val="p"/>
          </m:rPr>
          <m:t>∩</m:t>
        </m:r>
      </m:oMath>
      <w:r>
        <w:t xml:space="preserve">ROP, and data</w:t>
      </w:r>
      <m:oMath>
        <m:r>
          <m:rPr>
            <m:sty m:val="p"/>
          </m:rPr>
          <m:t>∩</m:t>
        </m:r>
      </m:oMath>
      <w:r>
        <w:t xml:space="preserve">random (count-matched, truth-covering)</w:t>
      </w:r>
      <w:r>
        <w:t xml:space="preserve"> </w:t>
      </w:r>
      <w:r>
        <w:t xml:space="preserve">sets, in informative and data-poor regimes. The binding-derived ROP confers no</w:t>
      </w:r>
      <w:r>
        <w:t xml:space="preserve"> </w:t>
      </w:r>
      <w:r>
        <w:t xml:space="preserve">advantage over a random set of equal size: when data are informative it is</w:t>
      </w:r>
      <w:r>
        <w:t xml:space="preserve"> </w:t>
      </w:r>
      <w:r>
        <w:t xml:space="preserve">inactive; when data are scarce it is no better than chance.</w:t>
      </w:r>
    </w:p>
    <w:bookmarkEnd w:id="42"/>
    <w:p>
      <w:pPr>
        <w:pStyle w:val="BodyText"/>
      </w:pPr>
      <w:r>
        <w:t xml:space="preserve">The interpretation is clarifying rather than discouraging: the value of ROP/FEC</w:t>
      </w:r>
      <w:r>
        <w:t xml:space="preserve"> </w:t>
      </w:r>
      <w:r>
        <w:t xml:space="preserve">is as a structural</w:t>
      </w:r>
      <w:r>
        <w:t xml:space="preserve"> </w:t>
      </w:r>
      <w:r>
        <w:rPr>
          <w:i/>
          <w:iCs/>
        </w:rPr>
        <w:t xml:space="preserve">modelling and control</w:t>
      </w:r>
      <w:r>
        <w:t xml:space="preserve"> </w:t>
      </w:r>
      <w:r>
        <w:t xml:space="preserve">framework — it specifies the</w:t>
      </w:r>
      <w:r>
        <w:t xml:space="preserve"> </w:t>
      </w:r>
      <w:r>
        <w:t xml:space="preserve">admissible exponent geometry the controller must respect (§</w:t>
      </w:r>
      <w:r>
        <w:t xml:space="preserve">) — not</w:t>
      </w:r>
      <w:r>
        <w:t xml:space="preserve"> </w:t>
      </w:r>
      <w:r>
        <w:t xml:space="preserve">as a statistical regulariser for</w:t>
      </w:r>
      <w:r>
        <w:t xml:space="preserve"> </w:t>
      </w:r>
      <w:r>
        <w:rPr>
          <w:i/>
          <w:iCs/>
        </w:rPr>
        <w:t xml:space="preserve">identification</w:t>
      </w:r>
      <w:r>
        <w:t xml:space="preserve">. Structure constrains what</w:t>
      </w:r>
      <w:r>
        <w:t xml:space="preserve"> </w:t>
      </w:r>
      <w:r>
        <w:t xml:space="preserve">the controller may do; it does not, by itself, tell you more about the plant than</w:t>
      </w:r>
      <w:r>
        <w:t xml:space="preserve"> </w:t>
      </w:r>
      <w:r>
        <w:t xml:space="preserve">the data already do.</w:t>
      </w:r>
    </w:p>
    <w:bookmarkEnd w:id="43"/>
    <w:bookmarkStart w:id="44" w:name="end-to-end-loop-integrity"/>
    <w:p>
      <w:pPr>
        <w:pStyle w:val="Heading2"/>
      </w:pPr>
      <w:r>
        <w:t xml:space="preserve">End-to-end loop integrity</w:t>
      </w:r>
    </w:p>
    <w:p>
      <w:pPr>
        <w:pStyle w:val="FirstParagraph"/>
      </w:pPr>
      <w:r>
        <w:t xml:space="preserve">Running the full loop of Figure </w:t>
      </w:r>
      <w:r>
        <w:t xml:space="preserve"> </w:t>
      </w:r>
      <w:r>
        <w:t xml:space="preserve">on the toy network, every</w:t>
      </w:r>
      <w:r>
        <w:t xml:space="preserve"> </w:t>
      </w:r>
      <w:r>
        <w:t xml:space="preserve">structural invariant holds: the applied exponent is in the ROP at every step, the</w:t>
      </w:r>
      <w:r>
        <w:t xml:space="preserve"> </w:t>
      </w:r>
      <w:r>
        <w:t xml:space="preserve">published polyhedron matches the constructed one, the observer maintains a</w:t>
      </w:r>
      <w:r>
        <w:t xml:space="preserve"> </w:t>
      </w:r>
      <w:r>
        <w:t xml:space="preserve">covariance, workflow checkpoints accumulate, governance violations are detected</w:t>
      </w:r>
      <w:r>
        <w:t xml:space="preserve"> </w:t>
      </w:r>
      <w:r>
        <w:t xml:space="preserve">and counted, and the digital twin replays the FEC trajectory. In the</w:t>
      </w:r>
      <w:r>
        <w:t xml:space="preserve"> </w:t>
      </w:r>
      <w:r>
        <w:t xml:space="preserve">multicellular setting the resource policy blocks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over-capacity</w:t>
      </w:r>
      <w:r>
        <w:t xml:space="preserve"> </w:t>
      </w:r>
      <w:r>
        <w:t xml:space="preserve">configurations.</w:t>
      </w:r>
    </w:p>
    <w:bookmarkEnd w:id="44"/>
    <w:bookmarkEnd w:id="45"/>
    <w:bookmarkStart w:id="50" w:name="sec:discussion"/>
    <w:p>
      <w:pPr>
        <w:pStyle w:val="Heading1"/>
      </w:pPr>
      <w:r>
        <w:t xml:space="preserve">Discussion</w:t>
      </w:r>
    </w:p>
    <w:bookmarkStart w:id="46" w:name="what-ropfec-adds."/>
    <w:p>
      <w:pPr>
        <w:pStyle w:val="Heading4"/>
      </w:pPr>
      <w:r>
        <w:t xml:space="preserve">What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 </w:t>
      </w:r>
      <w:r>
        <w:t xml:space="preserve">adds.</w:t>
      </w:r>
    </w:p>
    <w:p>
      <w:pPr>
        <w:pStyle w:val="FirstParagraph"/>
      </w:pPr>
      <w:r>
        <w:t xml:space="preserve">Relative to the originating</w:t>
      </w:r>
      <w:r>
        <w:t xml:space="preserve"> </w:t>
      </w:r>
      <w:r>
        <w:t xml:space="preserve">work </w:t>
      </w:r>
      <w:r>
        <w:t xml:space="preserve">[9,10]</w:t>
      </w:r>
      <w:r>
        <w:t xml:space="preserve"> </w:t>
      </w:r>
      <w:r>
        <w:t xml:space="preserve">we contribute an open, tested</w:t>
      </w:r>
      <w:r>
        <w:t xml:space="preserve"> </w:t>
      </w:r>
      <w:r>
        <w:t xml:space="preserve">implementation, a closed-loop integration, robust/multicellular extensions, the</w:t>
      </w:r>
      <w:r>
        <w:t xml:space="preserve"> </w:t>
      </w:r>
      <w:r>
        <w:t xml:space="preserve">explicit MCA-elasticity identity, and an honest map of where the structural prior</w:t>
      </w:r>
      <w:r>
        <w:t xml:space="preserve"> </w:t>
      </w:r>
      <w:r>
        <w:t xml:space="preserve">helps. Relative to FBA </w:t>
      </w:r>
      <w:r>
        <w:t xml:space="preserve">[1]</w:t>
      </w:r>
      <w:r>
        <w:t xml:space="preserve"> </w:t>
      </w:r>
      <w:r>
        <w:t xml:space="preserve">the framework is dynamic; relative to</w:t>
      </w:r>
      <w:r>
        <w:t xml:space="preserve"> </w:t>
      </w:r>
      <w:r>
        <w:t xml:space="preserve">full kinetic models it needs only binding-derived order bounds.</w:t>
      </w:r>
    </w:p>
    <w:bookmarkEnd w:id="46"/>
    <w:bookmarkStart w:id="47" w:name="control-versus-identification."/>
    <w:p>
      <w:pPr>
        <w:pStyle w:val="Heading4"/>
      </w:pPr>
      <w:r>
        <w:t xml:space="preserve">Control versus identification.</w:t>
      </w:r>
    </w:p>
    <w:p>
      <w:pPr>
        <w:pStyle w:val="FirstParagraph"/>
      </w:pPr>
      <w:r>
        <w:t xml:space="preserve">The two empirical findings cut in</w:t>
      </w:r>
      <w:r>
        <w:t xml:space="preserve"> </w:t>
      </w:r>
      <w:r>
        <w:t xml:space="preserve">opposite directions and are both honest. The ROP constraint clearly matters for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(§</w:t>
      </w:r>
      <w:r>
        <w:t xml:space="preserve">): an exponent outside the polyhedron mis-predicts</w:t>
      </w:r>
      <w:r>
        <w:t xml:space="preserve"> </w:t>
      </w:r>
      <w:r>
        <w:t xml:space="preserve">dynamics, and enforcing the polyhedron recovers them. The same ROP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</w:t>
      </w:r>
      <w:r>
        <w:t xml:space="preserve"> </w:t>
      </w:r>
      <w:r>
        <w:rPr>
          <w:i/>
          <w:iCs/>
        </w:rPr>
        <w:t xml:space="preserve">identification</w:t>
      </w:r>
      <w:r>
        <w:t xml:space="preserve"> </w:t>
      </w:r>
      <w:r>
        <w:t xml:space="preserve">(§</w:t>
      </w:r>
      <w:r>
        <w:t xml:space="preserve">): given data, the</w:t>
      </w:r>
      <w:r>
        <w:t xml:space="preserve"> </w:t>
      </w:r>
      <w:r>
        <w:t xml:space="preserve">binding structure adds nothing a generic constraint of equal size would not. This</w:t>
      </w:r>
      <w:r>
        <w:t xml:space="preserve"> </w:t>
      </w:r>
      <w:r>
        <w:t xml:space="preserve">distinction — structure as a control admissibility set, not an estimation prior</w:t>
      </w:r>
      <w:r>
        <w:t xml:space="preserve"> </w:t>
      </w:r>
      <w:r>
        <w:t xml:space="preserve">— is, we think, the most useful thing the paper says.</w:t>
      </w:r>
    </w:p>
    <w:bookmarkEnd w:id="47"/>
    <w:bookmarkStart w:id="48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(i) </w:t>
      </w:r>
      <w:r>
        <w:rPr>
          <w:i/>
          <w:iCs/>
        </w:rPr>
        <w:t xml:space="preserve">In-silico only</w:t>
      </w:r>
      <w:r>
        <w:t xml:space="preserve">: no wet-lab data, no kinetic</w:t>
      </w:r>
      <w:r>
        <w:t xml:space="preserve"> </w:t>
      </w:r>
      <w:r>
        <w:t xml:space="preserve">parameters identified from experiment; the toy ground truth is synthetic.</w:t>
      </w:r>
      <w:r>
        <w:t xml:space="preserve"> </w:t>
      </w:r>
      <w:r>
        <w:t xml:space="preserve">(ii) </w:t>
      </w:r>
      <w:r>
        <w:rPr>
          <w:i/>
          <w:iCs/>
        </w:rPr>
        <w:t xml:space="preserve">Small networks</w:t>
      </w:r>
      <w:r>
        <w:t xml:space="preserve">: validation uses a</w:t>
      </w:r>
      <w:r>
        <w:t xml:space="preserve"> </w:t>
      </w:r>
      <m:oMath>
        <m:r>
          <m:t>3</m:t>
        </m:r>
      </m:oMath>
      <w:r>
        <w:t xml:space="preserve">-species toy plus two small</w:t>
      </w:r>
      <w:r>
        <w:t xml:space="preserve"> </w:t>
      </w:r>
      <w:r>
        <w:t xml:space="preserve">oscillators; genome-scale conditioning is untested. (iii) </w:t>
      </w:r>
      <w:r>
        <w:rPr>
          <w:i/>
          <w:iCs/>
        </w:rPr>
        <w:t xml:space="preserve">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components</w:t>
      </w:r>
      <w:r>
        <w:t xml:space="preserve">: the loop’s estimation/robustness/governance blocks are reference</w:t>
      </w:r>
      <w:r>
        <w:t xml:space="preserve"> </w:t>
      </w:r>
      <w:r>
        <w:t xml:space="preserve">implementations, not a deployment. (iv) The negative result is established on a</w:t>
      </w:r>
      <w:r>
        <w:t xml:space="preserve"> </w:t>
      </w:r>
      <w:r>
        <w:t xml:space="preserve">binding-derived ROP of modest dimension; we do not claim it for every conceivable</w:t>
      </w:r>
      <w:r>
        <w:t xml:space="preserve"> </w:t>
      </w:r>
      <w:r>
        <w:t xml:space="preserve">structural prior.</w:t>
      </w:r>
    </w:p>
    <w:bookmarkEnd w:id="48"/>
    <w:bookmarkStart w:id="49" w:name="future-work."/>
    <w:p>
      <w:pPr>
        <w:pStyle w:val="Heading4"/>
      </w:pPr>
      <w:r>
        <w:t xml:space="preserve">Future work.</w:t>
      </w:r>
    </w:p>
    <w:p>
      <w:pPr>
        <w:pStyle w:val="FirstParagraph"/>
      </w:pPr>
      <w:r>
        <w:t xml:space="preserve">Identify a real binding-stoichiometry specification and</w:t>
      </w:r>
      <w:r>
        <w:t xml:space="preserve"> </w:t>
      </w:r>
      <w:r>
        <w:t xml:space="preserve">rate measurements for a small pathway and test FEC predictions against measured</w:t>
      </w:r>
      <w:r>
        <w:t xml:space="preserve"> </w:t>
      </w:r>
      <w:r>
        <w:t xml:space="preserve">transients; scale to the Chassagnole network </w:t>
      </w:r>
      <w:r>
        <w:t xml:space="preserve">[27]</w:t>
      </w:r>
      <w:r>
        <w:t xml:space="preserve">; and replace</w:t>
      </w:r>
      <w:r>
        <w:t xml:space="preserve"> </w:t>
      </w:r>
      <w:r>
        <w:t xml:space="preserve">the reference components with production observers and policy engines.</w:t>
      </w:r>
    </w:p>
    <w:bookmarkEnd w:id="49"/>
    <w:bookmarkEnd w:id="50"/>
    <w:bookmarkStart w:id="5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presented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, an open and reproducible implementation of</w:t>
      </w:r>
      <w:r>
        <w:t xml:space="preserve"> </w:t>
      </w:r>
      <w:r>
        <w:t xml:space="preserve">reaction-order-polyhedron–constrained flux exponent control, with in-silico</w:t>
      </w:r>
      <w:r>
        <w:t xml:space="preserve"> </w:t>
      </w:r>
      <w:r>
        <w:t xml:space="preserve">validation, the clarifying identity that FEC exponents are MCA elasticities, and</w:t>
      </w:r>
      <w:r>
        <w:t xml:space="preserve"> </w:t>
      </w:r>
      <w:r>
        <w:t xml:space="preserve">an honest negative result delimiting where the binding-derived structure helps</w:t>
      </w:r>
      <w:r>
        <w:t xml:space="preserve"> </w:t>
      </w:r>
      <w:r>
        <w:t xml:space="preserve">(control, not identification). The work is offered as a reproducible reference and</w:t>
      </w:r>
      <w:r>
        <w:t xml:space="preserve"> </w:t>
      </w:r>
      <w:r>
        <w:t xml:space="preserve">an honest account, not an overclaimed method.</w:t>
      </w:r>
    </w:p>
    <w:bookmarkEnd w:id="51"/>
    <w:bookmarkStart w:id="52" w:name="code-and-data-availability"/>
    <w:p>
      <w:pPr>
        <w:pStyle w:val="Heading1"/>
      </w:pPr>
      <w:r>
        <w:t xml:space="preserve">Code and data availability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 </w:t>
      </w:r>
      <w:r>
        <w:t xml:space="preserve">source, the 44 tests, and the script that regenerates every</w:t>
      </w:r>
      <w:r>
        <w:t xml:space="preserve"> </w:t>
      </w:r>
      <w:r>
        <w:t xml:space="preserve">figure and number will be released under an open-source license and archived with</w:t>
      </w:r>
      <w:r>
        <w:t xml:space="preserve"> </w:t>
      </w:r>
      <w:r>
        <w:t xml:space="preserve">a DOI on Zenodo upon posting. (Repository URL and DOI to be finalised.)</w:t>
      </w:r>
    </w:p>
    <w:bookmarkEnd w:id="52"/>
    <w:bookmarkStart w:id="56" w:name="declarations"/>
    <w:p>
      <w:pPr>
        <w:pStyle w:val="Heading1"/>
      </w:pPr>
      <w:r>
        <w:t xml:space="preserve">Declarations</w:t>
      </w:r>
    </w:p>
    <w:bookmarkStart w:id="53" w:name="use-of-ai-tools."/>
    <w:p>
      <w:pPr>
        <w:pStyle w:val="Heading4"/>
      </w:pPr>
      <w:r>
        <w:t xml:space="preserve">Use of AI tools.</w:t>
      </w:r>
    </w:p>
    <w:p>
      <w:pPr>
        <w:pStyle w:val="FirstParagraph"/>
      </w:pPr>
      <w:r>
        <w:t xml:space="preserve">Drafting of code and text was assisted by AI tools</w:t>
      </w:r>
      <w:r>
        <w:t xml:space="preserve"> </w:t>
      </w:r>
      <w:r>
        <w:t xml:space="preserve">(xAI Grok and Anthropic Claude). The author reviewed, verified, and is solely</w:t>
      </w:r>
      <w:r>
        <w:t xml:space="preserve"> </w:t>
      </w:r>
      <w:r>
        <w:t xml:space="preserve">responsible for all content, including every quantitative claim and citation; all</w:t>
      </w:r>
      <w:r>
        <w:t xml:space="preserve"> </w:t>
      </w:r>
      <w:r>
        <w:t xml:space="preserve">reported numbers were reproduced by the author from the released code. The AI</w:t>
      </w:r>
      <w:r>
        <w:t xml:space="preserve"> </w:t>
      </w:r>
      <w:r>
        <w:t xml:space="preserve">tools are not authors.</w:t>
      </w:r>
    </w:p>
    <w:bookmarkEnd w:id="53"/>
    <w:bookmarkStart w:id="54" w:name="competing-interests."/>
    <w:p>
      <w:pPr>
        <w:pStyle w:val="Heading4"/>
      </w:pPr>
      <w:r>
        <w:t xml:space="preserve">Competing interests.</w:t>
      </w:r>
    </w:p>
    <w:p>
      <w:pPr>
        <w:pStyle w:val="FirstParagraph"/>
      </w:pPr>
      <w:r>
        <w:t xml:space="preserve">The author declares no competing interests.</w:t>
      </w:r>
    </w:p>
    <w:bookmarkEnd w:id="54"/>
    <w:bookmarkStart w:id="55" w:name="funding."/>
    <w:p>
      <w:pPr>
        <w:pStyle w:val="Heading4"/>
      </w:pPr>
      <w:r>
        <w:t xml:space="preserve">Funding.</w:t>
      </w:r>
    </w:p>
    <w:p>
      <w:pPr>
        <w:pStyle w:val="FirstParagraph"/>
      </w:pPr>
      <w:r>
        <w:t xml:space="preserve">This research received no specific grant from funding</w:t>
      </w:r>
      <w:r>
        <w:t xml:space="preserve"> </w:t>
      </w:r>
      <w:r>
        <w:t xml:space="preserve">agencies in the public, commercial, or not-for-profit sectors.</w:t>
      </w:r>
    </w:p>
    <w:bookmarkEnd w:id="55"/>
    <w:bookmarkEnd w:id="56"/>
    <w:bookmarkStart w:id="57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This work implements and builds upon the reaction order polyhedron and flux</w:t>
      </w:r>
      <w:r>
        <w:t xml:space="preserve"> </w:t>
      </w:r>
      <w:r>
        <w:t xml:space="preserve">exponent control framework of Fangzhou Xiao, Jing Shuang Li and John C. Doyle.</w:t>
      </w:r>
    </w:p>
    <w:bookmarkEnd w:id="57"/>
    <w:bookmarkStart w:id="111" w:name="references"/>
    <w:p>
      <w:pPr>
        <w:pStyle w:val="Heading1"/>
      </w:pPr>
      <w:r>
        <w:t xml:space="preserve">References</w:t>
      </w:r>
    </w:p>
    <w:bookmarkStart w:id="110" w:name="refs"/>
    <w:bookmarkStart w:id="59" w:name="ref-orth2010fb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Orth, J. D., Thiele, I., and Palsson, B. Ø. What is flux balance analysis? Nature Biotechnology, 2010;28:245–248. doi:</w:t>
      </w:r>
      <w:hyperlink r:id="rId58">
        <w:r>
          <w:rPr>
            <w:rStyle w:val="Hyperlink"/>
          </w:rPr>
          <w:t xml:space="preserve">10.1038/nbt.1614</w:t>
        </w:r>
      </w:hyperlink>
    </w:p>
    <w:bookmarkEnd w:id="59"/>
    <w:bookmarkStart w:id="61" w:name="ref-varma1994stoichiometr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Varma, A., and Palsson, B. Ø. Stoichiometric flux balance models quantitatively predict growth and metabolic by-product secretion in wild-type</w:t>
      </w:r>
      <w:r>
        <w:t xml:space="preserve"> </w:t>
      </w:r>
      <w:r>
        <w:t xml:space="preserve">Escherichia coli</w:t>
      </w:r>
      <w:r>
        <w:t xml:space="preserve"> </w:t>
      </w:r>
      <w:r>
        <w:t xml:space="preserve">W3110</w:t>
      </w:r>
      <w:r>
        <w:t xml:space="preserve">. Applied and Environmental Microbiology, 1994;60:3724–3731. doi:</w:t>
      </w:r>
      <w:hyperlink r:id="rId60">
        <w:r>
          <w:rPr>
            <w:rStyle w:val="Hyperlink"/>
          </w:rPr>
          <w:t xml:space="preserve">10.1128/aem.60.10.3724-3731.1994</w:t>
        </w:r>
      </w:hyperlink>
    </w:p>
    <w:bookmarkEnd w:id="61"/>
    <w:bookmarkStart w:id="63" w:name="ref-saa2017kineti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Saa, P. A., and Nielsen, L. K. Formulation, construction and analysis of kinetic models of metabolism: A review of modelling frameworks. Biotechnology Advances, 2017;35:981–1003. doi:</w:t>
      </w:r>
      <w:hyperlink r:id="rId62">
        <w:r>
          <w:rPr>
            <w:rStyle w:val="Hyperlink"/>
          </w:rPr>
          <w:t xml:space="preserve">10.1016/j.biotechadv.2017.09.005</w:t>
        </w:r>
      </w:hyperlink>
    </w:p>
    <w:bookmarkEnd w:id="63"/>
    <w:bookmarkStart w:id="65" w:name="ref-mahadevan2002dfb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Mahadevan, R., Edwards, J. S., and Doyle, F. J. Dynamic flux balance analysis of diauxic growth in</w:t>
      </w:r>
      <w:r>
        <w:t xml:space="preserve"> </w:t>
      </w:r>
      <w:r>
        <w:t xml:space="preserve">Escherichia coli</w:t>
      </w:r>
      <w:r>
        <w:t xml:space="preserve">. Biophysical Journal, 2002;83:1331–1340. doi:</w:t>
      </w:r>
      <w:hyperlink r:id="rId64">
        <w:r>
          <w:rPr>
            <w:rStyle w:val="Hyperlink"/>
          </w:rPr>
          <w:t xml:space="preserve">10.1016/S0006-3495(02)73903-9</w:t>
        </w:r>
      </w:hyperlink>
    </w:p>
    <w:bookmarkEnd w:id="65"/>
    <w:bookmarkStart w:id="67" w:name="ref-hatzimanikatis1997loglinea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Hatzimanikatis, V., and Bailey, J. E. Effects of spatiotemporal variations on metabolic control: Approximate analysis using (log)linear kinetic models. Biotechnology and Bioengineering, 1997;54:91–104. doi:</w:t>
      </w:r>
      <w:hyperlink r:id="rId66">
        <w:r>
          <w:rPr>
            <w:rStyle w:val="Hyperlink"/>
          </w:rPr>
          <w:t xml:space="preserve">10.1002/(SICI)1097-0290(19970420)54:2&lt;91::AID-BIT1&gt;3.0.CO;2-Q</w:t>
        </w:r>
      </w:hyperlink>
    </w:p>
    <w:bookmarkEnd w:id="67"/>
    <w:bookmarkStart w:id="69" w:name="ref-visser2003linlo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Visser, D., and Heijnen, J. J. Dynamic simulation and metabolic re-design of a branched pathway using linlog kinetics. Metabolic Engineering, 2003;5:164–176. doi:</w:t>
      </w:r>
      <w:hyperlink r:id="rId68">
        <w:r>
          <w:rPr>
            <w:rStyle w:val="Hyperlink"/>
          </w:rPr>
          <w:t xml:space="preserve">10.1016/S1096-7176(03)00025-9</w:t>
        </w:r>
      </w:hyperlink>
    </w:p>
    <w:bookmarkEnd w:id="69"/>
    <w:bookmarkStart w:id="71" w:name="ref-miskovic2010oracl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Miskovic, L., and Hatzimanikatis, V. Production of biofuels and biochemicals: In need of an</w:t>
      </w:r>
      <w:r>
        <w:t xml:space="preserve"> </w:t>
      </w:r>
      <w:r>
        <w:t xml:space="preserve">ORACLE</w:t>
      </w:r>
      <w:r>
        <w:t xml:space="preserve">. Trends in Biotechnology, 2010;28:391–397. doi:</w:t>
      </w:r>
      <w:hyperlink r:id="rId70">
        <w:r>
          <w:rPr>
            <w:rStyle w:val="Hyperlink"/>
          </w:rPr>
          <w:t xml:space="preserve">10.1016/j.tibtech.2010.05.003</w:t>
        </w:r>
      </w:hyperlink>
    </w:p>
    <w:bookmarkEnd w:id="71"/>
    <w:bookmarkStart w:id="73" w:name="ref-smallbone2007bridg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Smallbone, K., Simeonidis, E., Broomhead, D. S., and Kell, D. B. Something from nothing: Bridging the gap between constraint-based and kinetic modelling. The FEBS Journal, 2007;274:5576–5585. doi:</w:t>
      </w:r>
      <w:hyperlink r:id="rId72">
        <w:r>
          <w:rPr>
            <w:rStyle w:val="Hyperlink"/>
          </w:rPr>
          <w:t xml:space="preserve">10.1111/j.1742-4658.2007.06076.x</w:t>
        </w:r>
      </w:hyperlink>
    </w:p>
    <w:bookmarkEnd w:id="73"/>
    <w:bookmarkStart w:id="75" w:name="ref-xiao2023fe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Xiao, F., Li, J. S., and Doyle, J. C. Flux exponent control predicts metabolic dynamics from network structure. 2023 american control conference (ACC), 2023;1189–1194. doi:</w:t>
      </w:r>
      <w:hyperlink r:id="rId74">
        <w:r>
          <w:rPr>
            <w:rStyle w:val="Hyperlink"/>
          </w:rPr>
          <w:t xml:space="preserve">10.23919/ACC55779.2023.10156281</w:t>
        </w:r>
      </w:hyperlink>
    </w:p>
    <w:bookmarkEnd w:id="75"/>
    <w:bookmarkStart w:id="77" w:name="ref-xiao2022thesi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Xiao, F. Biocontrol of biomolecular systems: Polyhedral constraints on binding’s regulation of catalysis from biocircuits to metabolism. California Institute of Technology, 2022. doi:</w:t>
      </w:r>
      <w:hyperlink r:id="rId76">
        <w:r>
          <w:rPr>
            <w:rStyle w:val="Hyperlink"/>
          </w:rPr>
          <w:t xml:space="preserve">10.7907/rtwq-v497</w:t>
        </w:r>
      </w:hyperlink>
    </w:p>
    <w:bookmarkEnd w:id="77"/>
    <w:bookmarkStart w:id="78" w:name="ref-rawlings2017mp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Rawlings, J. B., Mayne, D. Q., and Diehl, M. M. Model predictive control: Theory, computation, and design. Nob Hill Publishing, Madison, WI, 2017.</w:t>
      </w:r>
      <w:r>
        <w:t xml:space="preserve"> </w:t>
      </w:r>
    </w:p>
    <w:bookmarkEnd w:id="78"/>
    <w:bookmarkStart w:id="80" w:name="ref-andersson2019casadi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Andersson, J. A. E., Gillis, J., Horn, G., Rawlings, J. B., and Diehl, M.</w:t>
      </w:r>
      <w:r>
        <w:t xml:space="preserve"> </w:t>
      </w:r>
      <w:r>
        <w:t xml:space="preserve">CasADi</w:t>
      </w:r>
      <w:r>
        <w:t xml:space="preserve"> </w:t>
      </w:r>
      <w:r>
        <w:t xml:space="preserve">– a software framework for nonlinear optimization and optimal control. Mathematical Programming Computation, 2019;11:1–36. doi:</w:t>
      </w:r>
      <w:hyperlink r:id="rId79">
        <w:r>
          <w:rPr>
            <w:rStyle w:val="Hyperlink"/>
          </w:rPr>
          <w:t xml:space="preserve">10.1007/s12532-018-0139-4</w:t>
        </w:r>
      </w:hyperlink>
    </w:p>
    <w:bookmarkEnd w:id="80"/>
    <w:bookmarkStart w:id="82" w:name="ref-wachter2006ipop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Wächter, A., and Biegler, L. T. On the implementation of an interior-point filter line-search algorithm for large-scale nonlinear programming. Mathematical Programming, 2006;106:25–57. doi:</w:t>
      </w:r>
      <w:hyperlink r:id="rId81">
        <w:r>
          <w:rPr>
            <w:rStyle w:val="Hyperlink"/>
          </w:rPr>
          <w:t xml:space="preserve">10.1007/s10107-004-0559-y</w:t>
        </w:r>
      </w:hyperlink>
    </w:p>
    <w:bookmarkEnd w:id="82"/>
    <w:bookmarkStart w:id="84" w:name="ref-feinberg2019cr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Feinberg, M. Foundations of chemical reaction network theory. Springer, Cham, Switzerland, 2019. doi:</w:t>
      </w:r>
      <w:hyperlink r:id="rId83">
        <w:r>
          <w:rPr>
            <w:rStyle w:val="Hyperlink"/>
          </w:rPr>
          <w:t xml:space="preserve">10.1007/978-3-030-03858-8</w:t>
        </w:r>
      </w:hyperlink>
    </w:p>
    <w:bookmarkEnd w:id="84"/>
    <w:bookmarkStart w:id="85" w:name="ref-alon2019system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Alon, U. An introduction to systems biology: Design principles of biological circuits. CRC Press, Boca Raton, FL, 2019.</w:t>
      </w:r>
      <w:r>
        <w:t xml:space="preserve"> </w:t>
      </w:r>
    </w:p>
    <w:bookmarkEnd w:id="85"/>
    <w:bookmarkStart w:id="86" w:name="ref-kacser1973contro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Kacser, H., and Burns, J. A. The control of flux. Rate control of biological processes (symposia of the society for experimental biology, vol. 27), 1973;65–104.</w:t>
      </w:r>
      <w:r>
        <w:t xml:space="preserve"> </w:t>
      </w:r>
    </w:p>
    <w:bookmarkEnd w:id="86"/>
    <w:bookmarkStart w:id="88" w:name="ref-heinrich1974linea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Heinrich, R., and Rapoport, T. A. A linear steady-state treatment of enzymatic chains: General properties, control and effector strength. European Journal of Biochemistry, 1974;42:89–95. doi:</w:t>
      </w:r>
      <w:hyperlink r:id="rId87">
        <w:r>
          <w:rPr>
            <w:rStyle w:val="Hyperlink"/>
          </w:rPr>
          <w:t xml:space="preserve">10.1111/j.1432-1033.1974.tb03318.x</w:t>
        </w:r>
      </w:hyperlink>
    </w:p>
    <w:bookmarkEnd w:id="88"/>
    <w:bookmarkStart w:id="89" w:name="ref-fell1997understand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Fell, D. Understanding the control of metabolism. Portland Press, London, 1997.</w:t>
      </w:r>
      <w:r>
        <w:t xml:space="preserve"> </w:t>
      </w:r>
    </w:p>
    <w:bookmarkEnd w:id="89"/>
    <w:bookmarkStart w:id="91" w:name="ref-kothare1996robu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Kothare, M. V., Balakrishnan, V., and Morari, M. Robust constrained model predictive control using linear matrix inequalities. Automatica, 1996;32:1361–1379. doi:</w:t>
      </w:r>
      <w:hyperlink r:id="rId90">
        <w:r>
          <w:rPr>
            <w:rStyle w:val="Hyperlink"/>
          </w:rPr>
          <w:t xml:space="preserve">10.1016/0005-1098(96)00063-5</w:t>
        </w:r>
      </w:hyperlink>
    </w:p>
    <w:bookmarkEnd w:id="91"/>
    <w:bookmarkStart w:id="93" w:name="ref-scokaert1998minmax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Scokaert, P. O. M., and Mayne, D. Q. Min-max feedback model predictive control for constrained linear systems. IEEE Transactions on Automatic Control, 1998;43:1136–1142. doi:</w:t>
      </w:r>
      <w:hyperlink r:id="rId92">
        <w:r>
          <w:rPr>
            <w:rStyle w:val="Hyperlink"/>
          </w:rPr>
          <w:t xml:space="preserve">10.1109/9.704989</w:t>
        </w:r>
      </w:hyperlink>
    </w:p>
    <w:bookmarkEnd w:id="93"/>
    <w:bookmarkStart w:id="95" w:name="ref-mayne2005tub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Mayne, D. Q., Seron, M. M., and Raković, S. V. Robust model predictive control of constrained linear systems with bounded disturbances. Automatica, 2005;41:219–224. doi:</w:t>
      </w:r>
      <w:hyperlink r:id="rId94">
        <w:r>
          <w:rPr>
            <w:rStyle w:val="Hyperlink"/>
          </w:rPr>
          <w:t xml:space="preserve">10.1016/j.automatica.2004.08.019</w:t>
        </w:r>
      </w:hyperlink>
    </w:p>
    <w:bookmarkEnd w:id="95"/>
    <w:bookmarkStart w:id="97" w:name="ref-calafiore2006scenario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Calafiore, G. C., and Campi, M. C. The scenario approach to robust control design. IEEE Transactions on Automatic Control, 2006;51:742–753. doi:</w:t>
      </w:r>
      <w:hyperlink r:id="rId96">
        <w:r>
          <w:rPr>
            <w:rStyle w:val="Hyperlink"/>
          </w:rPr>
          <w:t xml:space="preserve">10.1109/TAC.2006.875041</w:t>
        </w:r>
      </w:hyperlink>
    </w:p>
    <w:bookmarkEnd w:id="97"/>
    <w:bookmarkStart w:id="99" w:name="ref-campi2008exact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Campi, M. C., and Garatti, S. The exact feasibility of randomized solutions of uncertain convex programs. SIAM Journal on Optimization, 2008;19:1211–1230. doi:</w:t>
      </w:r>
      <w:hyperlink r:id="rId98">
        <w:r>
          <w:rPr>
            <w:rStyle w:val="Hyperlink"/>
          </w:rPr>
          <w:t xml:space="preserve">10.1137/07069821X</w:t>
        </w:r>
      </w:hyperlink>
    </w:p>
    <w:bookmarkEnd w:id="99"/>
    <w:bookmarkStart w:id="101" w:name="ref-bertsimas2011robust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Bertsimas, D., Brown, D. B., and Caramanis, C. Theory and applications of robust optimization. SIAM Review, 2011;53:464–501. doi:</w:t>
      </w:r>
      <w:hyperlink r:id="rId100">
        <w:r>
          <w:rPr>
            <w:rStyle w:val="Hyperlink"/>
          </w:rPr>
          <w:t xml:space="preserve">10.1137/080734510</w:t>
        </w:r>
      </w:hyperlink>
    </w:p>
    <w:bookmarkEnd w:id="101"/>
    <w:bookmarkStart w:id="103" w:name="ref-selkov1968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Sel’kov, E. E. Self-oscillations in glycolysis. 1. A simple kinetic model. European Journal of Biochemistry, 1968;4:79–86. doi:</w:t>
      </w:r>
      <w:hyperlink r:id="rId102">
        <w:r>
          <w:rPr>
            <w:rStyle w:val="Hyperlink"/>
          </w:rPr>
          <w:t xml:space="preserve">10.1111/j.1432-1033.1968.tb00175.x</w:t>
        </w:r>
      </w:hyperlink>
    </w:p>
    <w:bookmarkEnd w:id="103"/>
    <w:bookmarkStart w:id="105" w:name="ref-wolf2000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Wolf, J., and Heinrich, R. Effect of cellular interaction on glycolytic oscillations in yeast: A theoretical investigation. Biochemical Journal, 2000;345:321–334. doi:</w:t>
      </w:r>
      <w:hyperlink r:id="rId104">
        <w:r>
          <w:rPr>
            <w:rStyle w:val="Hyperlink"/>
          </w:rPr>
          <w:t xml:space="preserve">10.1042/bj3450321</w:t>
        </w:r>
      </w:hyperlink>
    </w:p>
    <w:bookmarkEnd w:id="105"/>
    <w:bookmarkStart w:id="107" w:name="ref-chassagnole2002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Chassagnole, C., Noisommit-Rizzi, N., Schmid, J. W., Mauch, K., and Reuss, M. Dynamic modeling of the central carbon metabolism of</w:t>
      </w:r>
      <w:r>
        <w:t xml:space="preserve"> </w:t>
      </w:r>
      <w:r>
        <w:t xml:space="preserve">Escherichia coli</w:t>
      </w:r>
      <w:r>
        <w:t xml:space="preserve">. Biotechnology and Bioengineering, 2002;79:53–73. doi:</w:t>
      </w:r>
      <w:hyperlink r:id="rId106">
        <w:r>
          <w:rPr>
            <w:rStyle w:val="Hyperlink"/>
          </w:rPr>
          <w:t xml:space="preserve">10.1002/bit.10288</w:t>
        </w:r>
      </w:hyperlink>
    </w:p>
    <w:bookmarkEnd w:id="107"/>
    <w:bookmarkStart w:id="109" w:name="ref-bental1998robust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Ben-Tal, A., and Nemirovski, A. Robust convex optimization. Mathematics of Operations Research, 1998;23:769–805. doi:</w:t>
      </w:r>
      <w:hyperlink r:id="rId108">
        <w:r>
          <w:rPr>
            <w:rStyle w:val="Hyperlink"/>
          </w:rPr>
          <w:t xml:space="preserve">10.1287/moor.23.4.769</w:t>
        </w:r>
      </w:hyperlink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Zhejiang A&amp;F University, Hang</w:t>
      </w:r>
      <w:r>
        <w:softHyphen/>
      </w:r>
      <w:r>
        <w:t xml:space="preserve">zhou, China.</w:t>
      </w:r>
      <w:r>
        <w:t xml:space="preserve"> </w:t>
      </w:r>
      <w:r>
        <w:t xml:space="preserve">Correspondence:</w:t>
      </w:r>
      <w:r>
        <w:t xml:space="preserve"> </w:t>
      </w:r>
      <w:hyperlink r:id="rId10">
        <w:r>
          <w:rPr>
            <w:rStyle w:val="Hyperlink"/>
          </w:rPr>
          <w:t xml:space="preserve">exergyleizhou@gmail.com</w:t>
        </w:r>
      </w:hyperlink>
      <w:r>
        <w:t xml:space="preserve">;</w:t>
      </w:r>
      <w:r>
        <w:t xml:space="preserve"> </w:t>
      </w:r>
      <w:r>
        <w:t xml:space="preserve">ORCID 0009-0000-9073-1349.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hyperlink" Id="rId66" Target="https://doi.org/10.1002/(SICI)1097-0290(19970420)54:2&lt;91::AID-BIT1&gt;3.0.CO;2-Q" TargetMode="External" /><Relationship Type="http://schemas.openxmlformats.org/officeDocument/2006/relationships/hyperlink" Id="rId106" Target="https://doi.org/10.1002/bit.10288" TargetMode="External" /><Relationship Type="http://schemas.openxmlformats.org/officeDocument/2006/relationships/hyperlink" Id="rId83" Target="https://doi.org/10.1007/978-3-030-03858-8" TargetMode="External" /><Relationship Type="http://schemas.openxmlformats.org/officeDocument/2006/relationships/hyperlink" Id="rId81" Target="https://doi.org/10.1007/s10107-004-0559-y" TargetMode="External" /><Relationship Type="http://schemas.openxmlformats.org/officeDocument/2006/relationships/hyperlink" Id="rId79" Target="https://doi.org/10.1007/s12532-018-0139-4" TargetMode="External" /><Relationship Type="http://schemas.openxmlformats.org/officeDocument/2006/relationships/hyperlink" Id="rId90" Target="https://doi.org/10.1016/0005-1098(96)00063-5" TargetMode="External" /><Relationship Type="http://schemas.openxmlformats.org/officeDocument/2006/relationships/hyperlink" Id="rId64" Target="https://doi.org/10.1016/S0006-3495(02)73903-9" TargetMode="External" /><Relationship Type="http://schemas.openxmlformats.org/officeDocument/2006/relationships/hyperlink" Id="rId68" Target="https://doi.org/10.1016/S1096-7176(03)00025-9" TargetMode="External" /><Relationship Type="http://schemas.openxmlformats.org/officeDocument/2006/relationships/hyperlink" Id="rId94" Target="https://doi.org/10.1016/j.automatica.2004.08.019" TargetMode="External" /><Relationship Type="http://schemas.openxmlformats.org/officeDocument/2006/relationships/hyperlink" Id="rId62" Target="https://doi.org/10.1016/j.biotechadv.2017.09.005" TargetMode="External" /><Relationship Type="http://schemas.openxmlformats.org/officeDocument/2006/relationships/hyperlink" Id="rId70" Target="https://doi.org/10.1016/j.tibtech.2010.05.003" TargetMode="External" /><Relationship Type="http://schemas.openxmlformats.org/officeDocument/2006/relationships/hyperlink" Id="rId58" Target="https://doi.org/10.1038/nbt.1614" TargetMode="External" /><Relationship Type="http://schemas.openxmlformats.org/officeDocument/2006/relationships/hyperlink" Id="rId104" Target="https://doi.org/10.1042/bj3450321" TargetMode="External" /><Relationship Type="http://schemas.openxmlformats.org/officeDocument/2006/relationships/hyperlink" Id="rId92" Target="https://doi.org/10.1109/9.704989" TargetMode="External" /><Relationship Type="http://schemas.openxmlformats.org/officeDocument/2006/relationships/hyperlink" Id="rId96" Target="https://doi.org/10.1109/TAC.2006.875041" TargetMode="External" /><Relationship Type="http://schemas.openxmlformats.org/officeDocument/2006/relationships/hyperlink" Id="rId102" Target="https://doi.org/10.1111/j.1432-1033.1968.tb00175.x" TargetMode="External" /><Relationship Type="http://schemas.openxmlformats.org/officeDocument/2006/relationships/hyperlink" Id="rId87" Target="https://doi.org/10.1111/j.1432-1033.1974.tb03318.x" TargetMode="External" /><Relationship Type="http://schemas.openxmlformats.org/officeDocument/2006/relationships/hyperlink" Id="rId72" Target="https://doi.org/10.1111/j.1742-4658.2007.06076.x" TargetMode="External" /><Relationship Type="http://schemas.openxmlformats.org/officeDocument/2006/relationships/hyperlink" Id="rId60" Target="https://doi.org/10.1128/aem.60.10.3724-3731.1994" TargetMode="External" /><Relationship Type="http://schemas.openxmlformats.org/officeDocument/2006/relationships/hyperlink" Id="rId98" Target="https://doi.org/10.1137/07069821X" TargetMode="External" /><Relationship Type="http://schemas.openxmlformats.org/officeDocument/2006/relationships/hyperlink" Id="rId100" Target="https://doi.org/10.1137/080734510" TargetMode="External" /><Relationship Type="http://schemas.openxmlformats.org/officeDocument/2006/relationships/hyperlink" Id="rId108" Target="https://doi.org/10.1287/moor.23.4.769" TargetMode="External" /><Relationship Type="http://schemas.openxmlformats.org/officeDocument/2006/relationships/hyperlink" Id="rId74" Target="https://doi.org/10.23919/ACC55779.2023.10156281" TargetMode="External" /><Relationship Type="http://schemas.openxmlformats.org/officeDocument/2006/relationships/hyperlink" Id="rId76" Target="https://doi.org/10.7907/rtwq-v497" TargetMode="External" /><Relationship Type="http://schemas.openxmlformats.org/officeDocument/2006/relationships/hyperlink" Id="rId10" Target="mailto:exergyleizhou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002/(SICI)1097-0290(19970420)54:2&lt;91::AID-BIT1&gt;3.0.CO;2-Q" TargetMode="External" /><Relationship Type="http://schemas.openxmlformats.org/officeDocument/2006/relationships/hyperlink" Id="rId106" Target="https://doi.org/10.1002/bit.10288" TargetMode="External" /><Relationship Type="http://schemas.openxmlformats.org/officeDocument/2006/relationships/hyperlink" Id="rId83" Target="https://doi.org/10.1007/978-3-030-03858-8" TargetMode="External" /><Relationship Type="http://schemas.openxmlformats.org/officeDocument/2006/relationships/hyperlink" Id="rId81" Target="https://doi.org/10.1007/s10107-004-0559-y" TargetMode="External" /><Relationship Type="http://schemas.openxmlformats.org/officeDocument/2006/relationships/hyperlink" Id="rId79" Target="https://doi.org/10.1007/s12532-018-0139-4" TargetMode="External" /><Relationship Type="http://schemas.openxmlformats.org/officeDocument/2006/relationships/hyperlink" Id="rId90" Target="https://doi.org/10.1016/0005-1098(96)00063-5" TargetMode="External" /><Relationship Type="http://schemas.openxmlformats.org/officeDocument/2006/relationships/hyperlink" Id="rId64" Target="https://doi.org/10.1016/S0006-3495(02)73903-9" TargetMode="External" /><Relationship Type="http://schemas.openxmlformats.org/officeDocument/2006/relationships/hyperlink" Id="rId68" Target="https://doi.org/10.1016/S1096-7176(03)00025-9" TargetMode="External" /><Relationship Type="http://schemas.openxmlformats.org/officeDocument/2006/relationships/hyperlink" Id="rId94" Target="https://doi.org/10.1016/j.automatica.2004.08.019" TargetMode="External" /><Relationship Type="http://schemas.openxmlformats.org/officeDocument/2006/relationships/hyperlink" Id="rId62" Target="https://doi.org/10.1016/j.biotechadv.2017.09.005" TargetMode="External" /><Relationship Type="http://schemas.openxmlformats.org/officeDocument/2006/relationships/hyperlink" Id="rId70" Target="https://doi.org/10.1016/j.tibtech.2010.05.003" TargetMode="External" /><Relationship Type="http://schemas.openxmlformats.org/officeDocument/2006/relationships/hyperlink" Id="rId58" Target="https://doi.org/10.1038/nbt.1614" TargetMode="External" /><Relationship Type="http://schemas.openxmlformats.org/officeDocument/2006/relationships/hyperlink" Id="rId104" Target="https://doi.org/10.1042/bj3450321" TargetMode="External" /><Relationship Type="http://schemas.openxmlformats.org/officeDocument/2006/relationships/hyperlink" Id="rId92" Target="https://doi.org/10.1109/9.704989" TargetMode="External" /><Relationship Type="http://schemas.openxmlformats.org/officeDocument/2006/relationships/hyperlink" Id="rId96" Target="https://doi.org/10.1109/TAC.2006.875041" TargetMode="External" /><Relationship Type="http://schemas.openxmlformats.org/officeDocument/2006/relationships/hyperlink" Id="rId102" Target="https://doi.org/10.1111/j.1432-1033.1968.tb00175.x" TargetMode="External" /><Relationship Type="http://schemas.openxmlformats.org/officeDocument/2006/relationships/hyperlink" Id="rId87" Target="https://doi.org/10.1111/j.1432-1033.1974.tb03318.x" TargetMode="External" /><Relationship Type="http://schemas.openxmlformats.org/officeDocument/2006/relationships/hyperlink" Id="rId72" Target="https://doi.org/10.1111/j.1742-4658.2007.06076.x" TargetMode="External" /><Relationship Type="http://schemas.openxmlformats.org/officeDocument/2006/relationships/hyperlink" Id="rId60" Target="https://doi.org/10.1128/aem.60.10.3724-3731.1994" TargetMode="External" /><Relationship Type="http://schemas.openxmlformats.org/officeDocument/2006/relationships/hyperlink" Id="rId98" Target="https://doi.org/10.1137/07069821X" TargetMode="External" /><Relationship Type="http://schemas.openxmlformats.org/officeDocument/2006/relationships/hyperlink" Id="rId100" Target="https://doi.org/10.1137/080734510" TargetMode="External" /><Relationship Type="http://schemas.openxmlformats.org/officeDocument/2006/relationships/hyperlink" Id="rId108" Target="https://doi.org/10.1287/moor.23.4.769" TargetMode="External" /><Relationship Type="http://schemas.openxmlformats.org/officeDocument/2006/relationships/hyperlink" Id="rId74" Target="https://doi.org/10.23919/ACC55779.2023.10156281" TargetMode="External" /><Relationship Type="http://schemas.openxmlformats.org/officeDocument/2006/relationships/hyperlink" Id="rId76" Target="https://doi.org/10.7907/rtwq-v497" TargetMode="External" /><Relationship Type="http://schemas.openxmlformats.org/officeDocument/2006/relationships/hyperlink" Id="rId10" Target="mailto:exergyleizhou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open, reproducible implementation of reaction-order-polyhedron–constrained flux exponent control, and an honest analysis of when binding structure helps</dc:title>
  <dc:creator>Lei Zhou</dc:creator>
  <cp:keywords/>
  <dcterms:created xsi:type="dcterms:W3CDTF">2026-06-22T02:13:43Z</dcterms:created>
  <dcterms:modified xsi:type="dcterms:W3CDTF">2026-06-22T02:13:43Z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 Xiao, Li and Doyle’s flux exponent control (FEC) and its underlying reaction order polyhedron (ROP) propose that metabolic dynamics can be predicted and controlled from network structure: the reaction-order exponents of a power-law kinetic model are constrained, by binding stoichiometry, to a polyhedron, and dynamic regulation is the solution of an optimal-control problem over that polyhedron. The framework is attractive because it avoids full kinetic-parameter identification, but it has existed as theory and an MPC concept without an open, tested implementation. We contribute three things. (i) A reproducible reference implementation, ropfec: ROP H-representation construction, ROP-constrained FEC as a CasADi/IPOPT optimal-control problem, interval/robust and multicellular extensions, and a modular closed-loop integration with reference component implementations; 44 automated tests; one-command reproduction. On an in-silico glycolysis benchmark, enforcing the binding-derived ROP reduces trajectory prediction error \sim\!3.2\times versus an out-of-polyhedron exponent, and the FEC solver tracks a target flux to within 0.5\% of ground truth. (ii) A clarifying connection: FEC’s controlled exponents are exactly the elasticity coefficients of metabolic control analysis (MCA), placing FEC within a classical formalism rather than treating it as an ad hoc parameterization. We also provide two published glycolytic-oscillator models (Sel’kov; Wolf–Heinrich) as validated re-implementations and reusable testbeds. (iii) An honest negative result: we test whether the binding-derived ROP, used as a structural prior, improves data-driven estimation of reaction orders, and find it does not — when rate data are informative the ROP is inactive, and when data are scarce it tightens the feasible set no more than a count-matched random set. The value of ROP/FEC is therefore as a structural modelling and control framework, not as a statistical regulariser for identification. We are explicit about scope: all results are in-silico with reference components and no wet-lab data. The software is intended as a reproducible reference and an honest map of where the framework does and does not add value.</vt:lpwstr>
  </property>
  <property fmtid="{D5CDD505-2E9C-101B-9397-08002B2CF9AE}" pid="3" name="bibliography">
    <vt:lpwstr>refs.bib</vt:lpwstr>
  </property>
  <property fmtid="{D5CDD505-2E9C-101B-9397-08002B2CF9AE}" pid="4" name="csl">
    <vt:lpwstr>numeric.csl</vt:lpwstr>
  </property>
  <property fmtid="{D5CDD505-2E9C-101B-9397-08002B2CF9AE}" pid="5" name="date">
    <vt:lpwstr>2026-06-22</vt:lpwstr>
  </property>
</Properties>
</file>