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3.png" ContentType="image/png"/>
  <Override PartName="/word/media/rId1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  <w:b/>
          <w:bCs/>
        </w:rPr>
        <w:t xml:space="preserve">ropfec</w:t>
      </w:r>
      <w:r>
        <w:rPr>
          <w:b/>
          <w:bCs/>
        </w:rPr>
        <w:t xml:space="preserve">: an open, tested implementation of</w:t>
      </w:r>
      <w:r>
        <w:rPr>
          <w:b/>
          <w:bCs/>
        </w:rPr>
        <w:t xml:space="preserve"> </w:t>
      </w:r>
      <w:r>
        <w:rPr>
          <w:b/>
          <w:bCs/>
        </w:rPr>
        <w:t xml:space="preserve">reaction-order-constrained flux-exponent control for staged bioconversion</w:t>
      </w:r>
    </w:p>
    <w:p>
      <w:pPr>
        <w:pStyle w:val="Author"/>
      </w:pPr>
      <w:r>
        <w:t xml:space="preserve">Lei Zhou</w:t>
      </w:r>
      <w:r>
        <w:rPr>
          <w:rStyle w:val="FootnoteReference"/>
        </w:rPr>
        <w:footnoteReference w:id="9"/>
      </w:r>
    </w:p>
    <w:p>
      <w:pPr>
        <w:pStyle w:val="Date"/>
      </w:pPr>
      <w:r>
        <w:t xml:space="preserve">2026-06-23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 </w:t>
      </w:r>
      <w:r>
        <w:t xml:space="preserve">We present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, a small, well-tested Python package that makes</w:t>
      </w:r>
      <w:r>
        <w:t xml:space="preserve"> </w:t>
      </w:r>
      <w:r>
        <w:t xml:space="preserve">reaction-order-polytope (ROP) geometry and flux-exponent control (FEC) — a framework for</w:t>
      </w:r>
      <w:r>
        <w:t xml:space="preserve"> </w:t>
      </w:r>
      <w:r>
        <w:t xml:space="preserve">regulating and predicting metabolic-network dynamics from binding structure without full</w:t>
      </w:r>
      <w:r>
        <w:t xml:space="preserve"> </w:t>
      </w:r>
      <w:r>
        <w:t xml:space="preserve">kinetic-parameter identification — runnable and verifiable. The idea is attractive for</w:t>
      </w:r>
      <w:r>
        <w:t xml:space="preserve"> </w:t>
      </w:r>
      <w:r>
        <w:t xml:space="preserve">controlling staged bioconversion, but we show it is only partly supported; it had existed as</w:t>
      </w:r>
      <w:r>
        <w:t xml:space="preserve"> </w:t>
      </w:r>
      <w:r>
        <w:t xml:space="preserve">theory and a model-predictive-control concept without an open, tested implementation. The</w:t>
      </w:r>
      <w:r>
        <w:t xml:space="preserve"> </w:t>
      </w:r>
      <w:r>
        <w:t xml:space="preserve">package provides:</w:t>
      </w:r>
      <w:r>
        <w:t xml:space="preserve"> </w:t>
      </w:r>
      <w:r>
        <w:t xml:space="preserve">H-representation construction of the ROP, ROP-constrained FEC as a CasADi/IPOPT</w:t>
      </w:r>
      <w:r>
        <w:t xml:space="preserve"> </w:t>
      </w:r>
      <w:r>
        <w:t xml:space="preserve">optimal-control problem, interval/robust and multicellular extensions, a data-driven</w:t>
      </w:r>
      <w:r>
        <w:t xml:space="preserve"> </w:t>
      </w:r>
      <w:r>
        <w:t xml:space="preserve">order-uncertainty module, test-anchored re-implementations of two published glycolytic</w:t>
      </w:r>
      <w:r>
        <w:t xml:space="preserve"> </w:t>
      </w:r>
      <w:r>
        <w:t xml:space="preserve">oscillators (Sel’kov; Wolf–Heinrich), and a modular closed-loop reference</w:t>
      </w:r>
      <w:r>
        <w:t xml:space="preserve"> </w:t>
      </w:r>
      <w:r>
        <w:t xml:space="preserve">architecture. The software ships 44 automated tests and a one-command reproduction of the data figures it</w:t>
      </w:r>
      <w:r>
        <w:t xml:space="preserve"> </w:t>
      </w:r>
      <w:r>
        <w:t xml:space="preserve">generates and their numbers (the Example-1 tracking costs come from a separate bundled</w:t>
      </w:r>
      <w:r>
        <w:t xml:space="preserve"> </w:t>
      </w:r>
      <w:r>
        <w:t xml:space="preserve">benchmark script; the architecture is a schematic). Beyond the artifact, the package encodes two honest</w:t>
      </w:r>
      <w:r>
        <w:t xml:space="preserve"> </w:t>
      </w:r>
      <w:r>
        <w:t xml:space="preserve">results as first-class, re-runnable claims: a</w:t>
      </w:r>
      <w:r>
        <w:t xml:space="preserve"> </w:t>
      </w:r>
      <w:r>
        <w:rPr>
          <w:i/>
          <w:iCs/>
        </w:rPr>
        <w:t xml:space="preserve">clarifying identity</w:t>
      </w:r>
      <w:r>
        <w:t xml:space="preserve"> </w:t>
      </w:r>
      <w:r>
        <w:t xml:space="preserve">— the exponents</w:t>
      </w:r>
      <w:r>
        <w:t xml:space="preserve"> </w:t>
      </w:r>
      <w:r>
        <w:t xml:space="preserve">FEC controls are exactly the elasticity coefficients of metabolic control analysis (MCA)</w:t>
      </w:r>
      <w:r>
        <w:t xml:space="preserve"> </w:t>
      </w:r>
      <w:r>
        <w:t xml:space="preserve">— and a</w:t>
      </w:r>
      <w:r>
        <w:t xml:space="preserve"> </w:t>
      </w:r>
      <w:r>
        <w:rPr>
          <w:i/>
          <w:iCs/>
        </w:rPr>
        <w:t xml:space="preserve">built-in falsification</w:t>
      </w:r>
      <w:r>
        <w:t xml:space="preserve">: tested against a count-matched random-facet null,</w:t>
      </w:r>
      <w:r>
        <w:t xml:space="preserve"> </w:t>
      </w:r>
      <w:r>
        <w:t xml:space="preserve">the binding-derived ROP does not materially improve data-driven estimation of reaction orders.</w:t>
      </w:r>
      <w:r>
        <w:t xml:space="preserve"> </w:t>
      </w:r>
      <w:r>
        <w:t xml:space="preserve">The transferable thesis is that reaction-order structure is a</w:t>
      </w:r>
      <w:r>
        <w:t xml:space="preserve"> </w:t>
      </w:r>
      <w:r>
        <w:rPr>
          <w:i/>
          <w:iCs/>
        </w:rPr>
        <w:t xml:space="preserve">control-admissibility</w:t>
      </w:r>
      <w:r>
        <w:rPr>
          <w:i/>
          <w:iCs/>
        </w:rPr>
        <w:t xml:space="preserve"> </w:t>
      </w:r>
      <w:r>
        <w:rPr>
          <w:i/>
          <w:iCs/>
        </w:rPr>
        <w:t xml:space="preserve">set, not an estimation prior</w:t>
      </w:r>
      <w:r>
        <w:t xml:space="preserve">.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 </w:t>
      </w:r>
      <w:r>
        <w:t xml:space="preserve">is intended as the computational control layer for the</w:t>
      </w:r>
      <w:r>
        <w:t xml:space="preserve"> </w:t>
      </w:r>
      <w:r>
        <w:t xml:space="preserve">staged</w:t>
      </w:r>
      <w:r>
        <w:t xml:space="preserve"> </w:t>
      </w:r>
      <w:r>
        <w:t xml:space="preserve">“Biological Operating System”</w:t>
      </w:r>
      <w:r>
        <w:t xml:space="preserve"> </w:t>
      </w:r>
      <w:r>
        <w:t xml:space="preserve">whose wet-lab decoupling result is reported</w:t>
      </w:r>
      <w:r>
        <w:t xml:space="preserve"> </w:t>
      </w:r>
      <w:r>
        <w:t xml:space="preserve">separately; all demonstrations here are in-silico with reference components and published</w:t>
      </w:r>
      <w:r>
        <w:t xml:space="preserve"> </w:t>
      </w:r>
      <w:r>
        <w:t xml:space="preserve">or synthetic ground truth.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reproducible software; flux exponent control; reaction order</w:t>
      </w:r>
      <w:r>
        <w:t xml:space="preserve"> </w:t>
      </w:r>
      <w:r>
        <w:t xml:space="preserve">polytope; metabolic control analysis; optimal control; staged bioconversion; falsification</w:t>
      </w:r>
    </w:p>
    <w:bookmarkStart w:id="13" w:name="tab:meta"/>
    <w:p>
      <w:pPr>
        <w:pStyle w:val="TableCaption"/>
      </w:pPr>
      <w:r>
        <w:t xml:space="preserve">Code metadata.</w:t>
      </w:r>
    </w:p>
    <w:tbl>
      <w:tblPr>
        <w:tblStyle w:val="Table"/>
        <w:tblW w:type="pct" w:w="4600"/>
        <w:tblLayout w:type="fixed"/>
        <w:tblLook w:firstRow="1" w:lastRow="0" w:firstColumn="0" w:lastColumn="0" w:noHBand="0" w:noVBand="0" w:val="0020"/>
        <w:tblCaption w:val="Code metadata."/>
      </w:tblPr>
      <w:tblGrid>
        <w:gridCol w:w="3168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metadata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Current code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v1.0.1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 Permanent link to code/repository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https://github.com/exergyleizhou-ux/ropfec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 Permanent link to reproducible capsule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10.5281/zenodo.20805373</w:t>
              </w:r>
            </w:hyperlink>
            <w:r>
              <w:t xml:space="preserve"> </w:t>
            </w:r>
            <w:r>
              <w:t xml:space="preserve">(Zenodo,</w:t>
            </w:r>
            <w:r>
              <w:t xml:space="preserve"> </w:t>
            </w:r>
            <w:r>
              <w:rPr>
                <w:rStyle w:val="VerbatimChar"/>
              </w:rPr>
              <w:t xml:space="preserve">v1.0.1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Legal code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 Code versioning system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 Software languages, tools,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Python 3.9+, NumPy, SciPy, CasADi/IPOPT, Matplotlib, pytest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 Compilation/runtime requirements &amp;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Python 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3.9; NumPy, SciPy, Matplotlib; CasADi+IPOPT optional (SciPy projection fallback otherwise); plus the bundled in-repo</w:t>
            </w:r>
            <w:r>
              <w:t xml:space="preserve"> </w:t>
            </w:r>
            <w:r>
              <w:rPr>
                <w:rStyle w:val="VerbatimChar"/>
              </w:rPr>
              <w:t xml:space="preserve">bos_platform</w:t>
            </w:r>
            <w:r>
              <w:t xml:space="preserve"> </w:t>
            </w:r>
            <w:r>
              <w:t xml:space="preserve">reference package (installed by</w:t>
            </w:r>
            <w:r>
              <w:t xml:space="preserve"> </w:t>
            </w:r>
            <w:r>
              <w:rPr>
                <w:rStyle w:val="VerbatimChar"/>
              </w:rPr>
              <w:t xml:space="preserve">pip install -e .</w:t>
            </w:r>
            <w:r>
              <w:t xml:space="preserve">), used by the benchmark/integration tests and the Example-1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 Developer documentation/manual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r>
              <w:t xml:space="preserve">repository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 </w:t>
            </w:r>
            <w:r>
              <w:t xml:space="preserve">+ module docstrings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 Support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exergyleizhou@gmail.com</w:t>
              </w:r>
            </w:hyperlink>
          </w:p>
        </w:tc>
      </w:tr>
    </w:tbl>
    <w:bookmarkEnd w:id="13"/>
    <w:bookmarkStart w:id="14" w:name="motivation-and-significance"/>
    <w:p>
      <w:pPr>
        <w:pStyle w:val="Heading1"/>
      </w:pPr>
      <w:r>
        <w:t xml:space="preserve">Motivation and significance</w:t>
      </w:r>
    </w:p>
    <w:p>
      <w:pPr>
        <w:pStyle w:val="FirstParagraph"/>
      </w:pPr>
      <w:r>
        <w:t xml:space="preserve">Predicting and controlling the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of metabolism from network structure sits</w:t>
      </w:r>
      <w:r>
        <w:t xml:space="preserve"> </w:t>
      </w:r>
      <w:r>
        <w:t xml:space="preserve">between two established extremes. Flux balance analysis (FBA) predicts steady-state fluxes</w:t>
      </w:r>
      <w:r>
        <w:t xml:space="preserve"> </w:t>
      </w:r>
      <w:r>
        <w:t xml:space="preserve">from stoichiometry and an optimality principle with no kinetic parameters, but is</w:t>
      </w:r>
      <w:r>
        <w:t xml:space="preserve"> </w:t>
      </w:r>
      <w:r>
        <w:t xml:space="preserve">static </w:t>
      </w:r>
      <w:r>
        <w:t xml:space="preserve">[1,2]</w:t>
      </w:r>
      <w:r>
        <w:t xml:space="preserve">; mechanistic kinetic models capture</w:t>
      </w:r>
      <w:r>
        <w:t xml:space="preserve"> </w:t>
      </w:r>
      <w:r>
        <w:t xml:space="preserve">dynamics but require many poorly identifiable parameters </w:t>
      </w:r>
      <w:r>
        <w:t xml:space="preserve">[3]</w:t>
      </w:r>
      <w:r>
        <w:t xml:space="preserve">. Approximate</w:t>
      </w:r>
      <w:r>
        <w:t xml:space="preserve"> </w:t>
      </w:r>
      <w:r>
        <w:t xml:space="preserve">middle-ground frameworks include dynamic FBA </w:t>
      </w:r>
      <w:r>
        <w:t xml:space="preserve">[4]</w:t>
      </w:r>
      <w:r>
        <w:t xml:space="preserve">, lin-log</w:t>
      </w:r>
      <w:r>
        <w:t xml:space="preserve"> </w:t>
      </w:r>
      <w:r>
        <w:t xml:space="preserve">kinetics </w:t>
      </w:r>
      <w:r>
        <w:t xml:space="preserve">[5,6]</w:t>
      </w:r>
      <w:r>
        <w:t xml:space="preserve">, and ensemble</w:t>
      </w:r>
      <w:r>
        <w:t xml:space="preserve"> </w:t>
      </w:r>
      <w:r>
        <w:t xml:space="preserve">methods </w:t>
      </w:r>
      <w:r>
        <w:t xml:space="preserve">[7,8]</w:t>
      </w:r>
      <w:r>
        <w:t xml:space="preserve">. Xiao and colleagues proposed</w:t>
      </w:r>
      <w:r>
        <w:t xml:space="preserve"> </w:t>
      </w:r>
      <w:r>
        <w:t xml:space="preserve">another </w:t>
      </w:r>
      <w:r>
        <w:t xml:space="preserve">[9]</w:t>
      </w:r>
      <w:r>
        <w:t xml:space="preserve">, building on a line of structural work </w:t>
      </w:r>
      <w:r>
        <w:t xml:space="preserve">[10–12]</w:t>
      </w:r>
      <w:r>
        <w:t xml:space="preserve">: in a power-law description the reaction-order</w:t>
      </w:r>
      <w:r>
        <w:t xml:space="preserve"> </w:t>
      </w:r>
      <w:r>
        <w:t xml:space="preserve">exponents are constrained by binding stoichiometry to a polytope, the</w:t>
      </w:r>
      <w:r>
        <w:t xml:space="preserve"> </w:t>
      </w:r>
      <w:r>
        <w:rPr>
          <w:i/>
          <w:iCs/>
        </w:rPr>
        <w:t xml:space="preserve">reaction order</w:t>
      </w:r>
      <w:r>
        <w:rPr>
          <w:i/>
          <w:iCs/>
        </w:rPr>
        <w:t xml:space="preserve"> </w:t>
      </w:r>
      <w:r>
        <w:rPr>
          <w:i/>
          <w:iCs/>
        </w:rPr>
        <w:t xml:space="preserve">polytope</w:t>
      </w:r>
      <w:r>
        <w:t xml:space="preserve"> </w:t>
      </w:r>
      <w:r>
        <w:t xml:space="preserve">(ROP), whose continuous analogue is the log-derivative of the rate;</w:t>
      </w:r>
      <w:r>
        <w:t xml:space="preserve"> </w:t>
      </w:r>
      <w:r>
        <w:rPr>
          <w:i/>
          <w:iCs/>
        </w:rPr>
        <w:t xml:space="preserve">flux</w:t>
      </w:r>
      <w:r>
        <w:rPr>
          <w:i/>
          <w:iCs/>
        </w:rPr>
        <w:t xml:space="preserve"> </w:t>
      </w:r>
      <w:r>
        <w:rPr>
          <w:i/>
          <w:iCs/>
        </w:rPr>
        <w:t xml:space="preserve">exponent control</w:t>
      </w:r>
      <w:r>
        <w:t xml:space="preserve"> </w:t>
      </w:r>
      <w:r>
        <w:t xml:space="preserve">(FEC) casts dynamic regulation as an optimal-control problem over the ROP,</w:t>
      </w:r>
      <w:r>
        <w:t xml:space="preserve"> </w:t>
      </w:r>
      <w:r>
        <w:t xml:space="preserve">tractable by model predictive control </w:t>
      </w:r>
      <w:r>
        <w:t xml:space="preserve">[13,14]</w:t>
      </w:r>
      <w:r>
        <w:t xml:space="preserve">. Because the admissible</w:t>
      </w:r>
      <w:r>
        <w:t xml:space="preserve"> </w:t>
      </w:r>
      <w:r>
        <w:t xml:space="preserve">exponents come from structure, FEC is</w:t>
      </w:r>
      <w:r>
        <w:t xml:space="preserve"> </w:t>
      </w:r>
      <w:r>
        <w:rPr>
          <w:i/>
          <w:iCs/>
        </w:rPr>
        <w:t xml:space="preserve">proposed</w:t>
      </w:r>
      <w:r>
        <w:t xml:space="preserve"> </w:t>
      </w:r>
      <w:r>
        <w:t xml:space="preserve">to predict dynamics — glycolytic oscillations</w:t>
      </w:r>
      <w:r>
        <w:t xml:space="preserve"> </w:t>
      </w:r>
      <w:r>
        <w:t xml:space="preserve">being the motivating example — without full parameter identification.</w:t>
      </w:r>
    </w:p>
    <w:p>
      <w:pPr>
        <w:pStyle w:val="BodyText"/>
      </w:pPr>
      <w:r>
        <w:t xml:space="preserve">This is a natural candidate control layer for</w:t>
      </w:r>
      <w:r>
        <w:t xml:space="preserve"> </w:t>
      </w:r>
      <w:r>
        <w:rPr>
          <w:i/>
          <w:iCs/>
        </w:rPr>
        <w:t xml:space="preserve">staged bioconversion</w:t>
      </w:r>
      <w:r>
        <w:t xml:space="preserve">, where a process</w:t>
      </w:r>
      <w:r>
        <w:t xml:space="preserve"> </w:t>
      </w:r>
      <w:r>
        <w:t xml:space="preserve">is deliberately decomposed into a deconstruction stage, a standardizing kernel, and a</w:t>
      </w:r>
      <w:r>
        <w:t xml:space="preserve"> </w:t>
      </w:r>
      <w:r>
        <w:t xml:space="preserve">recovery stage linked by a declared chemical handover — the</w:t>
      </w:r>
      <w:r>
        <w:t xml:space="preserve"> </w:t>
      </w:r>
      <w:r>
        <w:t xml:space="preserve">“Biological Operating</w:t>
      </w:r>
      <w:r>
        <w:t xml:space="preserve"> </w:t>
      </w:r>
      <w:r>
        <w:t xml:space="preserve">System”</w:t>
      </w:r>
      <w:r>
        <w:t xml:space="preserve"> </w:t>
      </w:r>
      <w:r>
        <w:t xml:space="preserve">(BOS) pattern whose wet-lab resource-recovery result is reported</w:t>
      </w:r>
      <w:r>
        <w:t xml:space="preserve"> </w:t>
      </w:r>
      <w:r>
        <w:t xml:space="preserve">separately </w:t>
      </w:r>
      <w:r>
        <w:t xml:space="preserve">[15]</w:t>
      </w:r>
      <w:r>
        <w:t xml:space="preserve">. To be used, built upon, and trusted in that setting, the</w:t>
      </w:r>
      <w:r>
        <w:t xml:space="preserve"> </w:t>
      </w:r>
      <w:r>
        <w:t xml:space="preserve">framework needs two things it did not have:</w:t>
      </w:r>
      <w:r>
        <w:t xml:space="preserve"> </w:t>
      </w:r>
      <w:r>
        <w:rPr>
          <w:b/>
          <w:bCs/>
        </w:rPr>
        <w:t xml:space="preserve">(i)</w:t>
      </w:r>
      <w:r>
        <w:t xml:space="preserve"> an open, tested implementation, and</w:t>
      </w:r>
      <w:r>
        <w:t xml:space="preserve"> </w:t>
      </w:r>
      <w:r>
        <w:rPr>
          <w:b/>
          <w:bCs/>
        </w:rPr>
        <w:t xml:space="preserve">(ii)</w:t>
      </w:r>
      <w:r>
        <w:t xml:space="preserve"> an account of where its structural prior actually helps.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 </w:t>
      </w:r>
      <w:r>
        <w:t xml:space="preserve">supplies both. No novel scientific result is claimed: ROP, FEC and the log-derivative</w:t>
      </w:r>
      <w:r>
        <w:t xml:space="preserve"> </w:t>
      </w:r>
      <w:r>
        <w:t xml:space="preserve">geometry are the prior work of Xiao and colleagues; the contribution is the open,</w:t>
      </w:r>
      <w:r>
        <w:t xml:space="preserve"> </w:t>
      </w:r>
      <w:r>
        <w:t xml:space="preserve">reproducible implementation and the empirical map around it; no methodological novelty is claimed. Concretely the package provides:</w:t>
      </w:r>
    </w:p>
    <w:p>
      <w:pPr>
        <w:numPr>
          <w:ilvl w:val="0"/>
          <w:numId w:val="1001"/>
        </w:numPr>
      </w:pPr>
      <w:r>
        <w:t xml:space="preserve">a validated reference implementation of ROP construction and ROP-constrained FEC, with</w:t>
      </w:r>
      <w:r>
        <w:t xml:space="preserve"> </w:t>
      </w:r>
      <w:r>
        <w:t xml:space="preserve">robust/interval, multicellular, and data-driven-uncertainty modules, and a one-command</w:t>
      </w:r>
      <w:r>
        <w:t xml:space="preserve"> </w:t>
      </w:r>
      <w:r>
        <w:t xml:space="preserve">reproduction (Section 2);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MCA-elasticity identity</w:t>
      </w:r>
      <w:r>
        <w:t xml:space="preserve"> </w:t>
      </w:r>
      <w:r>
        <w:t xml:space="preserve">as a design contract that keeps the control</w:t>
      </w:r>
      <w:r>
        <w:t xml:space="preserve"> </w:t>
      </w:r>
      <w:r>
        <w:t xml:space="preserve">variable physically interpretable: the controlled exponents are exactly metabolic-control-</w:t>
      </w:r>
      <w:r>
        <w:t xml:space="preserve"> </w:t>
      </w:r>
      <w:r>
        <w:t xml:space="preserve">analysis elasticities (Section 2);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built-in falsification</w:t>
      </w:r>
      <w:r>
        <w:t xml:space="preserve">: a test that compares the binding-derived ROP against</w:t>
      </w:r>
      <w:r>
        <w:t xml:space="preserve"> </w:t>
      </w:r>
      <w:r>
        <w:t xml:space="preserve">a count-matched random-facet null and finds it confers no more than a slight advantage for</w:t>
      </w:r>
      <w:r>
        <w:t xml:space="preserve"> </w:t>
      </w:r>
      <w:r>
        <w:t xml:space="preserve">data-driven order estimation (Section 3). This null comparison ships as a runnable test, so</w:t>
      </w:r>
      <w:r>
        <w:t xml:space="preserve"> </w:t>
      </w:r>
      <w:r>
        <w:t xml:space="preserve">the negative finding is reproducible and remains open to refutation on new data.</w:t>
      </w:r>
    </w:p>
    <w:p>
      <w:pPr>
        <w:pStyle w:val="FirstParagraph"/>
      </w:pPr>
      <w:r>
        <w:t xml:space="preserve">All demonstrations are in-silico, on synthetic or published-model ground truth, with the</w:t>
      </w:r>
      <w:r>
        <w:t xml:space="preserve"> </w:t>
      </w:r>
      <w:r>
        <w:t xml:space="preserve">loop’s estimation/robustness/governance blocks supplied as clearly-labelled reference</w:t>
      </w:r>
      <w:r>
        <w:t xml:space="preserve"> </w:t>
      </w:r>
      <w:r>
        <w:t xml:space="preserve">components; no wet-lab data are introduced here (those live in </w:t>
      </w:r>
      <w:r>
        <w:t xml:space="preserve">[15]</w:t>
      </w:r>
      <w:r>
        <w:t xml:space="preserve">). For a</w:t>
      </w:r>
      <w:r>
        <w:t xml:space="preserve"> </w:t>
      </w:r>
      <w:r>
        <w:t xml:space="preserve">software contribution, an in-silico scope with reference components is appropriate.</w:t>
      </w:r>
    </w:p>
    <w:bookmarkEnd w:id="14"/>
    <w:bookmarkStart w:id="22" w:name="sec:desc"/>
    <w:p>
      <w:pPr>
        <w:pStyle w:val="Heading1"/>
      </w:pPr>
      <w:r>
        <w:t xml:space="preserve">Software description</w:t>
      </w:r>
    </w:p>
    <w:bookmarkStart w:id="16" w:name="software-architecture"/>
    <w:p>
      <w:pPr>
        <w:pStyle w:val="Heading2"/>
      </w:pPr>
      <w:r>
        <w:t xml:space="preserve">Software architecture</w:t>
      </w:r>
    </w:p>
    <w:p>
      <w:pPr>
        <w:pStyle w:val="FirstParagraph"/>
      </w:pPr>
      <w:r>
        <w:rPr>
          <w:rStyle w:val="VerbatimChar"/>
        </w:rPr>
        <w:t xml:space="preserve">ropfec</w:t>
      </w:r>
      <w:r>
        <w:t xml:space="preserve"> </w:t>
      </w:r>
      <w:r>
        <w:t xml:space="preserve">is a small Python package (NumPy/SciPy, with optional CasADi/IPOPT) organized</w:t>
      </w:r>
      <w:r>
        <w:t xml:space="preserve"> </w:t>
      </w:r>
      <w:r>
        <w:t xml:space="preserve">around the constructs below; Figure 1 shows the closed-loop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architecture and its mapping onto the three BOS stages. For a chemical reaction network with</w:t>
      </w:r>
      <w:r>
        <w:t xml:space="preserve"> </w:t>
      </w:r>
      <w:r>
        <w:t xml:space="preserve">species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n</m:t>
            </m:r>
          </m:sup>
        </m:sSubSup>
      </m:oMath>
      <w:r>
        <w:t xml:space="preserve">, stoichiometric matrix</w:t>
      </w:r>
      <w:r>
        <w:t xml:space="preserve"> </w:t>
      </w:r>
      <m:oMath>
        <m:r>
          <m:t>N</m:t>
        </m:r>
      </m:oMath>
      <w:r>
        <w:t xml:space="preserve">, and power-law</w:t>
      </w:r>
      <w:r>
        <w:t xml:space="preserve"> </w:t>
      </w:r>
      <w:r>
        <w:t xml:space="preserve">rates (the</w:t>
      </w:r>
      <w:r>
        <w:t xml:space="preserve"> </w:t>
      </w:r>
      <w:r>
        <w:t xml:space="preserve">S</w:t>
      </w:r>
      <w:r>
        <w:t xml:space="preserve">-system formalism) </w:t>
      </w:r>
      <w:r>
        <w:t xml:space="preserve">[16–18]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</m:sub>
          </m:sSub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α</m:t>
                      </m:r>
                    </m:e>
                    <m:sub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sup>
              </m:sSubSup>
            </m:e>
          </m:nary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 reaction-order</w:t>
      </w:r>
      <w:r>
        <w:t xml:space="preserve"> </w:t>
      </w:r>
      <w:r>
        <w:rPr>
          <w:i/>
          <w:iCs/>
        </w:rPr>
        <w:t xml:space="preserve">matrix</w:t>
      </w:r>
      <w:r>
        <w:t xml:space="preserve">. Collecting the exponents that</w:t>
      </w:r>
      <w:r>
        <w:t xml:space="preserve"> </w:t>
      </w:r>
      <w:r>
        <w:t xml:space="preserve">FEC regulates into a</w:t>
      </w:r>
      <w:r>
        <w:t xml:space="preserve"> </w:t>
      </w:r>
      <w:r>
        <w:rPr>
          <w:i/>
          <w:iCs/>
        </w:rPr>
        <w:t xml:space="preserve">vector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(selected entries of</w:t>
      </w:r>
      <w:r>
        <w:t xml:space="preserve"> </w:t>
      </w:r>
      <m:oMath>
        <m:r>
          <m:t>α</m:t>
        </m:r>
      </m:oMath>
      <w:r>
        <w:t xml:space="preserve">), the</w:t>
      </w:r>
      <w:r>
        <w:t xml:space="preserve"> </w:t>
      </w:r>
      <w:r>
        <w:rPr>
          <w:i/>
          <w:iCs/>
        </w:rPr>
        <w:t xml:space="preserve">reaction order polytope</w:t>
      </w:r>
      <w:r>
        <w:t xml:space="preserve"> </w:t>
      </w:r>
      <w:r>
        <w:t xml:space="preserve">constrains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P</m:t>
        </m:r>
        <m:r>
          <m:rPr>
            <m:sty m:val="p"/>
          </m:rPr>
          <m:t>≜</m:t>
        </m:r>
        <m:r>
          <m:rPr>
            <m:sty m:val="p"/>
          </m:rPr>
          <m:t>{</m:t>
        </m:r>
        <m:r>
          <m:t>θ</m:t>
        </m:r>
        <m:r>
          <m:rPr>
            <m:sty m:val="p"/>
          </m:rPr>
          <m:t>∣</m:t>
        </m:r>
        <m:r>
          <m:t>A</m:t>
        </m:r>
        <m:r>
          <m:t>θ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t xml:space="preserve">,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 binding stoichiometry.</w:t>
      </w:r>
      <w:r>
        <w:t xml:space="preserve"> </w:t>
      </w:r>
      <w:r>
        <w:t xml:space="preserve">Dynamic regulation is the optimal-control problem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θ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ℓ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subject to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N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P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Start w:id="15" w:name="Xb776dee7cc28cd212113461d100a97d65f11c29"/>
    <w:p>
      <w:pPr>
        <w:pStyle w:val="Heading4"/>
      </w:pPr>
      <w:r>
        <w:t xml:space="preserve">MCA-elasticity identity (a design invariant).</w:t>
      </w:r>
    </w:p>
    <w:p>
      <w:pPr>
        <w:pStyle w:val="FirstParagraph"/>
      </w:pPr>
      <w:r>
        <w:t xml:space="preserve">The log-derivative</w:t>
      </w:r>
      <w:r>
        <w:t xml:space="preserve"> </w:t>
      </w:r>
      <w:r>
        <w:t xml:space="preserve">in </w:t>
      </w:r>
      <w:r>
        <w:t xml:space="preserve"> </w:t>
      </w:r>
      <w:r>
        <w:t xml:space="preserve">that FEC controls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elasticity coefficient of metabolic</w:t>
      </w:r>
      <w:r>
        <w:t xml:space="preserve"> </w:t>
      </w:r>
      <w:r>
        <w:t xml:space="preserve">control analysis,</w:t>
      </w:r>
      <w:r>
        <w:t xml:space="preserve"> </w:t>
      </w:r>
      <m:oMath>
        <m:sSubSup>
          <m:e>
            <m:r>
              <m:t>ε</m:t>
            </m:r>
          </m:e>
          <m: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sub>
          <m:sup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 </w:t>
      </w:r>
      <w:r>
        <w:t xml:space="preserve">[19–21]</w:t>
      </w:r>
      <w:r>
        <w:t xml:space="preserve">.</w:t>
      </w:r>
      <w:r>
        <w:t xml:space="preserve"> </w:t>
      </w:r>
      <w:r>
        <w:t xml:space="preserve">The package therefore exposes the log-derivative matrix as a first-class object and treats</w:t>
      </w:r>
      <w:r>
        <w:t xml:space="preserve"> </w:t>
      </w:r>
      <w:r>
        <w:t xml:space="preserve">“the control variable is an elasticity”</w:t>
      </w:r>
      <w:r>
        <w:t xml:space="preserve"> </w:t>
      </w:r>
      <w:r>
        <w:t xml:space="preserve">as a unit-checkable contract across modules.</w:t>
      </w:r>
      <w:r>
        <w:t xml:space="preserve"> </w:t>
      </w:r>
      <w:r>
        <w:t xml:space="preserve">We are careful with vocabulary: each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is a local, single-reaction</w:t>
      </w:r>
      <w:r>
        <w:t xml:space="preserve"> </w:t>
      </w:r>
      <w:r>
        <w:rPr>
          <w:i/>
          <w:iCs/>
        </w:rPr>
        <w:t xml:space="preserve">elasticity</w:t>
      </w:r>
      <w:r>
        <w:t xml:space="preserve">, not</w:t>
      </w:r>
      <w:r>
        <w:t xml:space="preserve"> </w:t>
      </w:r>
      <w:r>
        <w:t xml:space="preserve">a systemic flux-control coefficient; the identity is textbook MCA, and making it the basis</w:t>
      </w:r>
      <w:r>
        <w:t xml:space="preserve"> </w:t>
      </w:r>
      <w:r>
        <w:t xml:space="preserve">of FEC’s control variable is the small clarifying point, not a theorem.</w:t>
      </w:r>
    </w:p>
    <w:bookmarkEnd w:id="15"/>
    <w:bookmarkEnd w:id="16"/>
    <w:bookmarkStart w:id="21" w:name="software-functionalities"/>
    <w:p>
      <w:pPr>
        <w:pStyle w:val="Heading2"/>
      </w:pPr>
      <w:r>
        <w:t xml:space="preserve">Software functionalities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rop_polyhedron.py</w:t>
      </w:r>
      <w:r>
        <w:t xml:space="preserve"> </w:t>
      </w:r>
      <w:r>
        <w:t xml:space="preserve">— builds the H-representation</w:t>
      </w:r>
      <w:r>
        <w:t xml:space="preserve"> </w:t>
      </w:r>
      <m:oMath>
        <m:r>
          <m:t>A</m:t>
        </m:r>
        <m:r>
          <m:t>α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from binding</w:t>
      </w:r>
      <w:r>
        <w:t xml:space="preserve"> </w:t>
      </w:r>
      <w:r>
        <w:t xml:space="preserve">stoichiometry (optionally augmented with data-driven bounds from log-linear regression of</w:t>
      </w:r>
      <w:r>
        <w:t xml:space="preserve"> </w:t>
      </w:r>
      <w:r>
        <w:t xml:space="preserve">measured rates), and exposes feasibility, Euclidean projection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</m:oMath>
      <w:r>
        <w:t xml:space="preserve">, and the</w:t>
      </w:r>
      <w:r>
        <w:t xml:space="preserve"> </w:t>
      </w:r>
      <w:r>
        <w:t xml:space="preserve">log-derivative matrix.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fec_solver.py</w:t>
      </w:r>
      <w:r>
        <w:t xml:space="preserve"> </w:t>
      </w:r>
      <w:r>
        <w:t xml:space="preserve">— transcribes the FEC optimal-control problem into an NLP</w:t>
      </w:r>
      <w:r>
        <w:t xml:space="preserve"> </w:t>
      </w:r>
      <w:r>
        <w:t xml:space="preserve">(dynamics integrated over a horizon, ROP membership imposed as the linear constraint</w:t>
      </w:r>
      <w:r>
        <w:t xml:space="preserve"> </w:t>
      </w:r>
      <m:oMath>
        <m:r>
          <m:t>A</m:t>
        </m:r>
        <m:r>
          <m:t>α</m:t>
        </m:r>
        <m:r>
          <m:rPr>
            <m:sty m:val="p"/>
          </m:rPr>
          <m:t>≤</m:t>
        </m:r>
        <m:r>
          <m:t>b</m:t>
        </m:r>
      </m:oMath>
      <w:r>
        <w:t xml:space="preserve">, objective tracking a reference flux), built with</w:t>
      </w:r>
      <w:r>
        <w:t xml:space="preserve"> </w:t>
      </w:r>
      <w:r>
        <w:t xml:space="preserve">CasADi </w:t>
      </w:r>
      <w:r>
        <w:t xml:space="preserve">[22]</w:t>
      </w:r>
      <w:r>
        <w:t xml:space="preserve"> </w:t>
      </w:r>
      <w:r>
        <w:t xml:space="preserve">and solved with IPOPT </w:t>
      </w:r>
      <w:r>
        <w:t xml:space="preserve">[23]</w:t>
      </w:r>
      <w:r>
        <w:t xml:space="preserve">; a SciPy</w:t>
      </w:r>
      <w:r>
        <w:t xml:space="preserve"> </w:t>
      </w:r>
      <w:r>
        <w:t xml:space="preserve">projection fallback runs when IPOPT is absent.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robust_extension.py</w:t>
      </w:r>
      <w:r>
        <w:t xml:space="preserve"> </w:t>
      </w:r>
      <w:r>
        <w:t xml:space="preserve">— an interval ROP and a sampled min–max scenario robust</w:t>
      </w:r>
      <w:r>
        <w:t xml:space="preserve"> </w:t>
      </w:r>
      <w:r>
        <w:t xml:space="preserve">FEC over a digital-twin uncertainty set, using standard robust/scenario MPC</w:t>
      </w:r>
      <w:r>
        <w:t xml:space="preserve"> </w:t>
      </w:r>
      <w:r>
        <w:t xml:space="preserve">machinery </w:t>
      </w:r>
      <w:r>
        <w:t xml:space="preserve">[24–29]</w:t>
      </w:r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multicell_agent.py</w:t>
      </w:r>
      <w:r>
        <w:t xml:space="preserve"> </w:t>
      </w:r>
      <w:r>
        <w:t xml:space="preserve">— scales the loop to a consortium coupled by a quorum</w:t>
      </w:r>
      <w:r>
        <w:t xml:space="preserve"> </w:t>
      </w:r>
      <w:r>
        <w:t xml:space="preserve">signal with a population-level resource policy.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order_uncertainty.py</w:t>
      </w:r>
      <w:r>
        <w:t xml:space="preserve"> </w:t>
      </w:r>
      <w:r>
        <w:t xml:space="preserve">— from noisy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data builds the bounded-error</w:t>
      </w:r>
      <w:r>
        <w:t xml:space="preserve"> </w:t>
      </w:r>
      <w:r>
        <w:t xml:space="preserve">data-consistent order polytope, intersects it with the ROP or with a random facet set, and</w:t>
      </w:r>
      <w:r>
        <w:t xml:space="preserve"> </w:t>
      </w:r>
      <w:r>
        <w:t xml:space="preserve">measures the worst-case spread of any linear functional; this drives the falsification in</w:t>
      </w:r>
      <w:r>
        <w:t xml:space="preserve"> </w:t>
      </w:r>
      <w:r>
        <w:t xml:space="preserve">Section 3.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bos_integration.py</w:t>
      </w:r>
      <w:r>
        <w:t xml:space="preserve"> </w:t>
      </w:r>
      <w:r>
        <w:t xml:space="preserve">— narrow interfaces (estimation, robustness, governance,</w:t>
      </w:r>
      <w:r>
        <w:t xml:space="preserve"> </w:t>
      </w:r>
      <w:r>
        <w:t xml:space="preserve">durable workflow, digital twin) with shipped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implementations so the loop</w:t>
      </w:r>
      <w:r>
        <w:t xml:space="preserve"> </w:t>
      </w:r>
      <w:r>
        <w:t xml:space="preserve">runs end to end; these reference blocks are deliberately swappable and are not a production deployment.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case_studies/</w:t>
      </w:r>
      <w:r>
        <w:t xml:space="preserve"> </w:t>
      </w:r>
      <w:r>
        <w:t xml:space="preserve">— validated re-implementations of the two-variable Sel’kov</w:t>
      </w:r>
      <w:r>
        <w:t xml:space="preserve"> </w:t>
      </w:r>
      <w:r>
        <w:t xml:space="preserve">model </w:t>
      </w:r>
      <w:r>
        <w:t xml:space="preserve">[30]</w:t>
      </w:r>
      <w:r>
        <w:t xml:space="preserve"> </w:t>
      </w:r>
      <w:r>
        <w:t xml:space="preserve">(dimensionless form following </w:t>
      </w:r>
      <w:r>
        <w:t xml:space="preserve">[31]</w:t>
      </w:r>
      <w:r>
        <w:t xml:space="preserve">) and the</w:t>
      </w:r>
      <w:r>
        <w:t xml:space="preserve"> </w:t>
      </w:r>
      <w:r>
        <w:t xml:space="preserve">single-cell core of the Wolf–Heinrich yeast model </w:t>
      </w:r>
      <w:r>
        <w:t xml:space="preserve">[32]</w:t>
      </w:r>
      <w:r>
        <w:t xml:space="preserve"> </w:t>
      </w:r>
      <w:r>
        <w:t xml:space="preserve">(parameters and initial</w:t>
      </w:r>
      <w:r>
        <w:t xml:space="preserve"> </w:t>
      </w:r>
      <w:r>
        <w:t xml:space="preserve">conditions taken verbatim from BioModels </w:t>
      </w:r>
      <w:r>
        <w:t xml:space="preserve">[33]</w:t>
      </w:r>
      <w:r>
        <w:t xml:space="preserve">), in pure NumPy/SciPy with tests asserting the known limit-cycle</w:t>
      </w:r>
      <w:r>
        <w:t xml:space="preserve"> </w:t>
      </w:r>
      <w:r>
        <w:t xml:space="preserve">behaviour; reusable testbeds for the FEC pipeline.</w:t>
      </w:r>
    </w:p>
    <w:p>
      <w:pPr>
        <w:pStyle w:val="FirstParagraph"/>
      </w:pPr>
      <w:r>
        <w:rPr>
          <w:rStyle w:val="VerbatimChar"/>
        </w:rPr>
        <w:t xml:space="preserve">ropfec</w:t>
      </w:r>
      <w:r>
        <w:t xml:space="preserve"> </w:t>
      </w:r>
      <w:r>
        <w:t xml:space="preserve">runs on Python 3.9+ with fixed seeds for randomized components. A suite of 44</w:t>
      </w:r>
      <w:r>
        <w:t xml:space="preserve"> </w:t>
      </w:r>
      <w:r>
        <w:t xml:space="preserve">automated tests (33 engine + 11 case-study) covers ROP construction/projection, the FEC</w:t>
      </w:r>
      <w:r>
        <w:t xml:space="preserve"> </w:t>
      </w:r>
      <w:r>
        <w:t xml:space="preserve">solver (CasADi path and fallback), the robust and multicellular extensions, the</w:t>
      </w:r>
      <w:r>
        <w:t xml:space="preserve"> </w:t>
      </w:r>
      <w:r>
        <w:t xml:space="preserve">order-uncertainty machinery, numerical stability, the end-to-end loop invariants, and the</w:t>
      </w:r>
      <w:r>
        <w:t xml:space="preserve"> </w:t>
      </w:r>
      <w:r>
        <w:t xml:space="preserve">case-study oscillations; a single command reruns the tests and regenerates the data figures this</w:t>
      </w:r>
      <w:r>
        <w:t xml:space="preserve"> </w:t>
      </w:r>
      <w:r>
        <w:t xml:space="preserve">script owns and their numbers (the Example-1 tracking costs are produced by the bundled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benchmark, not by this script). Installation and reproduction are environment-agnostic:</w:t>
      </w:r>
    </w:p>
    <w:p>
      <w:pPr>
        <w:pStyle w:val="SourceCode"/>
      </w:pPr>
      <w:r>
        <w:rPr>
          <w:rStyle w:val="VerbatimChar"/>
        </w:rPr>
        <w:t xml:space="preserve">  pip install -e .                                  # NumPy/SciPy/Matplotlib/pytest (+CasADi)</w:t>
      </w:r>
      <w:r>
        <w:br/>
      </w:r>
      <w:r>
        <w:rPr>
          <w:rStyle w:val="VerbatimChar"/>
        </w:rPr>
        <w:t xml:space="preserve">  PYTHONPATH=. pytest -q                            # 44 tests</w:t>
      </w:r>
      <w:r>
        <w:br/>
      </w:r>
      <w:r>
        <w:rPr>
          <w:rStyle w:val="VerbatimChar"/>
        </w:rPr>
        <w:t xml:space="preserve">  PYTHONPATH=. python3 paper/make_softwarex_figs.py # regenerate the data figures + numbers</w:t>
      </w:r>
    </w:p>
    <w:bookmarkStart w:id="20" w:name="fig:arch"/>
    <w:p>
      <w:pPr>
        <w:pStyle w:val="CaptionedFigure"/>
      </w:pPr>
      <w:r>
        <w:drawing>
          <wp:inline>
            <wp:extent cx="5334000" cy="151816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figures/ropfec_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8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Closed-loop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architecture implemented by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. The ROP is</w:t>
      </w:r>
      <w:r>
        <w:t xml:space="preserve"> </w:t>
      </w:r>
      <w:r>
        <w:t xml:space="preserve">built once from binding stoichiometry and data and supplies hard constraints to the FEC</w:t>
      </w:r>
      <w:r>
        <w:t xml:space="preserve"> </w:t>
      </w:r>
      <w:r>
        <w:t xml:space="preserve">optimal-control problem and the governance check; the estimation, robustness, governance and</w:t>
      </w:r>
      <w:r>
        <w:t xml:space="preserve"> </w:t>
      </w:r>
      <w:r>
        <w:t xml:space="preserve">workflow blocks are reference implementations, not a production platform. The loop is</w:t>
      </w:r>
      <w:r>
        <w:t xml:space="preserve"> </w:t>
      </w:r>
      <w:r>
        <w:t xml:space="preserve">intended to supervise a staged-bioconversion process (deconstruction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kernel/handover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recovery; the BOS pattern </w:t>
      </w:r>
      <w:r>
        <w:t xml:space="preserve">[15]</w:t>
      </w:r>
      <w:r>
        <w:t xml:space="preserve">), for which the ROP supplies the admissible</w:t>
      </w:r>
      <w:r>
        <w:t xml:space="preserve"> </w:t>
      </w:r>
      <w:r>
        <w:t xml:space="preserve">exponent geometry.</w:t>
      </w:r>
    </w:p>
    <w:bookmarkEnd w:id="20"/>
    <w:bookmarkEnd w:id="21"/>
    <w:bookmarkEnd w:id="22"/>
    <w:bookmarkStart w:id="38" w:name="sec:examples"/>
    <w:p>
      <w:pPr>
        <w:pStyle w:val="Heading1"/>
      </w:pPr>
      <w:r>
        <w:t xml:space="preserve">Illustrative examples</w:t>
      </w:r>
    </w:p>
    <w:p>
      <w:pPr>
        <w:pStyle w:val="FirstParagraph"/>
      </w:pPr>
      <w:r>
        <w:t xml:space="preserve">All examples run on synthetic or published-model ground truth, with every number traceable</w:t>
      </w:r>
      <w:r>
        <w:t xml:space="preserve"> </w:t>
      </w:r>
      <w:r>
        <w:t xml:space="preserve">to a script in the repository.</w:t>
      </w:r>
    </w:p>
    <w:bookmarkStart w:id="27" w:name="X300f97475038c434fb1165f11f0c339bee37779"/>
    <w:p>
      <w:pPr>
        <w:pStyle w:val="Heading4"/>
      </w:pPr>
      <w:r>
        <w:t xml:space="preserve">(1) The ROP constraint matters for control (mechanism illustration).</w:t>
      </w:r>
    </w:p>
    <w:p>
      <w:pPr>
        <w:pStyle w:val="FirstParagraph"/>
      </w:pPr>
      <w:r>
        <w:t xml:space="preserve">On a</w:t>
      </w:r>
      <w:r>
        <w:t xml:space="preserve"> </w:t>
      </w:r>
      <m:oMath>
        <m:r>
          <m:t>3</m:t>
        </m:r>
      </m:oMath>
      <w:r>
        <w:t xml:space="preserve">-species,</w:t>
      </w:r>
      <w:r>
        <w:t xml:space="preserve"> </w:t>
      </w:r>
      <m:oMath>
        <m:r>
          <m:t>4</m:t>
        </m:r>
      </m:oMath>
      <w:r>
        <w:t xml:space="preserve">-reaction glycolysis-like toy network (the Xiao running example) with a</w:t>
      </w:r>
      <w:r>
        <w:t xml:space="preserve"> </w:t>
      </w:r>
      <w:r>
        <w:t xml:space="preserve">six-facet binding-derived ROP, an exponent placed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polytope gives a mean</w:t>
      </w:r>
      <w:r>
        <w:t xml:space="preserve"> </w:t>
      </w:r>
      <w:r>
        <w:t xml:space="preserve">trajectory error of</w:t>
      </w:r>
      <w:r>
        <w:t xml:space="preserve"> </w:t>
      </w:r>
      <m:oMath>
        <m:r>
          <m:t>9.9</m:t>
        </m:r>
        <m:r>
          <m:rPr>
            <m:sty m:val="p"/>
          </m:rPr>
          <m:t>%</m:t>
        </m:r>
      </m:oMath>
      <w:r>
        <w:t xml:space="preserve">; the same exponent projected onto the ROP reduces it to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 </w:t>
      </w:r>
      <w:r>
        <w:t xml:space="preserve">(Figure 2), and the FEC solver, tracking a target</w:t>
      </w:r>
      <w:r>
        <w:t xml:space="preserve"> </w:t>
      </w:r>
      <w:r>
        <w:t xml:space="preserve">flux with a small regularizer toward the nominal exponent, returns an in-ROP solution within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t xml:space="preserve">of the prescribed ground-truth exponent. This is a transcription/feasibility check,</w:t>
      </w:r>
      <w:r>
        <w:t xml:space="preserve"> </w:t>
      </w:r>
      <w:r>
        <w:t xml:space="preserve">not an identification result: pure flux tracking on this toy network is under-determined, so</w:t>
      </w:r>
      <w:r>
        <w:t xml:space="preserve"> </w:t>
      </w:r>
      <w:r>
        <w:t xml:space="preserve">the round-trip is driven mainly by the regularizer. On the same network the FEC solution</w:t>
      </w:r>
      <w:r>
        <w:t xml:space="preserve"> </w:t>
      </w:r>
      <w:r>
        <w:t xml:space="preserve">yields a final-state tracking cost no worse than the in-ROP FBA- and MM-derived exponent</w:t>
      </w:r>
      <w:r>
        <w:t xml:space="preserve"> </w:t>
      </w:r>
      <w:r>
        <w:t xml:space="preserve">policies (</w:t>
      </w:r>
      <m:oMath>
        <m:r>
          <m:t>1.01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1.28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1.09</m:t>
        </m:r>
      </m:oMath>
      <w:r>
        <w:t xml:space="preserve">, a single deterministic evaluation). Because all three</w:t>
      </w:r>
      <w:r>
        <w:t xml:space="preserve"> </w:t>
      </w:r>
      <w:r>
        <w:t xml:space="preserve">policies are projected onto the same ROP, this compares policy heuristics under a shared</w:t>
      </w:r>
      <w:r>
        <w:t xml:space="preserve"> </w:t>
      </w:r>
      <w:r>
        <w:t xml:space="preserve">constraint and does not by itself attribute the cost gap to the binding geometry. A</w:t>
      </w:r>
      <w:r>
        <w:t xml:space="preserve"> </w:t>
      </w:r>
      <w:r>
        <w:t xml:space="preserve">scenario-robust variant bounds the worst case at near-nominal cost. These are internal sanity</w:t>
      </w:r>
      <w:r>
        <w:t xml:space="preserve"> </w:t>
      </w:r>
      <w:r>
        <w:t xml:space="preserve">checks on synthetic ground truth, not a performance benchmark.</w:t>
      </w:r>
      <w:r>
        <w:t xml:space="preserve"> </w:t>
      </w:r>
      <w:r>
        <w:rPr>
          <w:i/>
          <w:iCs/>
        </w:rPr>
        <w:t xml:space="preserve">This is a mechanism illustration, not a benchmark</w:t>
      </w:r>
      <w:r>
        <w:t xml:space="preserve">: the</w:t>
      </w:r>
      <w:r>
        <w:t xml:space="preserve"> </w:t>
      </w:r>
      <w:r>
        <w:t xml:space="preserve">ground truth is synthetic and the out-of-polytope baseline is, by construction, out of the</w:t>
      </w:r>
      <w:r>
        <w:t xml:space="preserve"> </w:t>
      </w:r>
      <w:r>
        <w:t xml:space="preserve">polytope, so the example demonstrates that respecting the binding constraint lowers the</w:t>
      </w:r>
      <w:r>
        <w:t xml:space="preserve"> </w:t>
      </w:r>
      <w:r>
        <w:t xml:space="preserve">synthetic-trajectory error, not empirical accuracy on biological data.</w:t>
      </w:r>
    </w:p>
    <w:bookmarkStart w:id="26" w:name="fig:toy"/>
    <w:p>
      <w:pPr>
        <w:pStyle w:val="CaptionedFigure"/>
      </w:pPr>
      <w:r>
        <w:drawing>
          <wp:inline>
            <wp:extent cx="4319999" cy="282916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toy_traj_comparis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829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Mechanism illustration (in-silico): a state trajectory under the ground-truth</w:t>
      </w:r>
      <w:r>
        <w:t xml:space="preserve"> </w:t>
      </w:r>
      <w:r>
        <w:t xml:space="preserve">exponent, an unconstrained exponent that violates the ROP, and the ROP-projected/FEC</w:t>
      </w:r>
      <w:r>
        <w:t xml:space="preserve"> </w:t>
      </w:r>
      <w:r>
        <w:t xml:space="preserve">exponent. Respecting the binding-derived polytope lowers the synthetic-trajectory error (mean</w:t>
      </w:r>
      <w:r>
        <w:t xml:space="preserve"> </w:t>
      </w:r>
      <m:oMath>
        <m:r>
          <m:t>3.1</m:t>
        </m:r>
        <m:r>
          <m:rPr>
            <m:sty m:val="p"/>
          </m:rPr>
          <m:t>%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9.9</m:t>
        </m:r>
        <m:r>
          <m:rPr>
            <m:sty m:val="p"/>
          </m:rPr>
          <m:t>%</m:t>
        </m:r>
      </m:oMath>
      <w:r>
        <w:t xml:space="preserve">). Synthetic ground truth; not a biological benchmark.</w:t>
      </w:r>
    </w:p>
    <w:bookmarkEnd w:id="26"/>
    <w:bookmarkEnd w:id="27"/>
    <w:bookmarkStart w:id="32" w:name="validated-oscillator-testbeds."/>
    <w:p>
      <w:pPr>
        <w:pStyle w:val="Heading4"/>
      </w:pPr>
      <w:r>
        <w:t xml:space="preserve">(2) Validated oscillator testbeds.</w:t>
      </w:r>
    </w:p>
    <w:p>
      <w:pPr>
        <w:pStyle w:val="FirstParagraph"/>
      </w:pPr>
      <w:r>
        <w:t xml:space="preserve">The Sel’kov and Wolf–Heinrich</w:t>
      </w:r>
      <w:r>
        <w:t xml:space="preserve"> </w:t>
      </w:r>
      <w:r>
        <w:t xml:space="preserve">re-implementations reproduce the published qualitative behaviour (Figure 3):</w:t>
      </w:r>
      <w:r>
        <w:t xml:space="preserve"> </w:t>
      </w:r>
      <w:r>
        <w:t xml:space="preserve">Sel’kov settles onto a stable limit cycle inside its Hopf window and to a fixed point</w:t>
      </w:r>
      <w:r>
        <w:t xml:space="preserve"> </w:t>
      </w:r>
      <w:r>
        <w:t xml:space="preserve">outside it, and the Wolf–Heinrich single-cell core sustains glycolytic oscillations. Both</w:t>
      </w:r>
      <w:r>
        <w:t xml:space="preserve"> </w:t>
      </w:r>
      <w:r>
        <w:t xml:space="preserve">are asserted by tests and serve as reusable, citable testbeds for the FEC pipeline beyond</w:t>
      </w:r>
      <w:r>
        <w:t xml:space="preserve"> </w:t>
      </w:r>
      <w:r>
        <w:t xml:space="preserve">the toy network.</w:t>
      </w:r>
    </w:p>
    <w:bookmarkStart w:id="31" w:name="fig:osc"/>
    <w:p>
      <w:pPr>
        <w:pStyle w:val="CaptionedFigure"/>
      </w:pPr>
      <w:r>
        <w:drawing>
          <wp:inline>
            <wp:extent cx="5334000" cy="258531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case_studies_oscillation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Validated re-implementations of two published glycolytic oscillators:</w:t>
      </w:r>
      <w:r>
        <w:t xml:space="preserve"> </w:t>
      </w:r>
      <w:r>
        <w:t xml:space="preserve">(a) Sel’kov 1968 (limit cycle vs. damped fixed point); (b) Wolf–Heinrich 2000 single-cell</w:t>
      </w:r>
      <w:r>
        <w:t xml:space="preserve"> </w:t>
      </w:r>
      <w:r>
        <w:t xml:space="preserve">core (sustained oscillation of an ATP-like cofactor). Tested against the published dynamics.</w:t>
      </w:r>
    </w:p>
    <w:bookmarkEnd w:id="31"/>
    <w:bookmarkEnd w:id="32"/>
    <w:bookmarkStart w:id="37" w:name="Xda4e20b13a6ccba0613190cd745101d4718570e"/>
    <w:p>
      <w:pPr>
        <w:pStyle w:val="Heading4"/>
      </w:pPr>
      <w:r>
        <w:t xml:space="preserve">(3) Built-in falsification: structure does not aid identification.</w:t>
      </w:r>
    </w:p>
    <w:p>
      <w:pPr>
        <w:pStyle w:val="FirstParagraph"/>
      </w:pPr>
      <w:r>
        <w:t xml:space="preserve">The central honest result, shipped as a test rather than buried as a caveat. A natural hope</w:t>
      </w:r>
      <w:r>
        <w:t xml:space="preserve"> </w:t>
      </w:r>
      <w:r>
        <w:t xml:space="preserve">is that the binding-derived ROP, used as a prior, tightens</w:t>
      </w:r>
      <w:r>
        <w:t xml:space="preserve"> </w:t>
      </w:r>
      <w:r>
        <w:rPr>
          <w:i/>
          <w:iCs/>
        </w:rPr>
        <w:t xml:space="preserve">data-driven</w:t>
      </w:r>
      <w:r>
        <w:t xml:space="preserve"> </w:t>
      </w:r>
      <w:r>
        <w:t xml:space="preserve">estimation of</w:t>
      </w:r>
      <w:r>
        <w:t xml:space="preserve"> </w:t>
      </w:r>
      <w:r>
        <w:t xml:space="preserve">reaction orders. We test this against the right null. From noisy rate data we build the</w:t>
      </w:r>
      <w:r>
        <w:t xml:space="preserve"> </w:t>
      </w:r>
      <w:r>
        <w:t xml:space="preserve">bounded-error order set and compare three feasible sets: the data set alone, the data set</w:t>
      </w:r>
      <w:r>
        <w:t xml:space="preserve"> </w:t>
      </w:r>
      <w:r>
        <w:t xml:space="preserve">intersected with the ROP, and the data set intersected with a</w:t>
      </w:r>
      <w:r>
        <w:t xml:space="preserve"> </w:t>
      </w:r>
      <w:r>
        <w:rPr>
          <w:i/>
          <w:iCs/>
        </w:rPr>
        <w:t xml:space="preserve">count-matched random</w:t>
      </w:r>
      <w:r>
        <w:t xml:space="preserve"> </w:t>
      </w:r>
      <w:r>
        <w:t xml:space="preserve">facet set calibrated to still contain the true orders — a control for</w:t>
      </w:r>
      <w:r>
        <w:t xml:space="preserve"> </w:t>
      </w:r>
      <w:r>
        <w:t xml:space="preserve">“more facets”</w:t>
      </w:r>
      <w:r>
        <w:t xml:space="preserve"> </w:t>
      </w:r>
      <w:r>
        <w:t xml:space="preserve">versus</w:t>
      </w:r>
      <w:r>
        <w:t xml:space="preserve"> </w:t>
      </w:r>
      <w:r>
        <w:t xml:space="preserve">“the right facets”</w:t>
      </w:r>
      <w:r>
        <w:t xml:space="preserve"> </w:t>
      </w:r>
      <w:r>
        <w:t xml:space="preserve">[34]</w:t>
      </w:r>
      <w:r>
        <w:t xml:space="preserve">. We measure total reaction-order</w:t>
      </w:r>
      <w:r>
        <w:t xml:space="preserve"> </w:t>
      </w:r>
      <w:r>
        <w:t xml:space="preserve">uncertainty in an informative regime and a data-poor regime (Figure 4).</w:t>
      </w:r>
    </w:p>
    <w:p>
      <w:pPr>
        <w:pStyle w:val="BodyText"/>
      </w:pPr>
      <w:r>
        <w:t xml:space="preserve">The result is negative in substance. When data are informative the ROP is</w:t>
      </w:r>
      <w:r>
        <w:t xml:space="preserve"> </w:t>
      </w:r>
      <w:r>
        <w:rPr>
          <w:i/>
          <w:iCs/>
        </w:rPr>
        <w:t xml:space="preserve">inactive</w:t>
      </w:r>
      <w:r>
        <w:t xml:space="preserve">:</w:t>
      </w:r>
      <w:r>
        <w:t xml:space="preserve"> </w:t>
      </w:r>
      <w:r>
        <w:t xml:space="preserve">data, data</w:t>
      </w:r>
      <m:oMath>
        <m:r>
          <m:rPr>
            <m:sty m:val="p"/>
          </m:rPr>
          <m:t>∩</m:t>
        </m:r>
      </m:oMath>
      <w:r>
        <w:t xml:space="preserve">ROP, and data</w:t>
      </w:r>
      <m:oMath>
        <m:r>
          <m:rPr>
            <m:sty m:val="p"/>
          </m:rPr>
          <m:t>∩</m:t>
        </m:r>
      </m:oMath>
      <w:r>
        <w:t xml:space="preserve">random sets have identical order uncertainty</w:t>
      </w:r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0.04</m:t>
        </m:r>
      </m:oMath>
      <w:r>
        <w:t xml:space="preserve">), so the data already constrain the orders more tightly than the ROP and its</w:t>
      </w:r>
      <w:r>
        <w:t xml:space="preserve"> </w:t>
      </w:r>
      <w:r>
        <w:t xml:space="preserve">facets never bind. When data are scarce both the ROP and the count-matched random null</w:t>
      </w:r>
      <w:r>
        <w:t xml:space="preserve"> </w:t>
      </w:r>
      <w:r>
        <w:t xml:space="preserve">tighten the set substantially below data-only (</w:t>
      </w:r>
      <m:oMath>
        <m:r>
          <m:t>2.72</m:t>
        </m:r>
      </m:oMath>
      <w:r>
        <w:t xml:space="preserve">), to</w:t>
      </w:r>
      <w:r>
        <w:t xml:space="preserve"> </w:t>
      </w:r>
      <m:oMath>
        <m:r>
          <m:t>2.31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2.34</m:t>
        </m:r>
      </m:oMath>
      <w:r>
        <w:t xml:space="preserve"> </w:t>
      </w:r>
      <w:r>
        <w:t xml:space="preserve">respectively</w:t>
      </w:r>
      <w:r>
        <w:t xml:space="preserve"> </w:t>
      </w:r>
      <w:r>
        <w:t xml:space="preserve">(60 seeds) — a paired difference of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1% that is not statistically significant</w:t>
      </w:r>
      <w:r>
        <w:t xml:space="preserve"> </w:t>
      </w:r>
      <w:r>
        <w:t xml:space="preserve">(paired</w:t>
      </w:r>
      <w:r>
        <w:t xml:space="preserve"> </w:t>
      </w:r>
      <m:oMath>
        <m:r>
          <m:t>t</m:t>
        </m:r>
      </m:oMath>
      <w:r>
        <w:t xml:space="preserve">-test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0.5</m:t>
        </m:r>
      </m:oMath>
      <w:r>
        <w:t xml:space="preserve">). The binding-derived structure therefore adds little to identification beyond a</w:t>
      </w:r>
      <w:r>
        <w:t xml:space="preserve"> </w:t>
      </w:r>
      <w:r>
        <w:t xml:space="preserve">generic constraint of equal size. The interpretation is clarifying rather than</w:t>
      </w:r>
      <w:r>
        <w:t xml:space="preserve"> </w:t>
      </w:r>
      <w:r>
        <w:t xml:space="preserve">discouraging, and it is the package’s transferable thesis: the value of ROP/FEC is as a</w:t>
      </w:r>
      <w:r>
        <w:t xml:space="preserve"> </w:t>
      </w:r>
      <w:r>
        <w:t xml:space="preserve">structural</w:t>
      </w:r>
      <w:r>
        <w:t xml:space="preserve"> </w:t>
      </w:r>
      <w:r>
        <w:rPr>
          <w:i/>
          <w:iCs/>
        </w:rPr>
        <w:t xml:space="preserve">control-admissibility set</w:t>
      </w:r>
      <w:r>
        <w:t xml:space="preserve"> </w:t>
      </w:r>
      <w:r>
        <w:t xml:space="preserve">— the geometry the controller must respect</w:t>
      </w:r>
      <w:r>
        <w:t xml:space="preserve"> </w:t>
      </w:r>
      <w:r>
        <w:t xml:space="preserve">(example 1)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 a statistical regulariser for</w:t>
      </w:r>
      <w:r>
        <w:t xml:space="preserve"> </w:t>
      </w:r>
      <w:r>
        <w:rPr>
          <w:i/>
          <w:iCs/>
        </w:rPr>
        <w:t xml:space="preserve">identification</w:t>
      </w:r>
      <w:r>
        <w:t xml:space="preserve">. Structure</w:t>
      </w:r>
      <w:r>
        <w:t xml:space="preserve"> </w:t>
      </w:r>
      <w:r>
        <w:t xml:space="preserve">constrains what the controller may do; it does not, by itself, tell you more about the plant</w:t>
      </w:r>
      <w:r>
        <w:t xml:space="preserve"> </w:t>
      </w:r>
      <w:r>
        <w:t xml:space="preserve">than the data already do. Running the full reference loop, every structural invariant holds:</w:t>
      </w:r>
      <w:r>
        <w:t xml:space="preserve"> </w:t>
      </w:r>
      <w:r>
        <w:t xml:space="preserve">the applied exponent is in the ROP at every step, the published polytope matches the</w:t>
      </w:r>
      <w:r>
        <w:t xml:space="preserve"> </w:t>
      </w:r>
      <w:r>
        <w:t xml:space="preserve">constructed one, governance violations are detected and counted, and the reference</w:t>
      </w:r>
      <w:r>
        <w:t xml:space="preserve"> </w:t>
      </w:r>
      <w:r>
        <w:t xml:space="preserve">multicellular policy rejects every over-capacity configuration in the test suite by its admission threshold.</w:t>
      </w:r>
    </w:p>
    <w:bookmarkStart w:id="36" w:name="fig:neg"/>
    <w:p>
      <w:pPr>
        <w:pStyle w:val="CaptionedFigure"/>
      </w:pPr>
      <w:r>
        <w:drawing>
          <wp:inline>
            <wp:extent cx="5334000" cy="282691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order_uq_negativ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Built-in falsification (the package’s central result;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SD over 60 seeds).</w:t>
      </w:r>
      <w:r>
        <w:t xml:space="preserve"> </w:t>
      </w:r>
      <w:r>
        <w:t xml:space="preserve">Total reaction-order uncertainty for the data-only set, data</w:t>
      </w:r>
      <m:oMath>
        <m:r>
          <m:rPr>
            <m:sty m:val="p"/>
          </m:rPr>
          <m:t>∩</m:t>
        </m:r>
      </m:oMath>
      <w:r>
        <w:t xml:space="preserve">ROP, and data</w:t>
      </w:r>
      <m:oMath>
        <m:r>
          <m:rPr>
            <m:sty m:val="p"/>
          </m:rPr>
          <m:t>∩</m:t>
        </m:r>
      </m:oMath>
      <w:r>
        <w:t xml:space="preserve">random</w:t>
      </w:r>
      <w:r>
        <w:t xml:space="preserve"> </w:t>
      </w:r>
      <w:r>
        <w:t xml:space="preserve">(count-matched, truth-covering) sets, on independent scales for (a) an informative and</w:t>
      </w:r>
      <w:r>
        <w:t xml:space="preserve"> </w:t>
      </w:r>
      <w:r>
        <w:t xml:space="preserve">(b) a data-poor regime. The binding-derived ROP confers at most a marginal advantage over a</w:t>
      </w:r>
      <w:r>
        <w:t xml:space="preserve"> </w:t>
      </w:r>
      <w:r>
        <w:t xml:space="preserve">random set of equal size: when data are informative it is inactive (all three</w:t>
      </w:r>
      <w:r>
        <w:t xml:space="preserve"> </w:t>
      </w:r>
      <m:oMath>
        <m:r>
          <m:rPr>
            <m:sty m:val="p"/>
          </m:rPr>
          <m:t>≈</m:t>
        </m:r>
        <m:r>
          <m:t>0.04</m:t>
        </m:r>
      </m:oMath>
      <w:r>
        <w:t xml:space="preserve">);</w:t>
      </w:r>
      <w:r>
        <w:t xml:space="preserve"> </w:t>
      </w:r>
      <w:r>
        <w:t xml:space="preserve">when data are scarce it tightens the set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1% more than the random null</w:t>
      </w:r>
      <w:r>
        <w:t xml:space="preserve"> </w:t>
      </w:r>
      <w:r>
        <w:t xml:space="preserve">(2.31 vs 2.34), a paired difference that is not statistically significant. Shipped as a re-runnable test.</w:t>
      </w:r>
    </w:p>
    <w:bookmarkEnd w:id="36"/>
    <w:bookmarkEnd w:id="37"/>
    <w:bookmarkEnd w:id="38"/>
    <w:bookmarkStart w:id="39" w:name="impact"/>
    <w:p>
      <w:pPr>
        <w:pStyle w:val="Heading1"/>
      </w:pPr>
      <w:r>
        <w:t xml:space="preserve">Impact</w:t>
      </w:r>
    </w:p>
    <w:p>
      <w:pPr>
        <w:pStyle w:val="FirstParagraph"/>
      </w:pPr>
      <w:r>
        <w:rPr>
          <w:rStyle w:val="VerbatimChar"/>
        </w:rPr>
        <w:t xml:space="preserve">ropfec</w:t>
      </w:r>
      <w:r>
        <w:t xml:space="preserve"> </w:t>
      </w:r>
      <w:r>
        <w:t xml:space="preserve">provides an open, tested, citable implementation of a control framework</w:t>
      </w:r>
      <w:r>
        <w:t xml:space="preserve"> </w:t>
      </w:r>
      <w:r>
        <w:t xml:space="preserve">previously available mainly as theory and a model-predictive-control concept, with three concrete uses.</w:t>
      </w:r>
      <w:r>
        <w:t xml:space="preserve"> </w:t>
      </w:r>
      <w:r>
        <w:rPr>
          <w:b/>
          <w:bCs/>
        </w:rPr>
        <w:t xml:space="preserve">As infrastructure</w:t>
      </w:r>
      <w:r>
        <w:t xml:space="preserve">, it is a reproducible</w:t>
      </w:r>
      <w:r>
        <w:t xml:space="preserve"> </w:t>
      </w:r>
      <w:r>
        <w:t xml:space="preserve">substrate for staged-bioconversion control research: the ROP/FEC core, the robust and</w:t>
      </w:r>
      <w:r>
        <w:t xml:space="preserve"> </w:t>
      </w:r>
      <w:r>
        <w:t xml:space="preserve">multicellular extensions, and the swappable reference loop let others prototype controllers</w:t>
      </w:r>
      <w:r>
        <w:t xml:space="preserve"> </w:t>
      </w:r>
      <w:r>
        <w:t xml:space="preserve">without re-deriving the geometry, and the two validated oscillators are ready-made testbeds.</w:t>
      </w:r>
      <w:r>
        <w:t xml:space="preserve"> </w:t>
      </w:r>
      <w:r>
        <w:t xml:space="preserve">The order-uncertainty module exposes importable primitives (</w:t>
      </w:r>
      <w:r>
        <w:rPr>
          <w:rStyle w:val="VerbatimChar"/>
        </w:rPr>
        <w:t xml:space="preserve">worst_case_range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bounding_box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data_halfspaces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estimate_orders_loglinear</w:t>
      </w:r>
      <w:r>
        <w:t xml:space="preserve">), and the two</w:t>
      </w:r>
      <w:r>
        <w:t xml:space="preserve"> </w:t>
      </w:r>
      <w:r>
        <w:t xml:space="preserve">oscillator modules are imported directly by the 44-test suite.</w:t>
      </w:r>
      <w:r>
        <w:t xml:space="preserve"> </w:t>
      </w:r>
      <w:r>
        <w:rPr>
          <w:b/>
          <w:bCs/>
        </w:rPr>
        <w:t xml:space="preserve">As pedagogy and grounding</w:t>
      </w:r>
      <w:r>
        <w:t xml:space="preserve">, the explicit MCA-elasticity identity places FEC inside a</w:t>
      </w:r>
      <w:r>
        <w:t xml:space="preserve"> </w:t>
      </w:r>
      <w:r>
        <w:t xml:space="preserve">classical formalism that is familiar to the systems-biology and process-control communities,</w:t>
      </w:r>
      <w:r>
        <w:t xml:space="preserve"> </w:t>
      </w:r>
      <w:r>
        <w:t xml:space="preserve">making the control variable interpretable and unit-checkable.</w:t>
      </w:r>
      <w:r>
        <w:t xml:space="preserve"> </w:t>
      </w:r>
      <w:r>
        <w:rPr>
          <w:b/>
          <w:bCs/>
        </w:rPr>
        <w:t xml:space="preserve">As a methodological</w:t>
      </w:r>
      <w:r>
        <w:rPr>
          <w:b/>
          <w:bCs/>
        </w:rPr>
        <w:t xml:space="preserve"> </w:t>
      </w:r>
      <w:r>
        <w:rPr>
          <w:b/>
          <w:bCs/>
        </w:rPr>
        <w:t xml:space="preserve">caution</w:t>
      </w:r>
      <w:r>
        <w:t xml:space="preserve">, the built-in falsification, with its count-matched random-facet null, is a</w:t>
      </w:r>
      <w:r>
        <w:t xml:space="preserve"> </w:t>
      </w:r>
      <w:r>
        <w:t xml:space="preserve">transferable template: it shows how to ask whether 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prior adds information</w:t>
      </w:r>
      <w:r>
        <w:t xml:space="preserve"> </w:t>
      </w:r>
      <w:r>
        <w:t xml:space="preserve">beyond a generic constraint of equal size, and reports the honest answer for this case</w:t>
      </w:r>
      <w:r>
        <w:t xml:space="preserve"> </w:t>
      </w:r>
      <w:r>
        <w:t xml:space="preserve">(it does not). By shipping self-skepticism as a test, the package makes the scope of the</w:t>
      </w:r>
      <w:r>
        <w:t xml:space="preserve"> </w:t>
      </w:r>
      <w:r>
        <w:t xml:space="preserve">framework auditable — a responsible default for software that</w:t>
      </w:r>
      <w:r>
        <w:t xml:space="preserve"> </w:t>
      </w:r>
      <w:r>
        <w:t xml:space="preserve">operationalizes an attractive but unproven idea. Within the broader BOS software</w:t>
      </w:r>
      <w:r>
        <w:t xml:space="preserve"> </w:t>
      </w:r>
      <w:r>
        <w:t xml:space="preserve">ecosystem </w:t>
      </w:r>
      <w:r>
        <w:t xml:space="preserve">[15]</w:t>
      </w:r>
      <w:r>
        <w:t xml:space="preserve">,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 </w:t>
      </w:r>
      <w:r>
        <w:t xml:space="preserve">provides the candidate control-geometry layer; the empirical</w:t>
      </w:r>
      <w:r>
        <w:t xml:space="preserve"> </w:t>
      </w:r>
      <w:r>
        <w:t xml:space="preserve">resource-recovery results and the boundary-matched accounting are reported and reproduced</w:t>
      </w:r>
      <w:r>
        <w:t xml:space="preserve"> </w:t>
      </w:r>
      <w:r>
        <w:t xml:space="preserve">separately.</w:t>
      </w:r>
    </w:p>
    <w:bookmarkEnd w:id="39"/>
    <w:bookmarkStart w:id="40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We presented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, an open, tested, one-command-reproducible implementation of</w:t>
      </w:r>
      <w:r>
        <w:t xml:space="preserve"> </w:t>
      </w:r>
      <w:r>
        <w:t xml:space="preserve">reaction-order-polytope-constrained flux-exponent control for staged bioconversion. Beyond</w:t>
      </w:r>
      <w:r>
        <w:t xml:space="preserve"> </w:t>
      </w:r>
      <w:r>
        <w:t xml:space="preserve">the artifact, the package encodes two honest, re-runnable results: the clarifying identity</w:t>
      </w:r>
      <w:r>
        <w:t xml:space="preserve"> </w:t>
      </w:r>
      <w:r>
        <w:t xml:space="preserve">that FEC exponents are MCA elasticities, and a built-in falsification: against a count-matched random-facet null, the binding-derived</w:t>
      </w:r>
      <w:r>
        <w:t xml:space="preserve"> </w:t>
      </w:r>
      <w:r>
        <w:t xml:space="preserve">structure confers at most a marginal advantage for data-driven</w:t>
      </w:r>
      <w:r>
        <w:t xml:space="preserve"> </w:t>
      </w:r>
      <w:r>
        <w:rPr>
          <w:i/>
          <w:iCs/>
        </w:rPr>
        <w:t xml:space="preserve">identification</w:t>
      </w:r>
      <w:r>
        <w:t xml:space="preserve">; its</w:t>
      </w:r>
      <w:r>
        <w:t xml:space="preserve"> </w:t>
      </w:r>
      <w:r>
        <w:t xml:space="preserve">demonstrated role is instead as a</w:t>
      </w:r>
      <w:r>
        <w:t xml:space="preserve"> </w:t>
      </w:r>
      <w:r>
        <w:rPr>
          <w:i/>
          <w:iCs/>
        </w:rPr>
        <w:t xml:space="preserve">control-admissibility set</w:t>
      </w:r>
      <w:r>
        <w:t xml:space="preserve"> </w:t>
      </w:r>
      <w:r>
        <w:t xml:space="preserve">(Example 1). The</w:t>
      </w:r>
      <w:r>
        <w:t xml:space="preserve"> </w:t>
      </w:r>
      <w:r>
        <w:t xml:space="preserve">work is offered as a reproducible reference and a map of where the framework adds</w:t>
      </w:r>
      <w:r>
        <w:t xml:space="preserve"> </w:t>
      </w:r>
      <w:r>
        <w:t xml:space="preserve">value, not as an overclaimed method; its scope is explicitly in-silico, with the wet-lab</w:t>
      </w:r>
      <w:r>
        <w:t xml:space="preserve"> </w:t>
      </w:r>
      <w:r>
        <w:t xml:space="preserve">system reported separately </w:t>
      </w:r>
      <w:r>
        <w:t xml:space="preserve">[15]</w:t>
      </w:r>
      <w:r>
        <w:t xml:space="preserve">.</w:t>
      </w:r>
    </w:p>
    <w:bookmarkEnd w:id="40"/>
    <w:bookmarkStart w:id="45" w:name="declarations"/>
    <w:p>
      <w:pPr>
        <w:pStyle w:val="Heading1"/>
      </w:pPr>
      <w:r>
        <w:t xml:space="preserve">Declarations</w:t>
      </w:r>
    </w:p>
    <w:bookmarkStart w:id="41" w:name="code-and-data-availability."/>
    <w:p>
      <w:pPr>
        <w:pStyle w:val="Heading4"/>
      </w:pPr>
      <w:r>
        <w:t xml:space="preserve">Code and data availability.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ropfec</w:t>
      </w:r>
      <w:r>
        <w:t xml:space="preserve"> </w:t>
      </w:r>
      <w:r>
        <w:t xml:space="preserve">source, the 44 tests, and the</w:t>
      </w:r>
      <w:r>
        <w:t xml:space="preserve"> </w:t>
      </w:r>
      <w:r>
        <w:t xml:space="preserve">script that regenerates the data figures are released under the MIT license at</w:t>
      </w:r>
      <w:r>
        <w:t xml:space="preserve"> </w:t>
      </w:r>
      <w:hyperlink r:id="rId11">
        <w:r>
          <w:rPr>
            <w:rStyle w:val="Hyperlink"/>
          </w:rPr>
          <w:t xml:space="preserve">https://github.com/exergyleizhou-ux/ropfec</w:t>
        </w:r>
      </w:hyperlink>
      <w:r>
        <w:t xml:space="preserve"> </w:t>
      </w:r>
      <w:r>
        <w:t xml:space="preserve">(Table 1); a versioned snapshot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v1.0.1</w:t>
      </w:r>
      <w:r>
        <w:t xml:space="preserve"> </w:t>
      </w:r>
      <w:r>
        <w:t xml:space="preserve">release is archived on Zenodo (</w:t>
      </w:r>
      <w:hyperlink r:id="rId12">
        <w:r>
          <w:rPr>
            <w:rStyle w:val="Hyperlink"/>
          </w:rPr>
          <w:t xml:space="preserve">10.5281/zenodo.20805373</w:t>
        </w:r>
      </w:hyperlink>
      <w:r>
        <w:t xml:space="preserve">; concept DOI 10.5281/zenodo.20805372).</w:t>
      </w:r>
    </w:p>
    <w:bookmarkEnd w:id="41"/>
    <w:bookmarkStart w:id="42" w:name="use-of-generative-ai."/>
    <w:p>
      <w:pPr>
        <w:pStyle w:val="Heading4"/>
      </w:pPr>
      <w:r>
        <w:t xml:space="preserve">Use of generative AI.</w:t>
      </w:r>
    </w:p>
    <w:p>
      <w:pPr>
        <w:pStyle w:val="FirstParagraph"/>
      </w:pPr>
      <w:r>
        <w:t xml:space="preserve">Generative-AI tools assisted code and text drafting; the</w:t>
      </w:r>
      <w:r>
        <w:t xml:space="preserve"> </w:t>
      </w:r>
      <w:r>
        <w:t xml:space="preserve">author reviewed, verified, and is solely responsible for all content, including every</w:t>
      </w:r>
      <w:r>
        <w:t xml:space="preserve"> </w:t>
      </w:r>
      <w:r>
        <w:t xml:space="preserve">quantitative claim and citation, and reproduced all reported numbers from the released code.</w:t>
      </w:r>
    </w:p>
    <w:bookmarkEnd w:id="42"/>
    <w:bookmarkStart w:id="43" w:name="competing-interests."/>
    <w:p>
      <w:pPr>
        <w:pStyle w:val="Heading4"/>
      </w:pPr>
      <w:r>
        <w:t xml:space="preserve">Competing interests.</w:t>
      </w:r>
    </w:p>
    <w:p>
      <w:pPr>
        <w:pStyle w:val="FirstParagraph"/>
      </w:pPr>
      <w:r>
        <w:t xml:space="preserve">The author declares no competing interests.</w:t>
      </w:r>
    </w:p>
    <w:bookmarkEnd w:id="43"/>
    <w:bookmarkStart w:id="44" w:name="funding."/>
    <w:p>
      <w:pPr>
        <w:pStyle w:val="Heading4"/>
      </w:pPr>
      <w:r>
        <w:t xml:space="preserve">Funding.</w:t>
      </w:r>
    </w:p>
    <w:p>
      <w:pPr>
        <w:pStyle w:val="FirstParagraph"/>
      </w:pPr>
      <w:r>
        <w:t xml:space="preserve">This research received no specific grant from funding agencies in the</w:t>
      </w:r>
      <w:r>
        <w:t xml:space="preserve"> </w:t>
      </w:r>
      <w:r>
        <w:t xml:space="preserve">public, commercial, or not-for-profit sectors.</w:t>
      </w:r>
    </w:p>
    <w:bookmarkEnd w:id="44"/>
    <w:bookmarkEnd w:id="45"/>
    <w:bookmarkStart w:id="46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implements and builds upon the reaction order polytope and flux exponent control</w:t>
      </w:r>
      <w:r>
        <w:t xml:space="preserve"> </w:t>
      </w:r>
      <w:r>
        <w:t xml:space="preserve">framework of Fangzhou Xiao, Jing Shuang Li, and John C. Doyle.</w:t>
      </w:r>
    </w:p>
    <w:bookmarkEnd w:id="46"/>
    <w:bookmarkStart w:id="110" w:name="references"/>
    <w:p>
      <w:pPr>
        <w:pStyle w:val="Heading1"/>
      </w:pPr>
      <w:r>
        <w:t xml:space="preserve">References</w:t>
      </w:r>
    </w:p>
    <w:bookmarkStart w:id="109" w:name="refs"/>
    <w:bookmarkStart w:id="48" w:name="ref-orth2010fb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Orth, J. D., Thiele, I., and Palsson, B. Ø. What is flux balance analysis? Nature Biotechnology, 2010;28:245–248. doi:</w:t>
      </w:r>
      <w:hyperlink r:id="rId47">
        <w:r>
          <w:rPr>
            <w:rStyle w:val="Hyperlink"/>
          </w:rPr>
          <w:t xml:space="preserve">10.1038/nbt.1614</w:t>
        </w:r>
      </w:hyperlink>
    </w:p>
    <w:bookmarkEnd w:id="48"/>
    <w:bookmarkStart w:id="50" w:name="ref-varma1994stoichiometr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Varma, A., and Palsson, B. Ø. Stoichiometric flux balance models quantitatively predict growth and metabolic by-product secretion in wild-type</w:t>
      </w:r>
      <w:r>
        <w:t xml:space="preserve"> </w:t>
      </w:r>
      <w:r>
        <w:t xml:space="preserve">Escherichia coli</w:t>
      </w:r>
      <w:r>
        <w:t xml:space="preserve"> </w:t>
      </w:r>
      <w:r>
        <w:t xml:space="preserve">W3110</w:t>
      </w:r>
      <w:r>
        <w:t xml:space="preserve">. Applied and Environmental Microbiology, 1994;60:3724–3731. doi:</w:t>
      </w:r>
      <w:hyperlink r:id="rId49">
        <w:r>
          <w:rPr>
            <w:rStyle w:val="Hyperlink"/>
          </w:rPr>
          <w:t xml:space="preserve">10.1128/aem.60.10.3724-3731.1994</w:t>
        </w:r>
      </w:hyperlink>
    </w:p>
    <w:bookmarkEnd w:id="50"/>
    <w:bookmarkStart w:id="52" w:name="ref-saa2017kineti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Saa, P. A., and Nielsen, L. K. Formulation, construction and analysis of kinetic models of metabolism: A review of modelling frameworks. Biotechnology Advances, 2017;35:981–1003. doi:</w:t>
      </w:r>
      <w:hyperlink r:id="rId51">
        <w:r>
          <w:rPr>
            <w:rStyle w:val="Hyperlink"/>
          </w:rPr>
          <w:t xml:space="preserve">10.1016/j.biotechadv.2017.09.005</w:t>
        </w:r>
      </w:hyperlink>
    </w:p>
    <w:bookmarkEnd w:id="52"/>
    <w:bookmarkStart w:id="54" w:name="ref-mahadevan2002dfb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Mahadevan, R., Edwards, J. S., and Doyle, F. J. Dynamic flux balance analysis of diauxic growth in</w:t>
      </w:r>
      <w:r>
        <w:t xml:space="preserve"> </w:t>
      </w:r>
      <w:r>
        <w:t xml:space="preserve">Escherichia coli</w:t>
      </w:r>
      <w:r>
        <w:t xml:space="preserve">. Biophysical Journal, 2002;83:1331–1340. doi:</w:t>
      </w:r>
      <w:hyperlink r:id="rId53">
        <w:r>
          <w:rPr>
            <w:rStyle w:val="Hyperlink"/>
          </w:rPr>
          <w:t xml:space="preserve">10.1016/S0006-3495(02)73903-9</w:t>
        </w:r>
      </w:hyperlink>
    </w:p>
    <w:bookmarkEnd w:id="54"/>
    <w:bookmarkStart w:id="56" w:name="ref-hatzimanikatis1997loglinea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Hatzimanikatis, V., and Bailey, J. E. Effects of spatiotemporal variations on metabolic control: Approximate analysis using (log)linear kinetic models. Biotechnology and Bioengineering, 1997;54:91–104. doi:</w:t>
      </w:r>
      <w:hyperlink r:id="rId55">
        <w:r>
          <w:rPr>
            <w:rStyle w:val="Hyperlink"/>
          </w:rPr>
          <w:t xml:space="preserve">10.1002/(SICI)1097-0290(19970420)54:2&lt;91::AID-BIT1&gt;3.0.CO;2-Q</w:t>
        </w:r>
      </w:hyperlink>
    </w:p>
    <w:bookmarkEnd w:id="56"/>
    <w:bookmarkStart w:id="58" w:name="ref-visser2003linlo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Visser, D., and Heijnen, J. J. Dynamic simulation and metabolic re-design of a branched pathway using linlog kinetics. Metabolic Engineering, 2003;5:164–176. doi:</w:t>
      </w:r>
      <w:hyperlink r:id="rId57">
        <w:r>
          <w:rPr>
            <w:rStyle w:val="Hyperlink"/>
          </w:rPr>
          <w:t xml:space="preserve">10.1016/S1096-7176(03)00025-9</w:t>
        </w:r>
      </w:hyperlink>
    </w:p>
    <w:bookmarkEnd w:id="58"/>
    <w:bookmarkStart w:id="60" w:name="ref-miskovic2010oracl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Miskovic, L., and Hatzimanikatis, V. Production of biofuels and biochemicals: In need of an</w:t>
      </w:r>
      <w:r>
        <w:t xml:space="preserve"> </w:t>
      </w:r>
      <w:r>
        <w:t xml:space="preserve">ORACLE</w:t>
      </w:r>
      <w:r>
        <w:t xml:space="preserve">. Trends in Biotechnology, 2010;28:391–397. doi:</w:t>
      </w:r>
      <w:hyperlink r:id="rId59">
        <w:r>
          <w:rPr>
            <w:rStyle w:val="Hyperlink"/>
          </w:rPr>
          <w:t xml:space="preserve">10.1016/j.tibtech.2010.05.003</w:t>
        </w:r>
      </w:hyperlink>
    </w:p>
    <w:bookmarkEnd w:id="60"/>
    <w:bookmarkStart w:id="62" w:name="ref-smallbone2007bridg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Smallbone, K., Simeonidis, E., Broomhead, D. S., and Kell, D. B. Something from nothing: Bridging the gap between constraint-based and kinetic modelling. The FEBS Journal, 2007;274:5576–5585. doi:</w:t>
      </w:r>
      <w:hyperlink r:id="rId61">
        <w:r>
          <w:rPr>
            <w:rStyle w:val="Hyperlink"/>
          </w:rPr>
          <w:t xml:space="preserve">10.1111/j.1742-4658.2007.06076.x</w:t>
        </w:r>
      </w:hyperlink>
    </w:p>
    <w:bookmarkEnd w:id="62"/>
    <w:bookmarkStart w:id="64" w:name="ref-xiao2023fe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Xiao, F., Li, J. S., and Doyle, J. C. Flux exponent control predicts metabolic dynamics from network structure. 2023 american control conference (ACC), 2023;1189–1194. doi:</w:t>
      </w:r>
      <w:hyperlink r:id="rId63">
        <w:r>
          <w:rPr>
            <w:rStyle w:val="Hyperlink"/>
          </w:rPr>
          <w:t xml:space="preserve">10.23919/ACC55779.2023.10156281</w:t>
        </w:r>
      </w:hyperlink>
    </w:p>
    <w:bookmarkEnd w:id="64"/>
    <w:bookmarkStart w:id="66" w:name="ref-xiao2022thesi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Xiao, F. Biocontrol of biomolecular systems: Polyhedral constraints on binding’s regulation of catalysis from biocircuits to metabolism. California Institute of Technology, 2022. doi:</w:t>
      </w:r>
      <w:hyperlink r:id="rId65">
        <w:r>
          <w:rPr>
            <w:rStyle w:val="Hyperlink"/>
          </w:rPr>
          <w:t xml:space="preserve">10.7907/rtwq-v497</w:t>
        </w:r>
      </w:hyperlink>
    </w:p>
    <w:bookmarkEnd w:id="66"/>
    <w:bookmarkStart w:id="68" w:name="ref-xiao2021struct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Xiao, F., Khammash, M., and Doyle, J. C. Stability and control of biomolecular circuits through structure. 2021 american control conference (ACC), 2021;476–483. doi:</w:t>
      </w:r>
      <w:hyperlink r:id="rId67">
        <w:r>
          <w:rPr>
            <w:rStyle w:val="Hyperlink"/>
          </w:rPr>
          <w:t xml:space="preserve">10.23919/ACC50511.2021.9483039</w:t>
        </w:r>
      </w:hyperlink>
    </w:p>
    <w:bookmarkEnd w:id="68"/>
    <w:bookmarkStart w:id="70" w:name="ref-xiao2018rp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Xiao, F., and Doyle, J. C. Robust perfect adaptation in biomolecular reaction networks. 2018 IEEE conference on decision and control (CDC), 2018;4345–4352. doi:</w:t>
      </w:r>
      <w:hyperlink r:id="rId69">
        <w:r>
          <w:rPr>
            <w:rStyle w:val="Hyperlink"/>
          </w:rPr>
          <w:t xml:space="preserve">10.1109/CDC.2018.8619101</w:t>
        </w:r>
      </w:hyperlink>
    </w:p>
    <w:bookmarkEnd w:id="70"/>
    <w:bookmarkStart w:id="71" w:name="ref-rawlings2017mpc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Rawlings, J. B., Mayne, D. Q., and Diehl, M. M. Model predictive control: Theory, computation, and design. Nob Hill Publishing, Madison, WI, 2017.</w:t>
      </w:r>
      <w:r>
        <w:t xml:space="preserve"> </w:t>
      </w:r>
    </w:p>
    <w:bookmarkEnd w:id="71"/>
    <w:bookmarkStart w:id="73" w:name="ref-bemporad1999surve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Bemporad, A., and Morari, M. Robust model predictive control: A survey. Robustness in identification and control, 1999;245:207–226. doi:</w:t>
      </w:r>
      <w:hyperlink r:id="rId72">
        <w:r>
          <w:rPr>
            <w:rStyle w:val="Hyperlink"/>
          </w:rPr>
          <w:t xml:space="preserve">10.1007/BFb0109870</w:t>
        </w:r>
      </w:hyperlink>
    </w:p>
    <w:bookmarkEnd w:id="73"/>
    <w:bookmarkStart w:id="74" w:name="ref-paperA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Zhou, L., Deng, Q., Huang, X., Ying, J., Chang, Y., and Chen, G. Decoupling waste deconstruction from nutrient recovery: A staged insect biological operating system for circular valorization of agro-industrial waste. Journal of Cleaner Production (under review), 2026.</w:t>
      </w:r>
      <w:r>
        <w:t xml:space="preserve"> </w:t>
      </w:r>
    </w:p>
    <w:bookmarkEnd w:id="74"/>
    <w:bookmarkStart w:id="76" w:name="ref-savageau1969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Savageau, M. A. Biochemical systems analysis:</w:t>
      </w:r>
      <w:r>
        <w:t xml:space="preserve"> </w:t>
      </w:r>
      <w:r>
        <w:t xml:space="preserve">II</w:t>
      </w:r>
      <w:r>
        <w:t xml:space="preserve">. The steady-state solutions for an</w:t>
      </w:r>
      <w:r>
        <w:t xml:space="preserve"> </w:t>
      </w:r>
      <m:oMath>
        <m:r>
          <m:t>n</m:t>
        </m:r>
      </m:oMath>
      <w:r>
        <w:t xml:space="preserve">-pool system using a power-law approximation. Journal of Theoretical Biology, 1969;25:370–379. doi:</w:t>
      </w:r>
      <w:hyperlink r:id="rId75">
        <w:r>
          <w:rPr>
            <w:rStyle w:val="Hyperlink"/>
          </w:rPr>
          <w:t xml:space="preserve">10.1016/S0022-5193(69)80027-5</w:t>
        </w:r>
      </w:hyperlink>
    </w:p>
    <w:bookmarkEnd w:id="76"/>
    <w:bookmarkStart w:id="78" w:name="ref-feinberg2019crn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Feinberg, M. Foundations of chemical reaction network theory. Springer, Cham, Switzerland, 2019. doi:</w:t>
      </w:r>
      <w:hyperlink r:id="rId77">
        <w:r>
          <w:rPr>
            <w:rStyle w:val="Hyperlink"/>
          </w:rPr>
          <w:t xml:space="preserve">10.1007/978-3-030-03858-8</w:t>
        </w:r>
      </w:hyperlink>
    </w:p>
    <w:bookmarkEnd w:id="78"/>
    <w:bookmarkStart w:id="79" w:name="ref-alon2019systems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Alon, U. An introduction to systems biology: Design principles of biological circuits. CRC Press, Boca Raton, FL, 2019.</w:t>
      </w:r>
      <w:r>
        <w:t xml:space="preserve"> </w:t>
      </w:r>
    </w:p>
    <w:bookmarkEnd w:id="79"/>
    <w:bookmarkStart w:id="80" w:name="ref-kacser1973contro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Kacser, H., and Burns, J. A. The control of flux. Rate control of biological processes (symposia of the society for experimental biology, vol. 27), 1973;65–104.</w:t>
      </w:r>
      <w:r>
        <w:t xml:space="preserve"> </w:t>
      </w:r>
    </w:p>
    <w:bookmarkEnd w:id="80"/>
    <w:bookmarkStart w:id="82" w:name="ref-heinrich1974linea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Heinrich, R., and Rapoport, T. A. A linear steady-state treatment of enzymatic chains: General properties, control and effector strength. European Journal of Biochemistry, 1974;42:89–95. doi:</w:t>
      </w:r>
      <w:hyperlink r:id="rId81">
        <w:r>
          <w:rPr>
            <w:rStyle w:val="Hyperlink"/>
          </w:rPr>
          <w:t xml:space="preserve">10.1111/j.1432-1033.1974.tb03318.x</w:t>
        </w:r>
      </w:hyperlink>
    </w:p>
    <w:bookmarkEnd w:id="82"/>
    <w:bookmarkStart w:id="83" w:name="ref-fell1997understanding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Fell, D. Understanding the control of metabolism. Portland Press, London, 1997.</w:t>
      </w:r>
      <w:r>
        <w:t xml:space="preserve"> </w:t>
      </w:r>
    </w:p>
    <w:bookmarkEnd w:id="83"/>
    <w:bookmarkStart w:id="85" w:name="ref-andersson2019casadi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Andersson, J. A. E., Gillis, J., Horn, G., Rawlings, J. B., and Diehl, M.</w:t>
      </w:r>
      <w:r>
        <w:t xml:space="preserve"> </w:t>
      </w:r>
      <w:r>
        <w:t xml:space="preserve">CasADi</w:t>
      </w:r>
      <w:r>
        <w:t xml:space="preserve"> </w:t>
      </w:r>
      <w:r>
        <w:t xml:space="preserve">– a software framework for nonlinear optimization and optimal control. Mathematical Programming Computation, 2019;11:1–36. doi:</w:t>
      </w:r>
      <w:hyperlink r:id="rId84">
        <w:r>
          <w:rPr>
            <w:rStyle w:val="Hyperlink"/>
          </w:rPr>
          <w:t xml:space="preserve">10.1007/s12532-018-0139-4</w:t>
        </w:r>
      </w:hyperlink>
    </w:p>
    <w:bookmarkEnd w:id="85"/>
    <w:bookmarkStart w:id="87" w:name="ref-wachter2006ipopt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Wächter, A., and Biegler, L. T. On the implementation of an interior-point filter line-search algorithm for large-scale nonlinear programming. Mathematical Programming, 2006;106:25–57. doi:</w:t>
      </w:r>
      <w:hyperlink r:id="rId86">
        <w:r>
          <w:rPr>
            <w:rStyle w:val="Hyperlink"/>
          </w:rPr>
          <w:t xml:space="preserve">10.1007/s10107-004-0559-y</w:t>
        </w:r>
      </w:hyperlink>
    </w:p>
    <w:bookmarkEnd w:id="87"/>
    <w:bookmarkStart w:id="89" w:name="ref-kothare1996robust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Kothare, M. V., Balakrishnan, V., and Morari, M. Robust constrained model predictive control using linear matrix inequalities. Automatica, 1996;32:1361–1379. doi:</w:t>
      </w:r>
      <w:hyperlink r:id="rId88">
        <w:r>
          <w:rPr>
            <w:rStyle w:val="Hyperlink"/>
          </w:rPr>
          <w:t xml:space="preserve">10.1016/0005-1098(96)00063-5</w:t>
        </w:r>
      </w:hyperlink>
    </w:p>
    <w:bookmarkEnd w:id="89"/>
    <w:bookmarkStart w:id="91" w:name="ref-scokaert1998minmax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Scokaert, P. O. M., and Mayne, D. Q. Min-max feedback model predictive control for constrained linear systems. IEEE Transactions on Automatic Control, 1998;43:1136–1142. doi:</w:t>
      </w:r>
      <w:hyperlink r:id="rId90">
        <w:r>
          <w:rPr>
            <w:rStyle w:val="Hyperlink"/>
          </w:rPr>
          <w:t xml:space="preserve">10.1109/9.704989</w:t>
        </w:r>
      </w:hyperlink>
    </w:p>
    <w:bookmarkEnd w:id="91"/>
    <w:bookmarkStart w:id="93" w:name="ref-mayne2005tub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Mayne, D. Q., Seron, M. M., and Raković, S. V. Robust model predictive control of constrained linear systems with bounded disturbances. Automatica, 2005;41:219–224. doi:</w:t>
      </w:r>
      <w:hyperlink r:id="rId92">
        <w:r>
          <w:rPr>
            <w:rStyle w:val="Hyperlink"/>
          </w:rPr>
          <w:t xml:space="preserve">10.1016/j.automatica.2004.08.019</w:t>
        </w:r>
      </w:hyperlink>
    </w:p>
    <w:bookmarkEnd w:id="93"/>
    <w:bookmarkStart w:id="95" w:name="ref-calafiore2006scenario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Calafiore, G. C., and Campi, M. C. The scenario approach to robust control design. IEEE Transactions on Automatic Control, 2006;51:742–753. doi:</w:t>
      </w:r>
      <w:hyperlink r:id="rId94">
        <w:r>
          <w:rPr>
            <w:rStyle w:val="Hyperlink"/>
          </w:rPr>
          <w:t xml:space="preserve">10.1109/TAC.2006.875041</w:t>
        </w:r>
      </w:hyperlink>
    </w:p>
    <w:bookmarkEnd w:id="95"/>
    <w:bookmarkStart w:id="97" w:name="ref-campi2008exact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Campi, M. C., and Garatti, S. The exact feasibility of randomized solutions of uncertain convex programs. SIAM Journal on Optimization, 2008;19:1211–1230. doi:</w:t>
      </w:r>
      <w:hyperlink r:id="rId96">
        <w:r>
          <w:rPr>
            <w:rStyle w:val="Hyperlink"/>
          </w:rPr>
          <w:t xml:space="preserve">10.1137/07069821X</w:t>
        </w:r>
      </w:hyperlink>
    </w:p>
    <w:bookmarkEnd w:id="97"/>
    <w:bookmarkStart w:id="99" w:name="ref-bertsimas2011robust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Bertsimas, D., Brown, D. B., and Caramanis, C. Theory and applications of robust optimization. SIAM Review, 2011;53:464–501. doi:</w:t>
      </w:r>
      <w:hyperlink r:id="rId98">
        <w:r>
          <w:rPr>
            <w:rStyle w:val="Hyperlink"/>
          </w:rPr>
          <w:t xml:space="preserve">10.1137/080734510</w:t>
        </w:r>
      </w:hyperlink>
    </w:p>
    <w:bookmarkEnd w:id="99"/>
    <w:bookmarkStart w:id="101" w:name="ref-selkov1968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Sel’kov, E. E. Self-oscillations in glycolysis. 1. A simple kinetic model. European Journal of Biochemistry, 1968;4:79–86. doi:</w:t>
      </w:r>
      <w:hyperlink r:id="rId100">
        <w:r>
          <w:rPr>
            <w:rStyle w:val="Hyperlink"/>
          </w:rPr>
          <w:t xml:space="preserve">10.1111/j.1432-1033.1968.tb00175.x</w:t>
        </w:r>
      </w:hyperlink>
    </w:p>
    <w:bookmarkEnd w:id="101"/>
    <w:bookmarkStart w:id="102" w:name="ref-strogatz2014nonlinear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Strogatz, S. H. Nonlinear dynamics and chaos. Westview Press, 2014.</w:t>
      </w:r>
      <w:r>
        <w:t xml:space="preserve"> </w:t>
      </w:r>
    </w:p>
    <w:bookmarkEnd w:id="102"/>
    <w:bookmarkStart w:id="104" w:name="ref-wolf2000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Wolf, J., and Heinrich, R. Effect of cellular interaction on glycolytic oscillations in yeast: A theoretical investigation. Biochemical Journal, 2000;345:321–334. doi:</w:t>
      </w:r>
      <w:hyperlink r:id="rId103">
        <w:r>
          <w:rPr>
            <w:rStyle w:val="Hyperlink"/>
          </w:rPr>
          <w:t xml:space="preserve">10.1042/bj3450321</w:t>
        </w:r>
      </w:hyperlink>
    </w:p>
    <w:bookmarkEnd w:id="104"/>
    <w:bookmarkStart w:id="106" w:name="ref-biomd691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BioModels Database. Wolf2000_glycolytic_oscillations_yeast. BioModels, accession BIOMD0000000691 (SBML L2V4), EMBL-EBI, 2000.</w:t>
      </w:r>
      <w:r>
        <w:t xml:space="preserve"> </w:t>
      </w:r>
      <w:hyperlink r:id="rId105">
        <w:r>
          <w:rPr>
            <w:rStyle w:val="Hyperlink"/>
          </w:rPr>
          <w:t xml:space="preserve">https://www.ebi.ac.uk/biomodels/BIOMD0000000691</w:t>
        </w:r>
      </w:hyperlink>
    </w:p>
    <w:bookmarkEnd w:id="106"/>
    <w:bookmarkStart w:id="108" w:name="ref-bental1998robust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Ben-Tal, A., and Nemirovski, A. Robust convex optimization. Mathematics of Operations Research, 1998;23:769–805. doi:</w:t>
      </w:r>
      <w:hyperlink r:id="rId107">
        <w:r>
          <w:rPr>
            <w:rStyle w:val="Hyperlink"/>
          </w:rPr>
          <w:t xml:space="preserve">10.1287/moor.23.4.769</w:t>
        </w:r>
      </w:hyperlink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State Key Laboratory of Subtropical Silviculture, Zhejiang</w:t>
      </w:r>
      <w:r>
        <w:t xml:space="preserve"> </w:t>
      </w:r>
      <w:r>
        <w:t xml:space="preserve">A&amp;F University, Hangzhou, China.</w:t>
      </w:r>
      <w:r>
        <w:t xml:space="preserve"> </w:t>
      </w:r>
      <w:hyperlink r:id="rId10">
        <w:r>
          <w:rPr>
            <w:rStyle w:val="Hyperlink"/>
          </w:rPr>
          <w:t xml:space="preserve">exergyleizhou@gmail.com</w:t>
        </w:r>
      </w:hyperlink>
      <w:r>
        <w:t xml:space="preserve">;</w:t>
      </w:r>
      <w:r>
        <w:t xml:space="preserve"> </w:t>
      </w:r>
      <w:r>
        <w:t xml:space="preserve">ORCID 0009-0000-9073-1349.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hyperlink" Id="rId55" Target="https://doi.org/10.1002/(SICI)1097-0290(19970420)54:2&lt;91::AID-BIT1&gt;3.0.CO;2-Q" TargetMode="External" /><Relationship Type="http://schemas.openxmlformats.org/officeDocument/2006/relationships/hyperlink" Id="rId77" Target="https://doi.org/10.1007/978-3-030-03858-8" TargetMode="External" /><Relationship Type="http://schemas.openxmlformats.org/officeDocument/2006/relationships/hyperlink" Id="rId72" Target="https://doi.org/10.1007/BFb0109870" TargetMode="External" /><Relationship Type="http://schemas.openxmlformats.org/officeDocument/2006/relationships/hyperlink" Id="rId86" Target="https://doi.org/10.1007/s10107-004-0559-y" TargetMode="External" /><Relationship Type="http://schemas.openxmlformats.org/officeDocument/2006/relationships/hyperlink" Id="rId84" Target="https://doi.org/10.1007/s12532-018-0139-4" TargetMode="External" /><Relationship Type="http://schemas.openxmlformats.org/officeDocument/2006/relationships/hyperlink" Id="rId88" Target="https://doi.org/10.1016/0005-1098(96)00063-5" TargetMode="External" /><Relationship Type="http://schemas.openxmlformats.org/officeDocument/2006/relationships/hyperlink" Id="rId53" Target="https://doi.org/10.1016/S0006-3495(02)73903-9" TargetMode="External" /><Relationship Type="http://schemas.openxmlformats.org/officeDocument/2006/relationships/hyperlink" Id="rId75" Target="https://doi.org/10.1016/S0022-5193(69)80027-5" TargetMode="External" /><Relationship Type="http://schemas.openxmlformats.org/officeDocument/2006/relationships/hyperlink" Id="rId57" Target="https://doi.org/10.1016/S1096-7176(03)00025-9" TargetMode="External" /><Relationship Type="http://schemas.openxmlformats.org/officeDocument/2006/relationships/hyperlink" Id="rId92" Target="https://doi.org/10.1016/j.automatica.2004.08.019" TargetMode="External" /><Relationship Type="http://schemas.openxmlformats.org/officeDocument/2006/relationships/hyperlink" Id="rId51" Target="https://doi.org/10.1016/j.biotechadv.2017.09.005" TargetMode="External" /><Relationship Type="http://schemas.openxmlformats.org/officeDocument/2006/relationships/hyperlink" Id="rId59" Target="https://doi.org/10.1016/j.tibtech.2010.05.003" TargetMode="External" /><Relationship Type="http://schemas.openxmlformats.org/officeDocument/2006/relationships/hyperlink" Id="rId47" Target="https://doi.org/10.1038/nbt.1614" TargetMode="External" /><Relationship Type="http://schemas.openxmlformats.org/officeDocument/2006/relationships/hyperlink" Id="rId103" Target="https://doi.org/10.1042/bj3450321" TargetMode="External" /><Relationship Type="http://schemas.openxmlformats.org/officeDocument/2006/relationships/hyperlink" Id="rId90" Target="https://doi.org/10.1109/9.704989" TargetMode="External" /><Relationship Type="http://schemas.openxmlformats.org/officeDocument/2006/relationships/hyperlink" Id="rId69" Target="https://doi.org/10.1109/CDC.2018.8619101" TargetMode="External" /><Relationship Type="http://schemas.openxmlformats.org/officeDocument/2006/relationships/hyperlink" Id="rId94" Target="https://doi.org/10.1109/TAC.2006.875041" TargetMode="External" /><Relationship Type="http://schemas.openxmlformats.org/officeDocument/2006/relationships/hyperlink" Id="rId100" Target="https://doi.org/10.1111/j.1432-1033.1968.tb00175.x" TargetMode="External" /><Relationship Type="http://schemas.openxmlformats.org/officeDocument/2006/relationships/hyperlink" Id="rId81" Target="https://doi.org/10.1111/j.1432-1033.1974.tb03318.x" TargetMode="External" /><Relationship Type="http://schemas.openxmlformats.org/officeDocument/2006/relationships/hyperlink" Id="rId61" Target="https://doi.org/10.1111/j.1742-4658.2007.06076.x" TargetMode="External" /><Relationship Type="http://schemas.openxmlformats.org/officeDocument/2006/relationships/hyperlink" Id="rId49" Target="https://doi.org/10.1128/aem.60.10.3724-3731.1994" TargetMode="External" /><Relationship Type="http://schemas.openxmlformats.org/officeDocument/2006/relationships/hyperlink" Id="rId96" Target="https://doi.org/10.1137/07069821X" TargetMode="External" /><Relationship Type="http://schemas.openxmlformats.org/officeDocument/2006/relationships/hyperlink" Id="rId98" Target="https://doi.org/10.1137/080734510" TargetMode="External" /><Relationship Type="http://schemas.openxmlformats.org/officeDocument/2006/relationships/hyperlink" Id="rId107" Target="https://doi.org/10.1287/moor.23.4.769" TargetMode="External" /><Relationship Type="http://schemas.openxmlformats.org/officeDocument/2006/relationships/hyperlink" Id="rId67" Target="https://doi.org/10.23919/ACC50511.2021.9483039" TargetMode="External" /><Relationship Type="http://schemas.openxmlformats.org/officeDocument/2006/relationships/hyperlink" Id="rId63" Target="https://doi.org/10.23919/ACC55779.2023.10156281" TargetMode="External" /><Relationship Type="http://schemas.openxmlformats.org/officeDocument/2006/relationships/hyperlink" Id="rId12" Target="https://doi.org/10.5281/zenodo.20805373" TargetMode="External" /><Relationship Type="http://schemas.openxmlformats.org/officeDocument/2006/relationships/hyperlink" Id="rId65" Target="https://doi.org/10.7907/rtwq-v497" TargetMode="External" /><Relationship Type="http://schemas.openxmlformats.org/officeDocument/2006/relationships/hyperlink" Id="rId11" Target="https://github.com/exergyleizhou-ux/ropfec" TargetMode="External" /><Relationship Type="http://schemas.openxmlformats.org/officeDocument/2006/relationships/hyperlink" Id="rId105" Target="https://www.ebi.ac.uk/biomodels/BIOMD0000000691" TargetMode="External" /><Relationship Type="http://schemas.openxmlformats.org/officeDocument/2006/relationships/hyperlink" Id="rId10" Target="mailto:exergyleizhou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doi.org/10.1002/(SICI)1097-0290(19970420)54:2&lt;91::AID-BIT1&gt;3.0.CO;2-Q" TargetMode="External" /><Relationship Type="http://schemas.openxmlformats.org/officeDocument/2006/relationships/hyperlink" Id="rId77" Target="https://doi.org/10.1007/978-3-030-03858-8" TargetMode="External" /><Relationship Type="http://schemas.openxmlformats.org/officeDocument/2006/relationships/hyperlink" Id="rId72" Target="https://doi.org/10.1007/BFb0109870" TargetMode="External" /><Relationship Type="http://schemas.openxmlformats.org/officeDocument/2006/relationships/hyperlink" Id="rId86" Target="https://doi.org/10.1007/s10107-004-0559-y" TargetMode="External" /><Relationship Type="http://schemas.openxmlformats.org/officeDocument/2006/relationships/hyperlink" Id="rId84" Target="https://doi.org/10.1007/s12532-018-0139-4" TargetMode="External" /><Relationship Type="http://schemas.openxmlformats.org/officeDocument/2006/relationships/hyperlink" Id="rId88" Target="https://doi.org/10.1016/0005-1098(96)00063-5" TargetMode="External" /><Relationship Type="http://schemas.openxmlformats.org/officeDocument/2006/relationships/hyperlink" Id="rId53" Target="https://doi.org/10.1016/S0006-3495(02)73903-9" TargetMode="External" /><Relationship Type="http://schemas.openxmlformats.org/officeDocument/2006/relationships/hyperlink" Id="rId75" Target="https://doi.org/10.1016/S0022-5193(69)80027-5" TargetMode="External" /><Relationship Type="http://schemas.openxmlformats.org/officeDocument/2006/relationships/hyperlink" Id="rId57" Target="https://doi.org/10.1016/S1096-7176(03)00025-9" TargetMode="External" /><Relationship Type="http://schemas.openxmlformats.org/officeDocument/2006/relationships/hyperlink" Id="rId92" Target="https://doi.org/10.1016/j.automatica.2004.08.019" TargetMode="External" /><Relationship Type="http://schemas.openxmlformats.org/officeDocument/2006/relationships/hyperlink" Id="rId51" Target="https://doi.org/10.1016/j.biotechadv.2017.09.005" TargetMode="External" /><Relationship Type="http://schemas.openxmlformats.org/officeDocument/2006/relationships/hyperlink" Id="rId59" Target="https://doi.org/10.1016/j.tibtech.2010.05.003" TargetMode="External" /><Relationship Type="http://schemas.openxmlformats.org/officeDocument/2006/relationships/hyperlink" Id="rId47" Target="https://doi.org/10.1038/nbt.1614" TargetMode="External" /><Relationship Type="http://schemas.openxmlformats.org/officeDocument/2006/relationships/hyperlink" Id="rId103" Target="https://doi.org/10.1042/bj3450321" TargetMode="External" /><Relationship Type="http://schemas.openxmlformats.org/officeDocument/2006/relationships/hyperlink" Id="rId90" Target="https://doi.org/10.1109/9.704989" TargetMode="External" /><Relationship Type="http://schemas.openxmlformats.org/officeDocument/2006/relationships/hyperlink" Id="rId69" Target="https://doi.org/10.1109/CDC.2018.8619101" TargetMode="External" /><Relationship Type="http://schemas.openxmlformats.org/officeDocument/2006/relationships/hyperlink" Id="rId94" Target="https://doi.org/10.1109/TAC.2006.875041" TargetMode="External" /><Relationship Type="http://schemas.openxmlformats.org/officeDocument/2006/relationships/hyperlink" Id="rId100" Target="https://doi.org/10.1111/j.1432-1033.1968.tb00175.x" TargetMode="External" /><Relationship Type="http://schemas.openxmlformats.org/officeDocument/2006/relationships/hyperlink" Id="rId81" Target="https://doi.org/10.1111/j.1432-1033.1974.tb03318.x" TargetMode="External" /><Relationship Type="http://schemas.openxmlformats.org/officeDocument/2006/relationships/hyperlink" Id="rId61" Target="https://doi.org/10.1111/j.1742-4658.2007.06076.x" TargetMode="External" /><Relationship Type="http://schemas.openxmlformats.org/officeDocument/2006/relationships/hyperlink" Id="rId49" Target="https://doi.org/10.1128/aem.60.10.3724-3731.1994" TargetMode="External" /><Relationship Type="http://schemas.openxmlformats.org/officeDocument/2006/relationships/hyperlink" Id="rId96" Target="https://doi.org/10.1137/07069821X" TargetMode="External" /><Relationship Type="http://schemas.openxmlformats.org/officeDocument/2006/relationships/hyperlink" Id="rId98" Target="https://doi.org/10.1137/080734510" TargetMode="External" /><Relationship Type="http://schemas.openxmlformats.org/officeDocument/2006/relationships/hyperlink" Id="rId107" Target="https://doi.org/10.1287/moor.23.4.769" TargetMode="External" /><Relationship Type="http://schemas.openxmlformats.org/officeDocument/2006/relationships/hyperlink" Id="rId67" Target="https://doi.org/10.23919/ACC50511.2021.9483039" TargetMode="External" /><Relationship Type="http://schemas.openxmlformats.org/officeDocument/2006/relationships/hyperlink" Id="rId63" Target="https://doi.org/10.23919/ACC55779.2023.10156281" TargetMode="External" /><Relationship Type="http://schemas.openxmlformats.org/officeDocument/2006/relationships/hyperlink" Id="rId12" Target="https://doi.org/10.5281/zenodo.20805373" TargetMode="External" /><Relationship Type="http://schemas.openxmlformats.org/officeDocument/2006/relationships/hyperlink" Id="rId65" Target="https://doi.org/10.7907/rtwq-v497" TargetMode="External" /><Relationship Type="http://schemas.openxmlformats.org/officeDocument/2006/relationships/hyperlink" Id="rId11" Target="https://github.com/exergyleizhou-ux/ropfec" TargetMode="External" /><Relationship Type="http://schemas.openxmlformats.org/officeDocument/2006/relationships/hyperlink" Id="rId105" Target="https://www.ebi.ac.uk/biomodels/BIOMD0000000691" TargetMode="External" /><Relationship Type="http://schemas.openxmlformats.org/officeDocument/2006/relationships/hyperlink" Id="rId10" Target="mailto:exergyleizhou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ropfec: an open, tested implementation of reaction-order-constrained flux-exponent control for staged bioconversion</dc:title>
  <dc:creator>Lei Zhou</dc:creator>
  <cp:keywords/>
  <dcterms:created xsi:type="dcterms:W3CDTF">2026-06-23T01:25:09Z</dcterms:created>
  <dcterms:modified xsi:type="dcterms:W3CDTF">2026-06-23T01:25:09Z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 We present ropfec, a small, well-tested Python package that makes reaction-order-polytope (ROP) geometry and flux-exponent control (FEC) — a framework for regulating and predicting metabolic-network dynamics from binding structure without full kinetic-parameter identification — runnable and verifiable. The idea is attractive for controlling staged bioconversion, but we show it is only partly supported; it had existed as theory and a model-predictive-control concept without an open, tested implementation. The package provides: H-representation construction of the ROP, ROP-constrained FEC as a CasADi/IPOPT optimal-control problem, interval/robust and multicellular extensions, a data-driven order-uncertainty module, test-anchored re-implementations of two published glycolytic oscillators (Sel’kov; Wolf–Heinrich), and a modular closed-loop reference architecture. The software ships 44 automated tests and a one-command reproduction of the data figures it generates and their numbers (the Example-1 tracking costs come from a separate bundled benchmark script; the architecture is a schematic). Beyond the artifact, the package encodes two honest results as first-class, re-runnable claims: a clarifying identity — the exponents FEC controls are exactly the elasticity coefficients of metabolic control analysis (MCA) — and a built-in falsification: tested against a count-matched random-facet null, the binding-derived ROP does not materially improve data-driven estimation of reaction orders. The transferable thesis is that reaction-order structure is a control-admissibility set, not an estimation prior. ropfec is intended as the computational control layer for the staged “Biological Operating System” whose wet-lab decoupling result is reported separately; all demonstrations here are in-silico with reference components and published or synthetic ground truth.</vt:lpwstr>
  </property>
  <property fmtid="{D5CDD505-2E9C-101B-9397-08002B2CF9AE}" pid="3" name="bibliography">
    <vt:lpwstr>refs.bib</vt:lpwstr>
  </property>
  <property fmtid="{D5CDD505-2E9C-101B-9397-08002B2CF9AE}" pid="4" name="csl">
    <vt:lpwstr>numeric.csl</vt:lpwstr>
  </property>
  <property fmtid="{D5CDD505-2E9C-101B-9397-08002B2CF9AE}" pid="5" name="date">
    <vt:lpwstr>2026-06-23</vt:lpwstr>
  </property>
</Properties>
</file>