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 tested, reproducible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with a built-in falsification of structural priors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Reaction-order-polytope (ROP) geometry and flux-exponent control (FEC) claim that the</w:t>
      </w:r>
      <w:r>
        <w:t xml:space="preserve"> </w:t>
      </w:r>
      <w:r>
        <w:t xml:space="preserve">dynamics of a metabolic network can be regulated from binding structure, and predicted</w:t>
      </w:r>
      <w:r>
        <w:t xml:space="preserve"> </w:t>
      </w:r>
      <w:r>
        <w:t xml:space="preserve">without full kinetic-parameter identification — an attractive but, as we show below, only</w:t>
      </w:r>
      <w:r>
        <w:t xml:space="preserve"> </w:t>
      </w:r>
      <w:r>
        <w:t xml:space="preserve">partly supported idea for controlling staged bioconversion, and one that has existed as theory and a model-predictive-control</w:t>
      </w:r>
      <w:r>
        <w:t xml:space="preserve"> </w:t>
      </w:r>
      <w:r>
        <w:t xml:space="preserve">concept without an open, tested implementation. 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</w:t>
      </w:r>
      <w:r>
        <w:t xml:space="preserve"> </w:t>
      </w:r>
      <w:r>
        <w:t xml:space="preserve">test-anchored Python package that makes the framework runnable and testable: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architecture. The software ships 44 automated tests and a one-command reproduction of every</w:t>
      </w:r>
      <w:r>
        <w:t xml:space="preserve"> </w:t>
      </w:r>
      <w:r>
        <w:t xml:space="preserve">data figure and number reported here (the architecture is a separate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minted from the v1.0.0 release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Xiao, Li and Doyle proposed</w:t>
      </w:r>
      <w:r>
        <w:t xml:space="preserve"> </w:t>
      </w:r>
      <w:r>
        <w:t xml:space="preserve">another </w:t>
      </w:r>
      <w:r>
        <w:t xml:space="preserve">[9,10]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[11]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[12]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honest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 geometry are the prior work of</w:t>
      </w:r>
      <w:r>
        <w:t xml:space="preserve"> </w:t>
      </w:r>
      <w:r>
        <w:t xml:space="preserve">Xiao and colleagues; the contribution is the open, tested, reproducible implementation and the honest</w:t>
      </w:r>
      <w:r>
        <w:t xml:space="preserve"> </w:t>
      </w:r>
      <w:r>
        <w:t xml:space="preserve">map around it, not a new method:</w:t>
      </w:r>
      <w:r>
        <w:t xml:space="preserve"> </w:t>
      </w:r>
      <w:r>
        <w:t xml:space="preserve">and we are deliberately conservative about novelty. Concretely the package provides:</w:t>
      </w:r>
    </w:p>
    <w:p>
      <w:pPr>
        <w:numPr>
          <w:ilvl w:val="0"/>
          <w:numId w:val="1001"/>
        </w:numPr>
      </w:pPr>
      <w:r>
        <w:t xml:space="preserve">a tested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advantage for data-driven order</w:t>
      </w:r>
      <w:r>
        <w:t xml:space="preserve"> </w:t>
      </w:r>
      <w:r>
        <w:t xml:space="preserve">estimation (Section 3). Self-skepticism is shipped as a re-runnable feature, so</w:t>
      </w:r>
      <w:r>
        <w:t xml:space="preserve"> </w:t>
      </w:r>
      <w:r>
        <w:t xml:space="preserve">the framework’s scope is auditable rather than asserted.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[12]</w:t>
      </w:r>
      <w:r>
        <w:t xml:space="preserve">). For a</w:t>
      </w:r>
      <w:r>
        <w:t xml:space="preserve"> </w:t>
      </w:r>
      <w:r>
        <w:t xml:space="preserve">software contribution this scope is the point, not a limitation.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[13,14]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≜</m:t>
          </m:r>
          <m:r>
            <m:rPr>
              <m:sty m:val="p"/>
            </m:rPr>
            <m:t>{</m:t>
          </m:r>
          <m:r>
            <m:t>α</m:t>
          </m:r>
          <m:r>
            <m:rPr>
              <m:sty m:val="p"/>
            </m:rPr>
            <m:t>∣</m:t>
          </m:r>
          <m:r>
            <m:t>A</m:t>
          </m:r>
          <m:r>
            <m:t>α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 </m:t>
          </m:r>
          <m:r>
            <m:t>α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α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[15–17]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[18]</w:t>
      </w:r>
      <w:r>
        <w:t xml:space="preserve"> </w:t>
      </w:r>
      <w:r>
        <w:t xml:space="preserve">and solved with IPOPT </w:t>
      </w:r>
      <w:r>
        <w:t xml:space="preserve">[19]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[20–25]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are deliberately swappable,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[26]</w:t>
      </w:r>
      <w:r>
        <w:t xml:space="preserve"> </w:t>
      </w:r>
      <w:r>
        <w:t xml:space="preserve">and the single-cell core of the Wolf–Heinrich yeast</w:t>
      </w:r>
      <w:r>
        <w:t xml:space="preserve"> </w:t>
      </w:r>
      <w:r>
        <w:t xml:space="preserve">model </w:t>
      </w:r>
      <w:r>
        <w:t xml:space="preserve">[27]</w:t>
      </w:r>
      <w:r>
        <w:t xml:space="preserve">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every data figure</w:t>
      </w:r>
      <w:r>
        <w:t xml:space="preserve"> </w:t>
      </w:r>
      <w:r>
        <w:t xml:space="preserve">and number below.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3987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[12]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 flux, converges to</w:t>
      </w:r>
      <w:r>
        <w:t xml:space="preserve"> </w:t>
      </w:r>
      <w:r>
        <w:t xml:space="preserve">an in-ROP exponent that reproduces the prescribed ground-truth exponent to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round-trip check that the transcription and solver are correct, not an identification result). On the</w:t>
      </w:r>
      <w:r>
        <w:t xml:space="preserve"> </w:t>
      </w:r>
      <w:r>
        <w:t xml:space="preserve">same network the FEC solution yields a final-state tracking cost no worse than in-ROP FBA- and</w:t>
      </w:r>
      <w:r>
        <w:t xml:space="preserve"> </w:t>
      </w:r>
      <w:r>
        <w:t xml:space="preserve">MM-derived exponent policies across 50 seeds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; all three respect the</w:t>
      </w:r>
      <w:r>
        <w:t xml:space="preserve"> </w:t>
      </w:r>
      <w:r>
        <w:t xml:space="preserve">polytope), and a scenario-robust variant bounds the worst case at near-nominal cost — internal</w:t>
      </w:r>
      <w:r>
        <w:t xml:space="preserve"> </w:t>
      </w:r>
      <w:r>
        <w:t xml:space="preserve">sanity 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[28]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 the data,</w:t>
      </w:r>
      <w:r>
        <w:t xml:space="preserve"> </w:t>
      </w:r>
      <w:r>
        <w:t xml:space="preserve">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0.048</m:t>
        </m:r>
      </m:oMath>
      <w:r>
        <w:t xml:space="preserve">) — the data already constrain the orders more tightly than the ROP does,</w:t>
      </w:r>
      <w:r>
        <w:t xml:space="preserve"> </w:t>
      </w:r>
      <w:r>
        <w:t xml:space="preserve">and its facets never bind. When data are scarce the ROP tightens the set only modestly</w:t>
      </w:r>
      <w:r>
        <w:t xml:space="preserve"> </w:t>
      </w:r>
      <w:r>
        <w:t xml:space="preserve">(</w:t>
      </w:r>
      <m:oMath>
        <m:r>
          <m:t>2.80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2.34</m:t>
        </m:r>
      </m:oMath>
      <w:r>
        <w:t xml:space="preserve">) and</w:t>
      </w:r>
      <w:r>
        <w:t xml:space="preserve"> </w:t>
      </w:r>
      <w:r>
        <w:rPr>
          <w:i/>
          <w:iCs/>
        </w:rPr>
        <w:t xml:space="preserve">no more than the count-matched random set</w:t>
      </w:r>
      <w:r>
        <w:t xml:space="preserve"> </w:t>
      </w:r>
      <w:r>
        <w:t xml:space="preserve">(</w:t>
      </w:r>
      <m:oMath>
        <m:r>
          <m:t>2.42</m:t>
        </m:r>
      </m:oMath>
      <w:r>
        <w:t xml:space="preserve">); across</w:t>
      </w:r>
      <w:r>
        <w:t xml:space="preserve"> </w:t>
      </w:r>
      <w:r>
        <w:t xml:space="preserve">trials neither beats the other consistently.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4319999" cy="245608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45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Built-in falsification (the package’s central result). Total reaction-order</w:t>
      </w:r>
      <w:r>
        <w:t xml:space="preserve"> </w:t>
      </w:r>
      <w:r>
        <w:t xml:space="preserve">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(count-matched,</w:t>
      </w:r>
      <w:r>
        <w:t xml:space="preserve"> </w:t>
      </w:r>
      <w:r>
        <w:t xml:space="preserve">truth-covering) sets, in an informative and a data-poor regime. The binding-derived ROP</w:t>
      </w:r>
      <w:r>
        <w:t xml:space="preserve"> </w:t>
      </w:r>
      <w:r>
        <w:t xml:space="preserve">confers no advantage over a random set of equal size: when data are informative it is</w:t>
      </w:r>
      <w:r>
        <w:t xml:space="preserve"> </w:t>
      </w:r>
      <w:r>
        <w:t xml:space="preserve">inactive; when data are scarce it is no better than chance.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 — with its count-matched random-facet null —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auditable, which we regard as the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[12]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 showing that the</w:t>
      </w:r>
      <w:r>
        <w:t xml:space="preserve"> </w:t>
      </w:r>
      <w:r>
        <w:t xml:space="preserve">binding-derived structure aids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but not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The</w:t>
      </w:r>
      <w:r>
        <w:t xml:space="preserve"> </w:t>
      </w:r>
      <w:r>
        <w:t xml:space="preserve">work is offered as a reproducible reference and an honest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[12]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every figure and number will be released under the MIT license and</w:t>
      </w:r>
      <w:r>
        <w:t xml:space="preserve"> </w:t>
      </w:r>
      <w:r>
        <w:t xml:space="preserve">archived with a DOI on Zenodo upon posting (Table 1).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6" w:name="ref-rawlings2017mp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66"/>
    <w:bookmarkStart w:id="67" w:name="ref-pape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67"/>
    <w:bookmarkStart w:id="69" w:name="ref-feinberg2019crn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68">
        <w:r>
          <w:rPr>
            <w:rStyle w:val="Hyperlink"/>
          </w:rPr>
          <w:t xml:space="preserve">10.1007/978-3-030-03858-8</w:t>
        </w:r>
      </w:hyperlink>
    </w:p>
    <w:bookmarkEnd w:id="69"/>
    <w:bookmarkStart w:id="70" w:name="ref-alon2019system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0"/>
    <w:bookmarkStart w:id="71" w:name="ref-kacser1973control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1"/>
    <w:bookmarkStart w:id="73" w:name="ref-heinrich1974linea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2">
        <w:r>
          <w:rPr>
            <w:rStyle w:val="Hyperlink"/>
          </w:rPr>
          <w:t xml:space="preserve">10.1111/j.1432-1033.1974.tb03318.x</w:t>
        </w:r>
      </w:hyperlink>
    </w:p>
    <w:bookmarkEnd w:id="73"/>
    <w:bookmarkStart w:id="74" w:name="ref-fell1997understand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74"/>
    <w:bookmarkStart w:id="76" w:name="ref-andersson2019casadi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75">
        <w:r>
          <w:rPr>
            <w:rStyle w:val="Hyperlink"/>
          </w:rPr>
          <w:t xml:space="preserve">10.1007/s12532-018-0139-4</w:t>
        </w:r>
      </w:hyperlink>
    </w:p>
    <w:bookmarkEnd w:id="76"/>
    <w:bookmarkStart w:id="78" w:name="ref-wachter2006ipop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77">
        <w:r>
          <w:rPr>
            <w:rStyle w:val="Hyperlink"/>
          </w:rPr>
          <w:t xml:space="preserve">10.1007/s10107-004-0559-y</w:t>
        </w:r>
      </w:hyperlink>
    </w:p>
    <w:bookmarkEnd w:id="78"/>
    <w:bookmarkStart w:id="80" w:name="ref-kothare1996robus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79">
        <w:r>
          <w:rPr>
            <w:rStyle w:val="Hyperlink"/>
          </w:rPr>
          <w:t xml:space="preserve">10.1016/0005-1098(96)00063-5</w:t>
        </w:r>
      </w:hyperlink>
    </w:p>
    <w:bookmarkEnd w:id="80"/>
    <w:bookmarkStart w:id="82" w:name="ref-scokaert1998minmax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1">
        <w:r>
          <w:rPr>
            <w:rStyle w:val="Hyperlink"/>
          </w:rPr>
          <w:t xml:space="preserve">10.1109/9.704989</w:t>
        </w:r>
      </w:hyperlink>
    </w:p>
    <w:bookmarkEnd w:id="82"/>
    <w:bookmarkStart w:id="84" w:name="ref-mayne2005tub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3">
        <w:r>
          <w:rPr>
            <w:rStyle w:val="Hyperlink"/>
          </w:rPr>
          <w:t xml:space="preserve">10.1016/j.automatica.2004.08.019</w:t>
        </w:r>
      </w:hyperlink>
    </w:p>
    <w:bookmarkEnd w:id="84"/>
    <w:bookmarkStart w:id="86" w:name="ref-calafiore2006scenario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85">
        <w:r>
          <w:rPr>
            <w:rStyle w:val="Hyperlink"/>
          </w:rPr>
          <w:t xml:space="preserve">10.1109/TAC.2006.875041</w:t>
        </w:r>
      </w:hyperlink>
    </w:p>
    <w:bookmarkEnd w:id="86"/>
    <w:bookmarkStart w:id="88" w:name="ref-campi2008exac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87">
        <w:r>
          <w:rPr>
            <w:rStyle w:val="Hyperlink"/>
          </w:rPr>
          <w:t xml:space="preserve">10.1137/07069821X</w:t>
        </w:r>
      </w:hyperlink>
    </w:p>
    <w:bookmarkEnd w:id="88"/>
    <w:bookmarkStart w:id="90" w:name="ref-bertsimas2011robust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89">
        <w:r>
          <w:rPr>
            <w:rStyle w:val="Hyperlink"/>
          </w:rPr>
          <w:t xml:space="preserve">10.1137/080734510</w:t>
        </w:r>
      </w:hyperlink>
    </w:p>
    <w:bookmarkEnd w:id="90"/>
    <w:bookmarkStart w:id="92" w:name="ref-selkov1968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1">
        <w:r>
          <w:rPr>
            <w:rStyle w:val="Hyperlink"/>
          </w:rPr>
          <w:t xml:space="preserve">10.1111/j.1432-1033.1968.tb00175.x</w:t>
        </w:r>
      </w:hyperlink>
    </w:p>
    <w:bookmarkEnd w:id="92"/>
    <w:bookmarkStart w:id="94" w:name="ref-wolf2000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93">
        <w:r>
          <w:rPr>
            <w:rStyle w:val="Hyperlink"/>
          </w:rPr>
          <w:t xml:space="preserve">10.1042/bj3450321</w:t>
        </w:r>
      </w:hyperlink>
    </w:p>
    <w:bookmarkEnd w:id="94"/>
    <w:bookmarkStart w:id="96" w:name="ref-bental1998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95">
        <w:r>
          <w:rPr>
            <w:rStyle w:val="Hyperlink"/>
          </w:rPr>
          <w:t xml:space="preserve">10.1287/moor.23.4.769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68" Target="https://doi.org/10.1007/978-3-030-03858-8" TargetMode="External" /><Relationship Type="http://schemas.openxmlformats.org/officeDocument/2006/relationships/hyperlink" Id="rId77" Target="https://doi.org/10.1007/s10107-004-0559-y" TargetMode="External" /><Relationship Type="http://schemas.openxmlformats.org/officeDocument/2006/relationships/hyperlink" Id="rId75" Target="https://doi.org/10.1007/s12532-018-0139-4" TargetMode="External" /><Relationship Type="http://schemas.openxmlformats.org/officeDocument/2006/relationships/hyperlink" Id="rId79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3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3" Target="https://doi.org/10.1042/bj3450321" TargetMode="External" /><Relationship Type="http://schemas.openxmlformats.org/officeDocument/2006/relationships/hyperlink" Id="rId81" Target="https://doi.org/10.1109/9.704989" TargetMode="External" /><Relationship Type="http://schemas.openxmlformats.org/officeDocument/2006/relationships/hyperlink" Id="rId85" Target="https://doi.org/10.1109/TAC.2006.875041" TargetMode="External" /><Relationship Type="http://schemas.openxmlformats.org/officeDocument/2006/relationships/hyperlink" Id="rId91" Target="https://doi.org/10.1111/j.1432-1033.1968.tb00175.x" TargetMode="External" /><Relationship Type="http://schemas.openxmlformats.org/officeDocument/2006/relationships/hyperlink" Id="rId72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87" Target="https://doi.org/10.1137/07069821X" TargetMode="External" /><Relationship Type="http://schemas.openxmlformats.org/officeDocument/2006/relationships/hyperlink" Id="rId89" Target="https://doi.org/10.1137/080734510" TargetMode="External" /><Relationship Type="http://schemas.openxmlformats.org/officeDocument/2006/relationships/hyperlink" Id="rId95" Target="https://doi.org/10.1287/moor.23.4.76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68" Target="https://doi.org/10.1007/978-3-030-03858-8" TargetMode="External" /><Relationship Type="http://schemas.openxmlformats.org/officeDocument/2006/relationships/hyperlink" Id="rId77" Target="https://doi.org/10.1007/s10107-004-0559-y" TargetMode="External" /><Relationship Type="http://schemas.openxmlformats.org/officeDocument/2006/relationships/hyperlink" Id="rId75" Target="https://doi.org/10.1007/s12532-018-0139-4" TargetMode="External" /><Relationship Type="http://schemas.openxmlformats.org/officeDocument/2006/relationships/hyperlink" Id="rId79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3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3" Target="https://doi.org/10.1042/bj3450321" TargetMode="External" /><Relationship Type="http://schemas.openxmlformats.org/officeDocument/2006/relationships/hyperlink" Id="rId81" Target="https://doi.org/10.1109/9.704989" TargetMode="External" /><Relationship Type="http://schemas.openxmlformats.org/officeDocument/2006/relationships/hyperlink" Id="rId85" Target="https://doi.org/10.1109/TAC.2006.875041" TargetMode="External" /><Relationship Type="http://schemas.openxmlformats.org/officeDocument/2006/relationships/hyperlink" Id="rId91" Target="https://doi.org/10.1111/j.1432-1033.1968.tb00175.x" TargetMode="External" /><Relationship Type="http://schemas.openxmlformats.org/officeDocument/2006/relationships/hyperlink" Id="rId72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87" Target="https://doi.org/10.1137/07069821X" TargetMode="External" /><Relationship Type="http://schemas.openxmlformats.org/officeDocument/2006/relationships/hyperlink" Id="rId89" Target="https://doi.org/10.1137/080734510" TargetMode="External" /><Relationship Type="http://schemas.openxmlformats.org/officeDocument/2006/relationships/hyperlink" Id="rId95" Target="https://doi.org/10.1287/moor.23.4.76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 tested, reproducible implementation of reaction-order-constrained flux-exponent control for staged bioconversion, with a built-in falsification of structural priors</dc:title>
  <dc:creator>Lei Zhou</dc:creator>
  <cp:keywords/>
  <dcterms:created xsi:type="dcterms:W3CDTF">2026-06-22T04:48:10Z</dcterms:created>
  <dcterms:modified xsi:type="dcterms:W3CDTF">2026-06-22T04:48:10Z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Reaction-order-polytope (ROP) geometry and flux-exponent control (FEC) claim that the dynamics of a metabolic network can be regulated from binding structure, and predicted without full kinetic-parameter identification — an attractive but, as we show below, only partly supported idea for controlling staged bioconversion, and one that has existed as theory and a model-predictive-control concept without an open, tested implementation. We present ropfec, a small, test-anchored Python package that makes the framework runnable and testable: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every data figure and number reported here (the architecture is a separate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