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961490" w:rsidRDefault="00E6133D" w:rsidP="00E6133D">
      <w:pPr>
        <w:rPr>
          <w:rFonts w:ascii="Arial" w:hAnsi="Arial" w:cs="Arial"/>
          <w:b/>
          <w:sz w:val="28"/>
          <w:szCs w:val="28"/>
        </w:rPr>
      </w:pPr>
      <w:r w:rsidRPr="00961490">
        <w:rPr>
          <w:rFonts w:ascii="Arial" w:hAnsi="Arial" w:cs="Arial"/>
          <w:b/>
          <w:sz w:val="28"/>
          <w:szCs w:val="28"/>
        </w:rPr>
        <w:t>Main Manuscript for</w:t>
      </w:r>
    </w:p>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1E5AAACA"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Pr="00246861">
        <w:rPr>
          <w:rFonts w:ascii="Arial" w:eastAsia="Times New Roman" w:hAnsi="Arial" w:cs="Arial"/>
          <w:color w:val="000000"/>
          <w:sz w:val="20"/>
          <w:szCs w:val="20"/>
        </w:rPr>
        <w:t>, Tanya Brown</w:t>
      </w:r>
      <w:r w:rsidRPr="00246861">
        <w:rPr>
          <w:rFonts w:ascii="Arial" w:eastAsia="Times New Roman" w:hAnsi="Arial" w:cs="Arial"/>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 O. Akinrinade</w:t>
      </w:r>
      <w:r w:rsidRPr="00246861">
        <w:rPr>
          <w:rFonts w:ascii="Arial" w:eastAsia="Times New Roman" w:hAnsi="Arial" w:cs="Arial"/>
          <w:sz w:val="20"/>
          <w:szCs w:val="20"/>
          <w:vertAlign w:val="superscript"/>
        </w:rPr>
        <w:t>2,3</w:t>
      </w:r>
      <w:r w:rsidRPr="00246861">
        <w:rPr>
          <w:rFonts w:ascii="Arial" w:eastAsia="Times New Roman" w:hAnsi="Arial" w:cs="Arial"/>
          <w:sz w:val="20"/>
          <w:szCs w:val="20"/>
        </w:rPr>
        <w:t>, Ryan McMinds</w:t>
      </w:r>
      <w:r w:rsidRPr="00246861">
        <w:rPr>
          <w:rFonts w:ascii="Arial" w:eastAsia="Times New Roman" w:hAnsi="Arial" w:cs="Arial"/>
          <w:sz w:val="20"/>
          <w:szCs w:val="20"/>
          <w:vertAlign w:val="superscript"/>
        </w:rPr>
        <w:t>1,4</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Pr="00246861">
        <w:rPr>
          <w:rFonts w:ascii="Arial" w:eastAsia="Times New Roman" w:hAnsi="Arial" w:cs="Arial"/>
          <w:sz w:val="20"/>
          <w:szCs w:val="20"/>
          <w:vertAlign w:val="superscript"/>
        </w:rPr>
        <w:t>5,6</w:t>
      </w:r>
      <w:r w:rsidRPr="00246861">
        <w:rPr>
          <w:rFonts w:ascii="Arial" w:eastAsia="Times New Roman" w:hAnsi="Arial" w:cs="Arial"/>
          <w:sz w:val="20"/>
          <w:szCs w:val="20"/>
        </w:rPr>
        <w:t>, Dylan Sonett</w:t>
      </w:r>
      <w:r w:rsidRPr="00246861">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Pr="00246861">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Pr="00246861">
        <w:rPr>
          <w:rFonts w:ascii="Arial" w:eastAsia="Times New Roman" w:hAnsi="Arial" w:cs="Arial"/>
          <w:sz w:val="20"/>
          <w:szCs w:val="20"/>
          <w:vertAlign w:val="superscript"/>
        </w:rPr>
        <w:t>8,9</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10,11</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11-14</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Pr="00246861">
        <w:rPr>
          <w:rFonts w:ascii="Arial" w:eastAsia="Times New Roman" w:hAnsi="Arial" w:cs="Arial"/>
          <w:sz w:val="20"/>
          <w:szCs w:val="20"/>
          <w:vertAlign w:val="superscript"/>
        </w:rPr>
        <w:t>8</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Pr="00246861">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Joleah B. Lamb</w:t>
      </w:r>
      <w:r w:rsidRPr="00246861">
        <w:rPr>
          <w:rFonts w:ascii="Arial" w:eastAsia="Times New Roman" w:hAnsi="Arial" w:cs="Arial"/>
          <w:sz w:val="20"/>
          <w:szCs w:val="20"/>
          <w:vertAlign w:val="superscript"/>
        </w:rPr>
        <w:t>3</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Pr="00246861">
        <w:rPr>
          <w:rFonts w:ascii="Arial" w:eastAsia="Times New Roman" w:hAnsi="Arial" w:cs="Arial"/>
          <w:color w:val="000000"/>
          <w:sz w:val="20"/>
          <w:szCs w:val="20"/>
          <w:vertAlign w:val="superscript"/>
        </w:rPr>
        <w:t>1</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Pr="00246861">
        <w:rPr>
          <w:rFonts w:ascii="Arial" w:eastAsia="Times New Roman" w:hAnsi="Arial" w:cs="Arial"/>
          <w:sz w:val="20"/>
          <w:szCs w:val="20"/>
          <w:vertAlign w:val="superscript"/>
        </w:rPr>
        <w:t>2*</w:t>
      </w:r>
      <w:r w:rsidRPr="00246861">
        <w:rPr>
          <w:rFonts w:ascii="Arial" w:eastAsia="Times New Roman" w:hAnsi="Arial" w:cs="Arial"/>
          <w:color w:val="000000"/>
          <w:sz w:val="20"/>
          <w:szCs w:val="20"/>
          <w:vertAlign w:val="superscript"/>
        </w:rPr>
        <w:t xml:space="preserve"> </w:t>
      </w:r>
    </w:p>
    <w:p w14:paraId="0C4FA578" w14:textId="77777777" w:rsidR="00961490" w:rsidRPr="00961490"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Pr="00961490">
        <w:rPr>
          <w:rFonts w:ascii="Arial" w:eastAsia="Times New Roman" w:hAnsi="Arial" w:cs="Arial"/>
          <w:i/>
          <w:sz w:val="19"/>
          <w:szCs w:val="19"/>
        </w:rPr>
        <w:t xml:space="preserve">Department of Microbiology, Oregon State University, </w:t>
      </w:r>
      <w:r w:rsidRPr="00961490">
        <w:rPr>
          <w:rFonts w:ascii="Arial" w:eastAsia="Times New Roman" w:hAnsi="Arial" w:cs="Arial"/>
          <w:i/>
          <w:color w:val="000000"/>
          <w:sz w:val="19"/>
          <w:szCs w:val="19"/>
        </w:rPr>
        <w:t>226 Nash Hall, Corvallis, OR 97331, USA</w:t>
      </w:r>
    </w:p>
    <w:p w14:paraId="668BAC81" w14:textId="77777777" w:rsidR="00961490" w:rsidRPr="00961490" w:rsidRDefault="00961490" w:rsidP="00961490">
      <w:pPr>
        <w:ind w:left="720" w:hanging="720"/>
        <w:contextualSpacing/>
        <w:jc w:val="both"/>
        <w:rPr>
          <w:rFonts w:ascii="Arial" w:eastAsia="Times New Roman" w:hAnsi="Arial" w:cs="Arial"/>
          <w:i/>
          <w:color w:val="000000"/>
          <w:sz w:val="19"/>
          <w:szCs w:val="19"/>
        </w:rPr>
      </w:pPr>
      <w:r w:rsidRPr="00961490">
        <w:rPr>
          <w:rFonts w:ascii="Arial" w:eastAsia="Times New Roman" w:hAnsi="Arial" w:cs="Arial"/>
          <w:i/>
          <w:sz w:val="19"/>
          <w:szCs w:val="19"/>
          <w:vertAlign w:val="superscript"/>
        </w:rPr>
        <w:t>2</w:t>
      </w:r>
      <w:r w:rsidRPr="00961490">
        <w:rPr>
          <w:rFonts w:ascii="Arial" w:eastAsia="Times New Roman" w:hAnsi="Arial" w:cs="Arial"/>
          <w:i/>
          <w:sz w:val="19"/>
          <w:szCs w:val="19"/>
        </w:rPr>
        <w:t>School of Science, Technology, Engineering, and Mathematics, Division of Biological Sciences, U</w:t>
      </w:r>
      <w:r w:rsidRPr="00961490">
        <w:rPr>
          <w:rFonts w:ascii="Arial" w:eastAsia="Times New Roman" w:hAnsi="Arial" w:cs="Arial"/>
          <w:i/>
          <w:color w:val="000000"/>
          <w:sz w:val="19"/>
          <w:szCs w:val="19"/>
        </w:rPr>
        <w:t>niversity of Washington</w:t>
      </w:r>
      <w:r w:rsidRPr="00961490">
        <w:rPr>
          <w:rFonts w:ascii="Arial" w:eastAsia="Times New Roman" w:hAnsi="Arial" w:cs="Arial"/>
          <w:i/>
          <w:sz w:val="19"/>
          <w:szCs w:val="19"/>
        </w:rPr>
        <w:t xml:space="preserve"> </w:t>
      </w:r>
      <w:r w:rsidRPr="00961490">
        <w:rPr>
          <w:rFonts w:ascii="Arial" w:eastAsia="Times New Roman" w:hAnsi="Arial" w:cs="Arial"/>
          <w:i/>
          <w:color w:val="000000"/>
          <w:sz w:val="19"/>
          <w:szCs w:val="19"/>
        </w:rPr>
        <w:t>Bothell, UWBB-277, Bothell, WA 98011, USA</w:t>
      </w:r>
    </w:p>
    <w:p w14:paraId="749EDFAB" w14:textId="0DF79C6F"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3</w:t>
      </w:r>
      <w:r w:rsidRPr="00961490">
        <w:rPr>
          <w:rFonts w:ascii="Arial" w:eastAsia="Times New Roman" w:hAnsi="Arial" w:cs="Arial"/>
          <w:i/>
          <w:sz w:val="19"/>
          <w:szCs w:val="19"/>
        </w:rPr>
        <w:t>Department of Ecology and Evolutionary Biology, University of California, Irvine, CA 92697, USA</w:t>
      </w:r>
    </w:p>
    <w:p w14:paraId="37B92EDC" w14:textId="77777777"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4</w:t>
      </w:r>
      <w:r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77777777"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5</w:t>
      </w:r>
      <w:r w:rsidRPr="00961490">
        <w:rPr>
          <w:rFonts w:ascii="Arial" w:eastAsia="Times New Roman" w:hAnsi="Arial" w:cs="Arial"/>
          <w:i/>
          <w:sz w:val="19"/>
          <w:szCs w:val="19"/>
        </w:rPr>
        <w:t>Department of Biology, Pennsylvania State University, 208 Mueller Lab, University Park, PA 16802, USA</w:t>
      </w:r>
    </w:p>
    <w:p w14:paraId="0D44E2A6" w14:textId="33B70060"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6</w:t>
      </w:r>
      <w:r w:rsidRPr="00961490">
        <w:rPr>
          <w:rFonts w:ascii="Arial" w:eastAsia="Tahoma" w:hAnsi="Arial" w:cs="Arial"/>
          <w:i/>
          <w:sz w:val="19"/>
          <w:szCs w:val="19"/>
        </w:rPr>
        <w:t>Hawai</w:t>
      </w:r>
      <w:r w:rsidRPr="00961490">
        <w:rPr>
          <w:rFonts w:ascii="Tahoma" w:eastAsia="Tahoma" w:hAnsi="Tahoma" w:cs="Tahoma"/>
          <w:sz w:val="20"/>
          <w:szCs w:val="20"/>
        </w:rPr>
        <w:t>՛</w:t>
      </w:r>
      <w:r w:rsidRPr="00961490">
        <w:rPr>
          <w:rFonts w:ascii="Arial" w:eastAsia="Tahoma" w:hAnsi="Arial" w:cs="Arial"/>
          <w:i/>
          <w:sz w:val="19"/>
          <w:szCs w:val="19"/>
        </w:rPr>
        <w:t>i &amp; Palmyra Program, T</w:t>
      </w:r>
      <w:r w:rsidRPr="00961490">
        <w:rPr>
          <w:rFonts w:ascii="Arial" w:eastAsia="Times New Roman" w:hAnsi="Arial" w:cs="Arial"/>
          <w:i/>
          <w:sz w:val="19"/>
          <w:szCs w:val="19"/>
        </w:rPr>
        <w:t>he Nature Conservancy, Honolulu, HI, USA</w:t>
      </w:r>
    </w:p>
    <w:p w14:paraId="26B7C024"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7</w:t>
      </w:r>
      <w:r w:rsidRPr="00961490">
        <w:rPr>
          <w:rFonts w:ascii="Arial" w:eastAsia="Times New Roman" w:hAnsi="Arial" w:cs="Arial"/>
          <w:i/>
          <w:sz w:val="19"/>
          <w:szCs w:val="19"/>
        </w:rPr>
        <w:t>School of Pharmacy, University of Washington, Seattle, WA 98195, USA</w:t>
      </w:r>
    </w:p>
    <w:p w14:paraId="7252E3A4"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8</w:t>
      </w:r>
      <w:r w:rsidRPr="00961490">
        <w:rPr>
          <w:rFonts w:ascii="Arial" w:eastAsia="Times New Roman" w:hAnsi="Arial" w:cs="Arial"/>
          <w:i/>
          <w:sz w:val="19"/>
          <w:szCs w:val="19"/>
        </w:rPr>
        <w:t>College of Science and Engineering, James Cook University, Townsville, Queensland 4811, Australia</w:t>
      </w:r>
    </w:p>
    <w:p w14:paraId="70F3FE1D"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9</w:t>
      </w:r>
      <w:r w:rsidRPr="00961490">
        <w:rPr>
          <w:rFonts w:ascii="Arial" w:eastAsia="Times New Roman" w:hAnsi="Arial" w:cs="Arial"/>
          <w:i/>
          <w:sz w:val="19"/>
          <w:szCs w:val="19"/>
        </w:rPr>
        <w:t>Australian Institute of Marine Science, Townsville, Queensland 4810, Australia</w:t>
      </w:r>
    </w:p>
    <w:p w14:paraId="5B68A255"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10</w:t>
      </w:r>
      <w:r w:rsidRPr="00961490">
        <w:rPr>
          <w:rFonts w:ascii="Arial" w:eastAsia="Times New Roman" w:hAnsi="Arial" w:cs="Arial"/>
          <w:i/>
          <w:sz w:val="19"/>
          <w:szCs w:val="19"/>
        </w:rPr>
        <w:t>Scripps Institution of Oceanography, University of California, San Diego, La Jolla, CA 92093, USA</w:t>
      </w:r>
    </w:p>
    <w:p w14:paraId="58288433"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11</w:t>
      </w:r>
      <w:r w:rsidRPr="00961490">
        <w:rPr>
          <w:rFonts w:ascii="Arial" w:eastAsia="Times New Roman" w:hAnsi="Arial" w:cs="Arial"/>
          <w:i/>
          <w:sz w:val="19"/>
          <w:szCs w:val="19"/>
        </w:rPr>
        <w:t>Center for Microbiome Innovation, University of California, San Diego, La Jolla, CA 92093, USA</w:t>
      </w:r>
    </w:p>
    <w:p w14:paraId="256472E5"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12</w:t>
      </w:r>
      <w:r w:rsidRPr="00961490">
        <w:rPr>
          <w:rFonts w:ascii="Arial" w:eastAsia="Times New Roman" w:hAnsi="Arial" w:cs="Arial"/>
          <w:i/>
          <w:sz w:val="19"/>
          <w:szCs w:val="19"/>
        </w:rPr>
        <w:t>Department of Pediatrics, University of California, San Diego, La Jolla, CA 92093, USA</w:t>
      </w:r>
    </w:p>
    <w:p w14:paraId="199870EB" w14:textId="77777777"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13</w:t>
      </w:r>
      <w:r w:rsidRPr="00961490">
        <w:rPr>
          <w:rFonts w:ascii="Arial" w:eastAsia="Times New Roman" w:hAnsi="Arial" w:cs="Arial"/>
          <w:i/>
          <w:sz w:val="19"/>
          <w:szCs w:val="19"/>
        </w:rPr>
        <w:t>Department of Computer Science &amp; Engineering, University of California, San Diego, La Jolla, CA 92093, USA</w:t>
      </w:r>
    </w:p>
    <w:p w14:paraId="0830A3EB"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14</w:t>
      </w:r>
      <w:r w:rsidRPr="00961490">
        <w:rPr>
          <w:rFonts w:ascii="Arial" w:eastAsia="Times New Roman" w:hAnsi="Arial" w:cs="Arial"/>
          <w:i/>
          <w:sz w:val="19"/>
          <w:szCs w:val="19"/>
        </w:rPr>
        <w:t>Micronoma Inc., San Diego, La Jolla, CA 92121, USA</w:t>
      </w:r>
    </w:p>
    <w:p w14:paraId="4D0D18DB" w14:textId="77777777"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15</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20DFDABE" w14:textId="5A3437E3" w:rsidR="00E6133D" w:rsidRPr="00F649EE" w:rsidRDefault="00E6133D" w:rsidP="00E6133D">
      <w:pPr>
        <w:rPr>
          <w:rFonts w:ascii="Arial" w:hAnsi="Arial" w:cs="Arial"/>
          <w:sz w:val="20"/>
          <w:szCs w:val="20"/>
        </w:rPr>
      </w:pPr>
      <w:r w:rsidRPr="00E6133D">
        <w:rPr>
          <w:rFonts w:ascii="Arial" w:hAnsi="Arial" w:cs="Arial"/>
          <w:sz w:val="20"/>
          <w:szCs w:val="20"/>
        </w:rPr>
        <w:t>*</w:t>
      </w:r>
      <w:r w:rsidR="00961490">
        <w:rPr>
          <w:rFonts w:ascii="Arial" w:hAnsi="Arial" w:cs="Arial"/>
          <w:sz w:val="20"/>
          <w:szCs w:val="20"/>
        </w:rPr>
        <w:t>Jesse R. Zaneveld</w:t>
      </w:r>
    </w:p>
    <w:p w14:paraId="46D7756D" w14:textId="4DCF41F2"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9">
        <w:r w:rsidR="00961490">
          <w:rPr>
            <w:rFonts w:ascii="Arial" w:hAnsi="Arial" w:cs="Arial"/>
            <w:sz w:val="20"/>
            <w:szCs w:val="20"/>
          </w:rPr>
          <w:t>zaneveld@uw.edu</w:t>
        </w:r>
      </w:hyperlink>
    </w:p>
    <w:p w14:paraId="1A4002EE" w14:textId="7877C075"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961490">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7A5DDA98" w14:textId="37C1563F"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961490">
        <w:rPr>
          <w:rFonts w:ascii="Arial" w:hAnsi="Arial" w:cs="Arial"/>
          <w:sz w:val="20"/>
          <w:szCs w:val="20"/>
        </w:rPr>
        <w:t>The authors declare no competing interests.</w:t>
      </w:r>
      <w:r>
        <w:rPr>
          <w:rFonts w:ascii="Arial" w:hAnsi="Arial" w:cs="Arial"/>
          <w:sz w:val="20"/>
          <w:szCs w:val="20"/>
        </w:rPr>
        <w:t xml:space="preserve"> </w:t>
      </w:r>
    </w:p>
    <w:p w14:paraId="61606AE0" w14:textId="71DD1EE7"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961490">
        <w:rPr>
          <w:rFonts w:ascii="Arial" w:hAnsi="Arial" w:cs="Arial"/>
          <w:sz w:val="20"/>
          <w:szCs w:val="20"/>
        </w:rPr>
        <w:t>Major – Biological Sciences; Minor - Microbiology</w:t>
      </w: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lastRenderedPageBreak/>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396715E5" w14:textId="6D78C76A" w:rsidR="00961490" w:rsidRPr="00961490" w:rsidRDefault="00E6133D" w:rsidP="00961490">
      <w:pPr>
        <w:ind w:left="720"/>
        <w:rPr>
          <w:rFonts w:ascii="Arial" w:hAnsi="Arial" w:cs="Arial"/>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4F1DAD74" w14:textId="159507E1"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Abstract</w:t>
      </w:r>
    </w:p>
    <w:p w14:paraId="1162FDC0" w14:textId="77777777" w:rsidR="00961490" w:rsidRDefault="00961490" w:rsidP="00961490">
      <w:pPr>
        <w:contextualSpacing/>
        <w:rPr>
          <w:rFonts w:ascii="Arial" w:eastAsia="Times New Roman" w:hAnsi="Arial" w:cs="Arial"/>
          <w:sz w:val="20"/>
          <w:szCs w:val="20"/>
        </w:rPr>
      </w:pPr>
    </w:p>
    <w:p w14:paraId="53A7309A" w14:textId="09D372CC" w:rsidR="00961490" w:rsidRDefault="00961490" w:rsidP="00961490">
      <w:pPr>
        <w:contextualSpacing/>
        <w:rPr>
          <w:ins w:id="2" w:author="Microsoft Office User" w:date="2023-07-10T11:51:00Z"/>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central to animal evolution. However, because microbes can influence aspects of host physiology, behavior, and resistance to stress or disease, changes in animal-microbial symbioses have the potential to mediate life-history tradeoffs. Scleractinian corals provide a highly biodiverse and data-rich host system to test this idea, made more relevant by increases in coral disease outbreaks as a result of anthropogenic changes to climate and reef ecosystems. Identifying factors that determine coral disease susceptibility has therefore become a focus for reef conservation efforts. Using a comparative approach, we tested if coral microbiomes correlate with disease susceptibility across 425 million years of coral evolution by combining a cross-species coral microbiome survey (the “Global Coral Microbiome Project”) with long-term disease prevalence data at multiple sites. Interpreting these data in their phylogenetic context, we show that microbial dominance and composition predict disease susceptibility. We trace this dominance-disease association to a single putatively beneficial bacterial symbiont,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whose 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in coral tissue strongly correlated with high growth rates. These results demonstrate that the evolution of microbial symbiosis in corals correlates with both disease prevalence and growth rate. Exploration of the mechanistic basis for these findings will be important for our understanding of how microbial symbiosis influences animal life-history tradeoffs, and in efforts to use microbes to increase coral growth or disease resistance </w:t>
      </w:r>
      <w:r w:rsidRPr="00961490">
        <w:rPr>
          <w:rFonts w:ascii="Arial" w:eastAsia="Times New Roman" w:hAnsi="Arial" w:cs="Arial"/>
          <w:i/>
          <w:sz w:val="20"/>
          <w:szCs w:val="20"/>
        </w:rPr>
        <w:t>in-situ</w:t>
      </w:r>
      <w:r w:rsidRPr="00961490">
        <w:rPr>
          <w:rFonts w:ascii="Arial" w:eastAsia="Times New Roman" w:hAnsi="Arial" w:cs="Arial"/>
          <w:sz w:val="20"/>
          <w:szCs w:val="20"/>
        </w:rPr>
        <w:t>.</w:t>
      </w:r>
    </w:p>
    <w:p w14:paraId="246A9445" w14:textId="77777777" w:rsidR="007141C2" w:rsidRDefault="007141C2" w:rsidP="00961490">
      <w:pPr>
        <w:contextualSpacing/>
        <w:rPr>
          <w:ins w:id="3" w:author="Microsoft Office User" w:date="2023-07-10T11:51:00Z"/>
          <w:rFonts w:ascii="Arial" w:eastAsia="Times New Roman" w:hAnsi="Arial" w:cs="Arial"/>
          <w:sz w:val="20"/>
          <w:szCs w:val="20"/>
        </w:rPr>
      </w:pPr>
    </w:p>
    <w:p w14:paraId="062DCC49" w14:textId="77777777" w:rsidR="007141C2" w:rsidRDefault="007141C2" w:rsidP="00961490">
      <w:pPr>
        <w:contextualSpacing/>
        <w:rPr>
          <w:ins w:id="4" w:author="Microsoft Office User" w:date="2023-07-10T11:52:00Z"/>
          <w:rFonts w:ascii="Arial" w:eastAsia="Times New Roman" w:hAnsi="Arial" w:cs="Arial"/>
          <w:sz w:val="20"/>
          <w:szCs w:val="20"/>
        </w:rPr>
      </w:pPr>
    </w:p>
    <w:p w14:paraId="7AC11EBF" w14:textId="3B4FBF2D" w:rsidR="007141C2" w:rsidRDefault="007141C2" w:rsidP="00961490">
      <w:pPr>
        <w:contextualSpacing/>
        <w:rPr>
          <w:ins w:id="5" w:author="Microsoft Office User" w:date="2023-07-10T11:52:00Z"/>
          <w:rFonts w:ascii="Arial" w:eastAsia="Times New Roman" w:hAnsi="Arial" w:cs="Arial"/>
          <w:sz w:val="20"/>
          <w:szCs w:val="20"/>
        </w:rPr>
      </w:pPr>
      <w:ins w:id="6" w:author="Microsoft Office User" w:date="2023-07-10T11:52:00Z">
        <w:r>
          <w:rPr>
            <w:rFonts w:ascii="Arial" w:eastAsia="Times New Roman" w:hAnsi="Arial" w:cs="Arial"/>
            <w:sz w:val="20"/>
            <w:szCs w:val="20"/>
          </w:rPr>
          <w:t>Abstract (200 words)</w:t>
        </w:r>
      </w:ins>
    </w:p>
    <w:p w14:paraId="275D7127" w14:textId="77777777" w:rsidR="007141C2" w:rsidRDefault="007141C2" w:rsidP="00961490">
      <w:pPr>
        <w:contextualSpacing/>
        <w:rPr>
          <w:ins w:id="7" w:author="Microsoft Office User" w:date="2023-07-10T11:51:00Z"/>
          <w:rFonts w:ascii="Arial" w:eastAsia="Times New Roman" w:hAnsi="Arial" w:cs="Arial"/>
          <w:sz w:val="20"/>
          <w:szCs w:val="20"/>
        </w:rPr>
      </w:pPr>
    </w:p>
    <w:p w14:paraId="53AF2E71" w14:textId="3DCEFDF1" w:rsidR="007141C2" w:rsidRDefault="007141C2" w:rsidP="007141C2">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xml:space="preserve">, including </w:t>
      </w:r>
      <w:ins w:id="8" w:author="Microsoft Office User" w:date="2023-07-10T11:59:00Z">
        <w:r>
          <w:rPr>
            <w:rFonts w:ascii="Arial" w:eastAsia="Times New Roman" w:hAnsi="Arial" w:cs="Arial"/>
            <w:sz w:val="20"/>
            <w:szCs w:val="20"/>
          </w:rPr>
          <w:t xml:space="preserve">growth rate and susceptibility to </w:t>
        </w:r>
      </w:ins>
      <w:r>
        <w:rPr>
          <w:rFonts w:ascii="Arial" w:eastAsia="Times New Roman" w:hAnsi="Arial" w:cs="Arial"/>
          <w:sz w:val="20"/>
          <w:szCs w:val="20"/>
        </w:rPr>
        <w:t>disease</w:t>
      </w:r>
      <w:del w:id="9" w:author="Microsoft Office User" w:date="2023-07-10T11:59:00Z">
        <w:r w:rsidDel="007141C2">
          <w:rPr>
            <w:rFonts w:ascii="Arial" w:eastAsia="Times New Roman" w:hAnsi="Arial" w:cs="Arial"/>
            <w:sz w:val="20"/>
            <w:szCs w:val="20"/>
          </w:rPr>
          <w:delText xml:space="preserve"> </w:delText>
        </w:r>
      </w:del>
      <w:ins w:id="10" w:author="Microsoft Office User" w:date="2023-07-10T11:59:00Z">
        <w:r>
          <w:rPr>
            <w:rFonts w:ascii="Arial" w:eastAsia="Times New Roman" w:hAnsi="Arial" w:cs="Arial"/>
            <w:sz w:val="20"/>
            <w:szCs w:val="20"/>
          </w:rPr>
          <w:t xml:space="preserve"> or stress</w:t>
        </w:r>
      </w:ins>
      <w:del w:id="11" w:author="Microsoft Office User" w:date="2023-07-10T11:59:00Z">
        <w:r w:rsidDel="007141C2">
          <w:rPr>
            <w:rFonts w:ascii="Arial" w:eastAsia="Times New Roman" w:hAnsi="Arial" w:cs="Arial"/>
            <w:sz w:val="20"/>
            <w:szCs w:val="20"/>
          </w:rPr>
          <w:delText>susceptibility</w:delText>
        </w:r>
      </w:del>
      <w:r w:rsidRPr="00961490">
        <w:rPr>
          <w:rFonts w:ascii="Arial" w:eastAsia="Times New Roman" w:hAnsi="Arial" w:cs="Arial"/>
          <w:sz w:val="20"/>
          <w:szCs w:val="20"/>
        </w:rPr>
        <w:t>, changes in animal-microbial symbioses have the potential to mediate life-history tradeoffs. Scleractinian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and ecologically-relevant</w:t>
      </w:r>
      <w:r w:rsidRPr="00961490">
        <w:rPr>
          <w:rFonts w:ascii="Arial" w:eastAsia="Times New Roman" w:hAnsi="Arial" w:cs="Arial"/>
          <w:sz w:val="20"/>
          <w:szCs w:val="20"/>
        </w:rPr>
        <w:t xml:space="preserve"> host system to </w:t>
      </w:r>
      <w:ins w:id="12" w:author="Microsoft Office User" w:date="2023-07-10T12:00:00Z">
        <w:r>
          <w:rPr>
            <w:rFonts w:ascii="Arial" w:eastAsia="Times New Roman" w:hAnsi="Arial" w:cs="Arial"/>
            <w:sz w:val="20"/>
            <w:szCs w:val="20"/>
          </w:rPr>
          <w:t>explore</w:t>
        </w:r>
      </w:ins>
      <w:del w:id="13" w:author="Microsoft Office User" w:date="2023-07-10T12:00:00Z">
        <w:r w:rsidRPr="00961490" w:rsidDel="007141C2">
          <w:rPr>
            <w:rFonts w:ascii="Arial" w:eastAsia="Times New Roman" w:hAnsi="Arial" w:cs="Arial"/>
            <w:sz w:val="20"/>
            <w:szCs w:val="20"/>
          </w:rPr>
          <w:delText>test</w:delText>
        </w:r>
      </w:del>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ins w:id="14" w:author="Microsoft Office User" w:date="2023-07-10T12:00:00Z">
        <w:r>
          <w:rPr>
            <w:rFonts w:ascii="Arial" w:eastAsia="Times New Roman" w:hAnsi="Arial" w:cs="Arial"/>
            <w:sz w:val="20"/>
            <w:szCs w:val="20"/>
          </w:rPr>
          <w:t>nducting</w:t>
        </w:r>
      </w:ins>
      <w:del w:id="15" w:author="Microsoft Office User" w:date="2023-07-10T12:00:00Z">
        <w:r w:rsidRPr="00961490" w:rsidDel="007141C2">
          <w:rPr>
            <w:rFonts w:ascii="Arial" w:eastAsia="Times New Roman" w:hAnsi="Arial" w:cs="Arial"/>
            <w:sz w:val="20"/>
            <w:szCs w:val="20"/>
          </w:rPr>
          <w:delText>mbining</w:delText>
        </w:r>
      </w:del>
      <w:r w:rsidRPr="00961490">
        <w:rPr>
          <w:rFonts w:ascii="Arial" w:eastAsia="Times New Roman" w:hAnsi="Arial" w:cs="Arial"/>
          <w:sz w:val="20"/>
          <w:szCs w:val="20"/>
        </w:rPr>
        <w:t xml:space="preserve"> a cross-species coral microbiome survey (the “Global Coral Microbiome Project”) </w:t>
      </w:r>
      <w:ins w:id="16" w:author="Microsoft Office User" w:date="2023-07-10T12:00:00Z">
        <w:r>
          <w:rPr>
            <w:rFonts w:ascii="Arial" w:eastAsia="Times New Roman" w:hAnsi="Arial" w:cs="Arial"/>
            <w:sz w:val="20"/>
            <w:szCs w:val="20"/>
          </w:rPr>
          <w:t xml:space="preserve">and combining the results </w:t>
        </w:r>
      </w:ins>
      <w:r w:rsidRPr="00961490">
        <w:rPr>
          <w:rFonts w:ascii="Arial" w:eastAsia="Times New Roman" w:hAnsi="Arial" w:cs="Arial"/>
          <w:sz w:val="20"/>
          <w:szCs w:val="20"/>
        </w:rPr>
        <w:t>with long-term disease prevalence data at multiple sites.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 xml:space="preserve">trace this dominance-disease association to a single putatively beneficial bacterial symbiont,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 xml:space="preserve">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abundances in coral tissue strongly correlated with high growth rates. These results demonstrate that the evolution of symbiosis</w:t>
      </w:r>
      <w:r>
        <w:rPr>
          <w:rFonts w:ascii="Arial" w:eastAsia="Times New Roman" w:hAnsi="Arial" w:cs="Arial"/>
          <w:sz w:val="20"/>
          <w:szCs w:val="20"/>
        </w:rPr>
        <w:t xml:space="preserve"> with </w:t>
      </w:r>
      <w:r w:rsidRPr="007141C2">
        <w:rPr>
          <w:rFonts w:ascii="Arial" w:eastAsia="Times New Roman" w:hAnsi="Arial" w:cs="Arial"/>
          <w:i/>
          <w:iCs/>
          <w:sz w:val="20"/>
          <w:szCs w:val="20"/>
        </w:rPr>
        <w:t>Endozoicomons</w:t>
      </w:r>
      <w:r w:rsidRPr="00961490">
        <w:rPr>
          <w:rFonts w:ascii="Arial" w:eastAsia="Times New Roman" w:hAnsi="Arial" w:cs="Arial"/>
          <w:sz w:val="20"/>
          <w:szCs w:val="20"/>
        </w:rPr>
        <w:t xml:space="preserve"> in corals correlates with both disease prevalence and growth rate. Exploration of the mechanistic basis for these findings will be important for our understanding of how microbial symbiosis influences animal life-history tradeoffs.</w:t>
      </w:r>
    </w:p>
    <w:p w14:paraId="2D8401ED" w14:textId="77777777" w:rsidR="007141C2" w:rsidRDefault="007141C2" w:rsidP="00961490">
      <w:pPr>
        <w:contextualSpacing/>
        <w:rPr>
          <w:rFonts w:ascii="Arial" w:eastAsia="Times New Roman" w:hAnsi="Arial" w:cs="Arial"/>
          <w:sz w:val="20"/>
          <w:szCs w:val="20"/>
        </w:rPr>
      </w:pPr>
    </w:p>
    <w:p w14:paraId="176112CB" w14:textId="77777777" w:rsidR="007141C2" w:rsidRPr="00961490" w:rsidRDefault="007141C2" w:rsidP="00961490">
      <w:pPr>
        <w:contextualSpacing/>
        <w:rPr>
          <w:rFonts w:ascii="Arial" w:eastAsia="Times New Roman" w:hAnsi="Arial" w:cs="Arial"/>
          <w:sz w:val="20"/>
          <w:szCs w:val="20"/>
        </w:rPr>
      </w:pPr>
    </w:p>
    <w:p w14:paraId="0D79C166" w14:textId="0A24D733" w:rsidR="00961490" w:rsidRPr="00961490" w:rsidDel="007141C2" w:rsidRDefault="00E6133D" w:rsidP="00961490">
      <w:pPr>
        <w:keepNext/>
        <w:pBdr>
          <w:top w:val="nil"/>
          <w:left w:val="nil"/>
          <w:bottom w:val="nil"/>
          <w:right w:val="nil"/>
          <w:between w:val="nil"/>
        </w:pBdr>
        <w:spacing w:before="240" w:after="60"/>
        <w:rPr>
          <w:del w:id="17" w:author="Microsoft Office User" w:date="2023-07-10T11:50:00Z"/>
          <w:rFonts w:ascii="Arial" w:hAnsi="Arial" w:cs="Arial"/>
          <w:b/>
          <w:color w:val="000000"/>
          <w:sz w:val="20"/>
          <w:szCs w:val="20"/>
        </w:rPr>
      </w:pPr>
      <w:del w:id="18" w:author="Microsoft Office User" w:date="2023-07-10T11:50:00Z">
        <w:r w:rsidRPr="00980C22" w:rsidDel="007141C2">
          <w:rPr>
            <w:rFonts w:ascii="Arial" w:hAnsi="Arial" w:cs="Arial"/>
            <w:b/>
            <w:color w:val="000000"/>
            <w:sz w:val="20"/>
            <w:szCs w:val="20"/>
          </w:rPr>
          <w:delText>Significance Statement</w:delText>
        </w:r>
      </w:del>
    </w:p>
    <w:p w14:paraId="3929190C" w14:textId="42606464" w:rsidR="00961490" w:rsidDel="007141C2" w:rsidRDefault="00961490" w:rsidP="00961490">
      <w:pPr>
        <w:contextualSpacing/>
        <w:rPr>
          <w:del w:id="19" w:author="Microsoft Office User" w:date="2023-07-10T11:50:00Z"/>
          <w:rFonts w:ascii="Arial" w:eastAsia="Times New Roman" w:hAnsi="Arial" w:cs="Arial"/>
          <w:sz w:val="20"/>
          <w:szCs w:val="20"/>
        </w:rPr>
      </w:pPr>
    </w:p>
    <w:p w14:paraId="6504ACD6" w14:textId="1FF59CB8" w:rsidR="00961490" w:rsidRPr="00961490" w:rsidRDefault="00961490" w:rsidP="00961490">
      <w:pPr>
        <w:contextualSpacing/>
        <w:rPr>
          <w:rFonts w:ascii="Arial" w:eastAsia="Times New Roman" w:hAnsi="Arial" w:cs="Arial"/>
          <w:sz w:val="20"/>
          <w:szCs w:val="20"/>
        </w:rPr>
      </w:pPr>
      <w:del w:id="20" w:author="Microsoft Office User" w:date="2023-07-10T11:50:00Z">
        <w:r w:rsidRPr="00961490" w:rsidDel="007141C2">
          <w:rPr>
            <w:rFonts w:ascii="Arial" w:eastAsia="Times New Roman" w:hAnsi="Arial" w:cs="Arial"/>
            <w:sz w:val="20"/>
            <w:szCs w:val="20"/>
          </w:rPr>
          <w:delText xml:space="preserve">The evolution of tropical corals, like that of many organisms, involves tradeoffs in life-history strategy. We sought to test whether microbes influence coral life-history traits. Comparative data from a census of modern coral microbes, combined with long term disease surveys in three regions, provide evidence for a correlation between microbiome structure, growth rate, and disease susceptibility during coral evolution.  These trends were driven primarily by changes in the relative abundance of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in coral tissue microbiomes, suggesting the novel hypothesis that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may allow corals to grow more quickly at the cost of greater vulnerability to disease. Thus, symbiosis with microbes may be an important aspect of animal life-history strategy.</w:delText>
        </w:r>
      </w:del>
      <w:r>
        <w:rPr>
          <w:rFonts w:ascii="Arial" w:hAnsi="Arial" w:cs="Arial"/>
          <w:b/>
          <w:color w:val="000000"/>
          <w:sz w:val="20"/>
          <w:szCs w:val="20"/>
        </w:rPr>
        <w:br w:type="page"/>
      </w:r>
    </w:p>
    <w:p w14:paraId="72BE508C" w14:textId="1145EEB9" w:rsidR="00980C22" w:rsidRPr="00980C22" w:rsidDel="00EB02BE" w:rsidRDefault="00E6133D" w:rsidP="00961490">
      <w:pPr>
        <w:keepNext/>
        <w:pBdr>
          <w:top w:val="nil"/>
          <w:left w:val="nil"/>
          <w:bottom w:val="nil"/>
          <w:right w:val="nil"/>
          <w:between w:val="nil"/>
        </w:pBdr>
        <w:spacing w:before="240" w:after="60"/>
        <w:rPr>
          <w:del w:id="21" w:author="Microsoft Office User" w:date="2023-07-10T12:37:00Z"/>
          <w:rFonts w:ascii="Arial" w:hAnsi="Arial" w:cs="Arial"/>
          <w:b/>
          <w:color w:val="000000"/>
          <w:sz w:val="20"/>
          <w:szCs w:val="20"/>
        </w:rPr>
      </w:pPr>
      <w:r w:rsidRPr="00980C22">
        <w:rPr>
          <w:rFonts w:ascii="Arial" w:hAnsi="Arial" w:cs="Arial"/>
          <w:b/>
          <w:color w:val="000000"/>
          <w:sz w:val="20"/>
          <w:szCs w:val="20"/>
        </w:rPr>
        <w:lastRenderedPageBreak/>
        <w:t xml:space="preserve">Main </w:t>
      </w:r>
      <w:commentRangeStart w:id="22"/>
      <w:r w:rsidRPr="00980C22">
        <w:rPr>
          <w:rFonts w:ascii="Arial" w:hAnsi="Arial" w:cs="Arial"/>
          <w:b/>
          <w:color w:val="000000"/>
          <w:sz w:val="20"/>
          <w:szCs w:val="20"/>
        </w:rPr>
        <w:t>Text</w:t>
      </w:r>
      <w:commentRangeEnd w:id="22"/>
      <w:r w:rsidR="007141C2">
        <w:rPr>
          <w:rStyle w:val="CommentReference"/>
          <w:rFonts w:ascii="Times New Roman" w:eastAsia="Times New Roman" w:hAnsi="Times New Roman" w:cs="Times New Roman"/>
        </w:rPr>
        <w:commentReference w:id="22"/>
      </w:r>
    </w:p>
    <w:p w14:paraId="3FDA0085" w14:textId="0999CEB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del w:id="23" w:author="Microsoft Office User" w:date="2023-07-10T12:37:00Z">
        <w:r w:rsidRPr="00980C22" w:rsidDel="00EB02BE">
          <w:rPr>
            <w:rFonts w:ascii="Arial" w:hAnsi="Arial" w:cs="Arial"/>
            <w:b/>
            <w:color w:val="000000"/>
            <w:sz w:val="20"/>
            <w:szCs w:val="20"/>
          </w:rPr>
          <w:delText>Introduction</w:delText>
        </w:r>
      </w:del>
    </w:p>
    <w:p w14:paraId="74A5EE2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Tradeoffs in life-history strategy are key features in animal evolution (1, 2). These tradeoffs often involve differential investments in life-history traits such as growth rate (3); reproductive maturation, timing, and fecundity (4); or resistance to stress (5), predation (6) or disease (7). The fitness costs and benefits of these investments are often context-dependent. Thus, shifts in ecological or environmental conditions can favor some life-history strategies over others (5), sculpting trait evolution within animal lineages and reshaping ecological communities. Global climate change is shifting the patterns and prevalence of disease in many animal taxa, while increasing the virulence of some pathogens (8, 9). Identifying evolutionary tradeoffs and resulting trait correlations associated with disease susceptibility (10) can therefore help predict how species survival will shift with climate change.  </w:t>
      </w:r>
    </w:p>
    <w:p w14:paraId="0CFE61C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Although much research on evolutionary tradeoffs focuses on the traits of animals themselves, it is also well documented that the physiology (11), fitness and even behavior (12) of many animals are influenced by their microbiomes. Ecological microbiome surveys and laboratory experiments using germ-free animals have linked animal microbiomes, and specific symbionts within them, to multiple key life-history traits, including growth (13), development rate (13), fecundity (13), stress resistance (11, 14), and disease susceptibility (14). It therefore seems likely that microbial symbiosis is an important aspect of animal life-history tradeoffs. </w:t>
      </w:r>
    </w:p>
    <w:p w14:paraId="1DF97A80"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If microbes do influence life-history traits (or vice versa), microbiome structure and membership may correlate with those traits over long periods of animal evolution. However, testing the potential relevance of microbial symbiosis for life-history strategy over evolutionary time periods is challenging. These tests must use phylogenetic comparative methods that account for trait correlations induced by the shared history of traits over evolution. They further require large cross-species datasets on both animal traits and microbiome structure. Scleractinian corals meet these data requirements and are therefore an animal lineage that present a unique opportunity to answer the question of whether microbes and life-history strategies are associated.</w:t>
      </w:r>
    </w:p>
    <w:p w14:paraId="6DB5061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The reef-building corals that have evolved over 425 million years represent a diverse group of animals, including an estimated &gt;1600 species (15), with an extensive fossil record, and a well-known variety in both life-history strategy (2) and microbial symbiosis (16–18). These animals also have special ecological and societal importance, as corals are foundational to reef ecosystems that support some of the most biodiverse assemblages on the planet. These ecosystems in turn support the livelihoods of the many coastal communities that rely on them for food, coastal protection, and recreation (19). Yet the ancient diversity of coral reefs is currently threatened by global climate change, which is driving both dramatic mass bleaching events and increased prevalence and severity of disease outbreaks (8). Due to the threats to coral reef ecosystems, and the potential harm that their collapse could inflict on millions of people in coastal communities worldwide, corals and their microbiomes have been intensively researched. </w:t>
      </w:r>
    </w:p>
    <w:p w14:paraId="52B9E42D"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Association with specific dinoflagellate symbionts (e.g., </w:t>
      </w:r>
      <w:r w:rsidRPr="00961490">
        <w:rPr>
          <w:rFonts w:ascii="Arial" w:eastAsia="Times New Roman" w:hAnsi="Arial" w:cs="Arial"/>
          <w:i/>
          <w:sz w:val="20"/>
          <w:szCs w:val="20"/>
        </w:rPr>
        <w:t xml:space="preserve">Durusdinium </w:t>
      </w:r>
      <w:r w:rsidRPr="00961490">
        <w:rPr>
          <w:rFonts w:ascii="Arial" w:eastAsia="Times New Roman" w:hAnsi="Arial" w:cs="Arial"/>
          <w:sz w:val="20"/>
          <w:szCs w:val="20"/>
        </w:rPr>
        <w:t xml:space="preserve">vs. </w:t>
      </w:r>
      <w:r w:rsidRPr="00961490">
        <w:rPr>
          <w:rFonts w:ascii="Arial" w:eastAsia="Times New Roman" w:hAnsi="Arial" w:cs="Arial"/>
          <w:i/>
          <w:sz w:val="20"/>
          <w:szCs w:val="20"/>
        </w:rPr>
        <w:t>Cladocopium</w:t>
      </w:r>
      <w:r w:rsidRPr="00961490">
        <w:rPr>
          <w:rFonts w:ascii="Arial" w:eastAsia="Times New Roman" w:hAnsi="Arial" w:cs="Arial"/>
          <w:sz w:val="20"/>
          <w:szCs w:val="20"/>
        </w:rPr>
        <w:t xml:space="preserve">) has been reported to have complex and species-specific influences on coral traits such as thermal tolerance and growth rate ((20) but see (21)). Evolutionary studies have demonstrated that vertical vs. horizontal transmission of these dinoflagellate symbionts is tied to important host traits, such as reproduction by brooding vs. spawning (22). However, potential influences of symbiosis with bacteria and archaea on coral life-history traits are less well understood. </w:t>
      </w:r>
    </w:p>
    <w:p w14:paraId="116519A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Coral microbiome research has demonstrated that in the present-day communities of coral-associated bacteria and archaea (hereafter ‘coral microbiomes’) are influenced by host traits; local environmental factors, such as temperature, depth, nutrient availability, and turbidity; anatomy (16); and ecological context, such as predation, exploitation by farming fish (23), or competition with turf algae. Specific microbes have been shown to protect corals from pathogens </w:t>
      </w:r>
      <w:r w:rsidRPr="00961490">
        <w:rPr>
          <w:rFonts w:ascii="Arial" w:eastAsia="Times New Roman" w:hAnsi="Arial" w:cs="Arial"/>
          <w:sz w:val="20"/>
          <w:szCs w:val="20"/>
        </w:rPr>
        <w:lastRenderedPageBreak/>
        <w:t>through antimicrobial production (24), predation (25), jamming of quorum-sensing systems (26), and passive competition for space and resources. Differences in microbiome structure or dynamics are also often found between related species that show different patterns of disease susceptibility (27). These examples provide support for connections between coral life-history, microbiome structure and disease susceptibility in the present day, although they do not directly allow for statistical testing of evolutionary hypotheses.</w:t>
      </w:r>
    </w:p>
    <w:p w14:paraId="3B7EC03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Clarifying whether microbiome structure and coral life-history traits correlate over coral evolution globally would provide vital context for interpreting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 Well-curated global databases of coral physiological traits (28), with contributions from numerous research groups, have been established and mapped to coral life-history strategies (2). Finally, several large cross-species studies of corals and their microbiomes have been launched. These advances provide an opportunity to compare host trait data and microbiome structure from across the coral tree of life.</w:t>
      </w:r>
    </w:p>
    <w:p w14:paraId="4F71EE03" w14:textId="74D0902A"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coral disease susceptibility, growth rate, or overall life-history strategy. To address this question quantitatively, we first characterized the microbiome composition from visibly healthy samples of 40 coral genera using 16S rRNA gene sequencing results from the Global Coral Microbiome Project (16)(Supplementary Data Table 1a), and subsequently combined these data with genus-level long-term disease prevalence data from several tropical regions around the globe (the Caribbean (Florida Reef Resilience Project data (FRRP, </w:t>
      </w:r>
      <w:hyperlink r:id="rId14">
        <w:r w:rsidRPr="00961490">
          <w:rPr>
            <w:rFonts w:ascii="Arial" w:eastAsia="Times New Roman" w:hAnsi="Arial" w:cs="Arial"/>
            <w:color w:val="1155CC"/>
            <w:sz w:val="20"/>
            <w:szCs w:val="20"/>
            <w:u w:val="single"/>
          </w:rPr>
          <w:t>https://frrp.org/</w:t>
        </w:r>
      </w:hyperlink>
      <w:r w:rsidRPr="00961490">
        <w:rPr>
          <w:rFonts w:ascii="Arial" w:eastAsia="Times New Roman" w:hAnsi="Arial" w:cs="Arial"/>
          <w:sz w:val="20"/>
          <w:szCs w:val="20"/>
        </w:rPr>
        <w:t>))</w:t>
      </w:r>
      <w:r w:rsidRPr="00961490">
        <w:rPr>
          <w:rFonts w:ascii="Arial" w:eastAsia="Tahoma" w:hAnsi="Arial" w:cs="Arial"/>
          <w:sz w:val="20"/>
          <w:szCs w:val="20"/>
        </w:rPr>
        <w:t>, central Pacific (Hawai</w:t>
      </w:r>
      <w:r w:rsidRPr="00961490">
        <w:rPr>
          <w:rFonts w:ascii="Tahoma" w:eastAsia="Tahoma" w:hAnsi="Tahoma" w:cs="Tahoma"/>
          <w:sz w:val="20"/>
          <w:szCs w:val="20"/>
        </w:rPr>
        <w:t>՛</w:t>
      </w:r>
      <w:r w:rsidRPr="00961490">
        <w:rPr>
          <w:rFonts w:ascii="Arial" w:eastAsia="Tahoma" w:hAnsi="Arial" w:cs="Arial"/>
          <w:sz w:val="20"/>
          <w:szCs w:val="20"/>
        </w:rPr>
        <w:t xml:space="preserve">i Coral Disease Database (HICORDIS) </w:t>
      </w:r>
      <w:r w:rsidRPr="00961490">
        <w:rPr>
          <w:rFonts w:ascii="Arial" w:eastAsia="Times New Roman" w:hAnsi="Arial" w:cs="Arial"/>
          <w:sz w:val="20"/>
          <w:szCs w:val="20"/>
        </w:rPr>
        <w:t>(29)), and eastern Australia (this study); Supplementary Data Table 1b), and coral life-history traits from the Coral Trait Database (28) (Fig</w:t>
      </w:r>
      <w:r w:rsidR="00DB72A3">
        <w:rPr>
          <w:rFonts w:ascii="Arial" w:eastAsia="Times New Roman" w:hAnsi="Arial" w:cs="Arial"/>
          <w:sz w:val="20"/>
          <w:szCs w:val="20"/>
        </w:rPr>
        <w:t xml:space="preserve">. </w:t>
      </w:r>
      <w:r w:rsidRPr="00961490">
        <w:rPr>
          <w:rFonts w:ascii="Arial" w:eastAsia="Times New Roman" w:hAnsi="Arial" w:cs="Arial"/>
          <w:sz w:val="20"/>
          <w:szCs w:val="20"/>
        </w:rPr>
        <w:t>1). With the resulting microbiome structure, disease prevalence, and coral growth data across a global distribution of coral genera (Supplementary Data Table 1c), we compared these traits using methods that account for phylogenetic correlations using a time-calibrated multi-gene reference tree of corals (30).</w:t>
      </w:r>
    </w:p>
    <w:p w14:paraId="20BDB0A9" w14:textId="77777777" w:rsidR="00961490" w:rsidRDefault="00961490" w:rsidP="00E6133D">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Across coral evolution, we found that microbiome structure in healthy corals is correlated with both disease-susceptibility and growth rate. We further identified these correlations as being primarily driven by a single key bacterial genus,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 common coral symbiont that often forms aggregates within coral tissue (31) and is hypothesized to be a metabolic mutualist. These results provide an important example of long-term correlations between microbiome structure and host traits (disease susceptibility and growth rate), supporting the notion that microbial symbiosis can have important roles in mediating animal life-history tradeoffs. </w:t>
      </w:r>
    </w:p>
    <w:p w14:paraId="08501B87" w14:textId="7777777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r w:rsidR="00961490">
        <w:rPr>
          <w:rFonts w:ascii="Arial" w:hAnsi="Arial" w:cs="Arial"/>
          <w:b/>
          <w:color w:val="000000"/>
          <w:sz w:val="20"/>
          <w:szCs w:val="20"/>
        </w:rPr>
        <w:t xml:space="preserve"> and Discussion</w:t>
      </w:r>
    </w:p>
    <w:p w14:paraId="7477C189" w14:textId="0729C770"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 xml:space="preserve">The microbiome of corals is often dominated by a few highly-abundant taxa that demonstrate species-specificity (17, 18),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in a given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are known to include common coral associates (17),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w:t>
      </w:r>
      <w:r w:rsidRPr="00961490">
        <w:rPr>
          <w:rFonts w:ascii="Arial" w:eastAsia="Times New Roman" w:hAnsi="Arial" w:cs="Arial"/>
          <w:sz w:val="20"/>
          <w:szCs w:val="20"/>
        </w:rPr>
        <w:lastRenderedPageBreak/>
        <w:t xml:space="preserve">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r w:rsidRPr="00961490">
        <w:rPr>
          <w:rFonts w:ascii="Arial" w:eastAsia="Times New Roman" w:hAnsi="Arial" w:cs="Arial"/>
          <w:i/>
          <w:sz w:val="20"/>
          <w:szCs w:val="20"/>
        </w:rPr>
        <w:t>Candidatus</w:t>
      </w:r>
      <w:r w:rsidRPr="00961490">
        <w:rPr>
          <w:rFonts w:ascii="Arial" w:eastAsia="Times New Roman" w:hAnsi="Arial" w:cs="Arial"/>
          <w:sz w:val="20"/>
          <w:szCs w:val="20"/>
        </w:rPr>
        <w:t xml:space="preserve"> Amoebophilus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particular microbial taxa on coral physiology are not yet well understood. </w:t>
      </w:r>
    </w:p>
    <w:p w14:paraId="0782298D" w14:textId="18F47743" w:rsidR="00961490" w:rsidDel="007141C2" w:rsidRDefault="00961490" w:rsidP="00961490">
      <w:pPr>
        <w:keepNext/>
        <w:pBdr>
          <w:top w:val="nil"/>
          <w:left w:val="nil"/>
          <w:bottom w:val="nil"/>
          <w:right w:val="nil"/>
          <w:between w:val="nil"/>
        </w:pBdr>
        <w:spacing w:before="240" w:after="60"/>
        <w:rPr>
          <w:del w:id="24" w:author="Microsoft Office User" w:date="2023-07-10T11:43:00Z"/>
          <w:rFonts w:ascii="Arial" w:hAnsi="Arial" w:cs="Arial"/>
          <w:b/>
          <w:color w:val="000000"/>
          <w:sz w:val="20"/>
          <w:szCs w:val="20"/>
        </w:rPr>
      </w:pPr>
      <w:del w:id="25" w:author="Microsoft Office User" w:date="2023-07-10T11:43:00Z">
        <w:r w:rsidRPr="00961490" w:rsidDel="007141C2">
          <w:rPr>
            <w:rFonts w:ascii="Arial" w:eastAsia="Times New Roman" w:hAnsi="Arial" w:cs="Arial"/>
            <w:b/>
            <w:sz w:val="20"/>
            <w:szCs w:val="20"/>
          </w:rPr>
          <w:delText xml:space="preserve">Microbiome richness and evenness do not predict disease susceptibility. </w:delText>
        </w:r>
        <w:r w:rsidRPr="00961490" w:rsidDel="007141C2">
          <w:rPr>
            <w:rFonts w:ascii="Arial" w:eastAsia="Times New Roman" w:hAnsi="Arial" w:cs="Arial"/>
            <w:sz w:val="20"/>
            <w:szCs w:val="20"/>
          </w:rPr>
          <w:delText>To identify how bacterial communities are structured among globally distributed coral taxa, we characterized alpha diversity within the mucus, tissue, and skeleton compartments for each coral genus using several metrics. These included observed features, which measures richness; and the Gini index, which measures evenness. We visualized the evolution of each of these measures of microbiome alpha diversity using ancestral state reconstruction (</w:delText>
        </w:r>
        <w:r w:rsidR="00DB72A3" w:rsidDel="007141C2">
          <w:rPr>
            <w:rFonts w:ascii="Arial" w:eastAsia="Times New Roman" w:hAnsi="Arial" w:cs="Arial"/>
            <w:sz w:val="20"/>
            <w:szCs w:val="20"/>
          </w:rPr>
          <w:delText>Figs. S1A, B</w:delText>
        </w:r>
        <w:r w:rsidRPr="00961490" w:rsidDel="007141C2">
          <w:rPr>
            <w:rFonts w:ascii="Arial" w:eastAsia="Times New Roman" w:hAnsi="Arial" w:cs="Arial"/>
            <w:sz w:val="20"/>
            <w:szCs w:val="20"/>
          </w:rPr>
          <w:delText>), then compared them against disease susceptibility using Phylogenetic Generalized Least Squares (PGLS) analysis. While we hypothesized that coral microbiomes high in overall biodiversity might show reduced disease susceptibility — analogous to the ability of more biodiverse ecosystems to resist invasive species (32) — neither microbiome richness nor evenness were significantly correlated with host disease susceptibility in phylogenetic generalized least squares analysis (PGLS richness vs. disease susceptibility: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0.004, </w:delText>
        </w:r>
        <w:r w:rsidRPr="00961490" w:rsidDel="007141C2">
          <w:rPr>
            <w:rFonts w:ascii="Arial" w:eastAsia="Times New Roman" w:hAnsi="Arial" w:cs="Arial"/>
            <w:i/>
            <w:sz w:val="20"/>
            <w:szCs w:val="20"/>
          </w:rPr>
          <w:delText>p</w:delText>
        </w:r>
        <w:r w:rsidRPr="00961490" w:rsidDel="007141C2">
          <w:rPr>
            <w:rFonts w:ascii="Arial" w:eastAsia="Times New Roman" w:hAnsi="Arial" w:cs="Arial"/>
            <w:sz w:val="20"/>
            <w:szCs w:val="20"/>
          </w:rPr>
          <w:delText xml:space="preserve"> = 0.674, FDR q = 1; PGLS evenness vs. disease susceptibility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0.028, </w:delText>
        </w:r>
        <w:r w:rsidRPr="00961490" w:rsidDel="007141C2">
          <w:rPr>
            <w:rFonts w:ascii="Arial" w:eastAsia="Times New Roman" w:hAnsi="Arial" w:cs="Arial"/>
            <w:i/>
            <w:sz w:val="20"/>
            <w:szCs w:val="20"/>
          </w:rPr>
          <w:delText>p</w:delText>
        </w:r>
        <w:r w:rsidRPr="00961490" w:rsidDel="007141C2">
          <w:rPr>
            <w:rFonts w:ascii="Arial" w:eastAsia="Times New Roman" w:hAnsi="Arial" w:cs="Arial"/>
            <w:sz w:val="20"/>
            <w:szCs w:val="20"/>
          </w:rPr>
          <w:delText xml:space="preserve"> = 0.274, FDR q = 1; Supplementary Data Table 3a). Some specific cases of coral genera with low microbiome richness and high disease susceptibility were identified (i.e., </w:delText>
        </w:r>
        <w:r w:rsidRPr="00961490" w:rsidDel="007141C2">
          <w:rPr>
            <w:rFonts w:ascii="Arial" w:eastAsia="Times New Roman" w:hAnsi="Arial" w:cs="Arial"/>
            <w:i/>
            <w:sz w:val="20"/>
            <w:szCs w:val="20"/>
          </w:rPr>
          <w:delText xml:space="preserve">Pocillopora, Acropora, </w:delText>
        </w:r>
        <w:r w:rsidRPr="00961490" w:rsidDel="007141C2">
          <w:rPr>
            <w:rFonts w:ascii="Arial" w:eastAsia="Times New Roman" w:hAnsi="Arial" w:cs="Arial"/>
            <w:sz w:val="20"/>
            <w:szCs w:val="20"/>
          </w:rPr>
          <w:delText xml:space="preserve">and </w:delText>
        </w:r>
        <w:r w:rsidRPr="00961490" w:rsidDel="007141C2">
          <w:rPr>
            <w:rFonts w:ascii="Arial" w:eastAsia="Times New Roman" w:hAnsi="Arial" w:cs="Arial"/>
            <w:i/>
            <w:sz w:val="20"/>
            <w:szCs w:val="20"/>
          </w:rPr>
          <w:delText>Montipora</w:delText>
        </w:r>
        <w:r w:rsidRPr="00961490" w:rsidDel="007141C2">
          <w:rPr>
            <w:rFonts w:ascii="Arial" w:eastAsia="Times New Roman" w:hAnsi="Arial" w:cs="Arial"/>
            <w:sz w:val="20"/>
            <w:szCs w:val="20"/>
          </w:rPr>
          <w:delText xml:space="preserve">; </w:delText>
        </w:r>
        <w:r w:rsidR="00DB72A3" w:rsidDel="007141C2">
          <w:rPr>
            <w:rFonts w:ascii="Arial" w:eastAsia="Times New Roman" w:hAnsi="Arial" w:cs="Arial"/>
            <w:sz w:val="20"/>
            <w:szCs w:val="20"/>
          </w:rPr>
          <w:delText>Figs. S1A, B</w:delText>
        </w:r>
        <w:r w:rsidRPr="00961490" w:rsidDel="007141C2">
          <w:rPr>
            <w:rFonts w:ascii="Arial" w:eastAsia="Times New Roman" w:hAnsi="Arial" w:cs="Arial"/>
            <w:sz w:val="20"/>
            <w:szCs w:val="20"/>
          </w:rPr>
          <w:delText>) but there was no overall trend across all genera surveyed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2B). Thus, microbiome richness or evenness alone does not predict coral disease susceptibility.</w:delText>
        </w:r>
      </w:del>
    </w:p>
    <w:p w14:paraId="393C754A" w14:textId="21FB4B65"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ins w:id="26" w:author="Microsoft Office User" w:date="2023-07-10T12:03:00Z">
        <w:r w:rsidR="007141C2" w:rsidRPr="007141C2">
          <w:rPr>
            <w:rFonts w:ascii="Arial" w:eastAsia="Times New Roman" w:hAnsi="Arial" w:cs="Arial"/>
            <w:bCs/>
            <w:sz w:val="20"/>
            <w:szCs w:val="20"/>
            <w:rPrChange w:id="27" w:author="Microsoft Office User" w:date="2023-07-10T12:04:00Z">
              <w:rPr>
                <w:rFonts w:ascii="Arial" w:eastAsia="Times New Roman" w:hAnsi="Arial" w:cs="Arial"/>
                <w:b/>
                <w:sz w:val="20"/>
                <w:szCs w:val="20"/>
              </w:rPr>
            </w:rPrChange>
          </w:rPr>
          <w:t>We tested whether microbial alpha or beta diversity correlated with disease susceptibility, but found</w:t>
        </w:r>
      </w:ins>
      <w:ins w:id="28" w:author="Microsoft Office User" w:date="2023-07-10T12:04:00Z">
        <w:r w:rsidR="007141C2">
          <w:rPr>
            <w:rFonts w:ascii="Arial" w:eastAsia="Times New Roman" w:hAnsi="Arial" w:cs="Arial"/>
            <w:bCs/>
            <w:sz w:val="20"/>
            <w:szCs w:val="20"/>
          </w:rPr>
          <w:t xml:space="preserve"> </w:t>
        </w:r>
      </w:ins>
      <w:ins w:id="29" w:author="Microsoft Office User" w:date="2023-07-10T12:05:00Z">
        <w:r w:rsidR="007141C2">
          <w:rPr>
            <w:rFonts w:ascii="Arial" w:eastAsia="Times New Roman" w:hAnsi="Arial" w:cs="Arial"/>
            <w:bCs/>
            <w:sz w:val="20"/>
            <w:szCs w:val="20"/>
          </w:rPr>
          <w:t>no evidence for an effect of</w:t>
        </w:r>
      </w:ins>
      <w:ins w:id="30" w:author="Microsoft Office User" w:date="2023-07-10T12:08:00Z">
        <w:r w:rsidR="007141C2">
          <w:rPr>
            <w:rFonts w:ascii="Arial" w:eastAsia="Times New Roman" w:hAnsi="Arial" w:cs="Arial"/>
            <w:bCs/>
            <w:sz w:val="20"/>
            <w:szCs w:val="20"/>
          </w:rPr>
          <w:t xml:space="preserve"> microbiome ecological richness or evenness (considered individually) on disease susceptibility</w:t>
        </w:r>
      </w:ins>
      <w:ins w:id="31" w:author="Microsoft Office User" w:date="2023-07-10T12:07:00Z">
        <w:r w:rsidR="007141C2">
          <w:rPr>
            <w:rFonts w:ascii="Arial" w:eastAsia="Times New Roman" w:hAnsi="Arial" w:cs="Arial"/>
            <w:bCs/>
            <w:sz w:val="20"/>
            <w:szCs w:val="20"/>
          </w:rPr>
          <w:t>, and limited evidence for an effect of</w:t>
        </w:r>
      </w:ins>
      <w:ins w:id="32" w:author="Microsoft Office User" w:date="2023-07-10T12:08:00Z">
        <w:r w:rsidR="007141C2">
          <w:rPr>
            <w:rFonts w:ascii="Arial" w:eastAsia="Times New Roman" w:hAnsi="Arial" w:cs="Arial"/>
            <w:bCs/>
            <w:sz w:val="20"/>
            <w:szCs w:val="20"/>
          </w:rPr>
          <w:t xml:space="preserve"> microbiome composition</w:t>
        </w:r>
      </w:ins>
      <w:ins w:id="33" w:author="Microsoft Office User" w:date="2023-07-10T12:10:00Z">
        <w:r w:rsidR="007141C2">
          <w:rPr>
            <w:rFonts w:ascii="Arial" w:eastAsia="Times New Roman" w:hAnsi="Arial" w:cs="Arial"/>
            <w:bCs/>
            <w:sz w:val="20"/>
            <w:szCs w:val="20"/>
          </w:rPr>
          <w:t xml:space="preserve"> on disease susceptibility</w:t>
        </w:r>
      </w:ins>
      <w:ins w:id="34" w:author="Microsoft Office User" w:date="2023-07-10T12:08:00Z">
        <w:r w:rsidR="007141C2">
          <w:rPr>
            <w:rFonts w:ascii="Arial" w:eastAsia="Times New Roman" w:hAnsi="Arial" w:cs="Arial"/>
            <w:bCs/>
            <w:sz w:val="20"/>
            <w:szCs w:val="20"/>
          </w:rPr>
          <w:t xml:space="preserve"> (Supplementar</w:t>
        </w:r>
      </w:ins>
      <w:ins w:id="35" w:author="Microsoft Office User" w:date="2023-07-10T12:09:00Z">
        <w:r w:rsidR="007141C2">
          <w:rPr>
            <w:rFonts w:ascii="Arial" w:eastAsia="Times New Roman" w:hAnsi="Arial" w:cs="Arial"/>
            <w:bCs/>
            <w:sz w:val="20"/>
            <w:szCs w:val="20"/>
          </w:rPr>
          <w:t>y Information)</w:t>
        </w:r>
      </w:ins>
      <w:ins w:id="36" w:author="Microsoft Office User" w:date="2023-07-10T12:08:00Z">
        <w:r w:rsidR="007141C2">
          <w:rPr>
            <w:rFonts w:ascii="Arial" w:eastAsia="Times New Roman" w:hAnsi="Arial" w:cs="Arial"/>
            <w:bCs/>
            <w:sz w:val="20"/>
            <w:szCs w:val="20"/>
          </w:rPr>
          <w:t xml:space="preserve">. </w:t>
        </w:r>
      </w:ins>
      <w:ins w:id="37" w:author="Microsoft Office User" w:date="2023-07-10T12:10:00Z">
        <w:r w:rsidR="007141C2">
          <w:rPr>
            <w:rFonts w:ascii="Arial" w:eastAsia="Times New Roman" w:hAnsi="Arial" w:cs="Arial"/>
            <w:bCs/>
            <w:sz w:val="20"/>
            <w:szCs w:val="20"/>
          </w:rPr>
          <w:t xml:space="preserve">However, </w:t>
        </w:r>
        <w:r w:rsidR="007141C2">
          <w:rPr>
            <w:rFonts w:ascii="Arial" w:eastAsia="Times New Roman" w:hAnsi="Arial" w:cs="Arial"/>
            <w:sz w:val="20"/>
            <w:szCs w:val="20"/>
          </w:rPr>
          <w:t>g</w:t>
        </w:r>
      </w:ins>
      <w:del w:id="38" w:author="Microsoft Office User" w:date="2023-07-10T12:10:00Z">
        <w:r w:rsidRPr="00961490" w:rsidDel="007141C2">
          <w:rPr>
            <w:rFonts w:ascii="Arial" w:eastAsia="Times New Roman" w:hAnsi="Arial" w:cs="Arial"/>
            <w:sz w:val="20"/>
            <w:szCs w:val="20"/>
          </w:rPr>
          <w:delText>G</w:delText>
        </w:r>
      </w:del>
      <w:r w:rsidRPr="00961490">
        <w:rPr>
          <w:rFonts w:ascii="Arial" w:eastAsia="Times New Roman" w:hAnsi="Arial" w:cs="Arial"/>
          <w:sz w:val="20"/>
          <w:szCs w:val="20"/>
        </w:rPr>
        <w:t xml:space="preserve">iven that </w:t>
      </w:r>
      <w:del w:id="39" w:author="Microsoft Office User" w:date="2023-07-10T12:04:00Z">
        <w:r w:rsidRPr="00961490" w:rsidDel="007141C2">
          <w:rPr>
            <w:rFonts w:ascii="Arial" w:eastAsia="Times New Roman" w:hAnsi="Arial" w:cs="Arial"/>
            <w:sz w:val="20"/>
            <w:szCs w:val="20"/>
          </w:rPr>
          <w:delText xml:space="preserve">neither microbiome richness nor evenness significantly predicted disease susceptibility, and that </w:delText>
        </w:r>
      </w:del>
      <w:r w:rsidRPr="00961490">
        <w:rPr>
          <w:rFonts w:ascii="Arial" w:eastAsia="Times New Roman" w:hAnsi="Arial" w:cs="Arial"/>
          <w:sz w:val="20"/>
          <w:szCs w:val="20"/>
        </w:rPr>
        <w:t>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ins w:id="40" w:author="Microsoft Office User" w:date="2023-07-10T12:11:00Z">
        <w:r w:rsidR="007141C2">
          <w:rPr>
            <w:rFonts w:ascii="Arial" w:eastAsia="Times New Roman" w:hAnsi="Arial" w:cs="Arial"/>
            <w:sz w:val="20"/>
            <w:szCs w:val="20"/>
          </w:rPr>
          <w:t>)</w:t>
        </w:r>
      </w:ins>
      <w:del w:id="41" w:author="Microsoft Office User" w:date="2023-07-10T12:11:00Z">
        <w:r w:rsidRPr="00961490" w:rsidDel="007141C2">
          <w:rPr>
            <w:rFonts w:ascii="Arial" w:eastAsia="Times New Roman" w:hAnsi="Arial" w:cs="Arial"/>
            <w:sz w:val="20"/>
            <w:szCs w:val="20"/>
          </w:rPr>
          <w:delText>)</w:delText>
        </w:r>
      </w:del>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ins w:id="42" w:author="Microsoft Office User" w:date="2023-07-10T12:05:00Z">
        <w:r w:rsidR="007141C2">
          <w:rPr>
            <w:rFonts w:ascii="Arial" w:eastAsia="Times New Roman" w:hAnsi="Arial" w:cs="Arial"/>
            <w:sz w:val="20"/>
            <w:szCs w:val="20"/>
          </w:rPr>
          <w:t>Regionally-specific analysis, which eliminates potential confounders due to the global nature of the compar</w:t>
        </w:r>
      </w:ins>
      <w:ins w:id="43" w:author="Microsoft Office User" w:date="2023-07-10T12:06:00Z">
        <w:r w:rsidR="007141C2">
          <w:rPr>
            <w:rFonts w:ascii="Arial" w:eastAsia="Times New Roman" w:hAnsi="Arial" w:cs="Arial"/>
            <w:sz w:val="20"/>
            <w:szCs w:val="20"/>
          </w:rPr>
          <w:t>ison, recaptured th</w:t>
        </w:r>
      </w:ins>
      <w:ins w:id="44" w:author="Microsoft Office User" w:date="2023-07-10T12:11:00Z">
        <w:r w:rsidR="007141C2">
          <w:rPr>
            <w:rFonts w:ascii="Arial" w:eastAsia="Times New Roman" w:hAnsi="Arial" w:cs="Arial"/>
            <w:sz w:val="20"/>
            <w:szCs w:val="20"/>
          </w:rPr>
          <w:t>is</w:t>
        </w:r>
      </w:ins>
      <w:ins w:id="45" w:author="Microsoft Office User" w:date="2023-07-10T12:06:00Z">
        <w:r w:rsidR="007141C2">
          <w:rPr>
            <w:rFonts w:ascii="Arial" w:eastAsia="Times New Roman" w:hAnsi="Arial" w:cs="Arial"/>
            <w:sz w:val="20"/>
            <w:szCs w:val="20"/>
          </w:rPr>
          <w:t xml:space="preserve"> dominance-disease relationship (Supplmentary Information).</w:t>
        </w:r>
      </w:ins>
      <w:ins w:id="46" w:author="Microsoft Office User" w:date="2023-07-10T12:16:00Z">
        <w:r w:rsidR="007141C2">
          <w:rPr>
            <w:rFonts w:ascii="Arial" w:eastAsia="Times New Roman" w:hAnsi="Arial" w:cs="Arial"/>
            <w:sz w:val="20"/>
            <w:szCs w:val="20"/>
          </w:rPr>
          <w:t xml:space="preserve"> Further testing showed that corals dominanted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w:t>
        </w:r>
      </w:ins>
      <w:ins w:id="47" w:author="Microsoft Office User" w:date="2023-07-10T12:17:00Z">
        <w:r w:rsidR="007141C2">
          <w:rPr>
            <w:rFonts w:ascii="Arial" w:eastAsia="Times New Roman" w:hAnsi="Arial" w:cs="Arial"/>
            <w:sz w:val="20"/>
            <w:szCs w:val="20"/>
          </w:rPr>
          <w:t>isease trend, suggesting a specific microbe (rather than a general ecological feature) might be responsible for this striking correlation (</w:t>
        </w:r>
      </w:ins>
      <w:ins w:id="48" w:author="Microsoft Office User" w:date="2023-07-10T12:18:00Z">
        <w:r w:rsidR="007141C2">
          <w:rPr>
            <w:rFonts w:ascii="Arial" w:eastAsia="Times New Roman" w:hAnsi="Arial" w:cs="Arial"/>
            <w:sz w:val="20"/>
            <w:szCs w:val="20"/>
          </w:rPr>
          <w:t>Supplementary Information)</w:t>
        </w:r>
      </w:ins>
    </w:p>
    <w:p w14:paraId="04EC7BA0" w14:textId="02063BEF" w:rsidR="00961490" w:rsidDel="007141C2" w:rsidRDefault="00961490" w:rsidP="00961490">
      <w:pPr>
        <w:keepNext/>
        <w:pBdr>
          <w:top w:val="nil"/>
          <w:left w:val="nil"/>
          <w:bottom w:val="nil"/>
          <w:right w:val="nil"/>
          <w:between w:val="nil"/>
        </w:pBdr>
        <w:spacing w:before="240" w:after="60"/>
        <w:rPr>
          <w:del w:id="49" w:author="Microsoft Office User" w:date="2023-07-10T11:43:00Z"/>
          <w:rFonts w:ascii="Arial" w:hAnsi="Arial" w:cs="Arial"/>
          <w:b/>
          <w:color w:val="000000"/>
          <w:sz w:val="20"/>
          <w:szCs w:val="20"/>
        </w:rPr>
      </w:pPr>
      <w:del w:id="50" w:author="Microsoft Office User" w:date="2023-07-10T11:43:00Z">
        <w:r w:rsidRPr="00961490" w:rsidDel="007141C2">
          <w:rPr>
            <w:rFonts w:ascii="Arial" w:eastAsia="Times New Roman" w:hAnsi="Arial" w:cs="Arial"/>
            <w:b/>
            <w:sz w:val="20"/>
            <w:szCs w:val="20"/>
          </w:rPr>
          <w:delText xml:space="preserve">The association between microbiome dominance and disease strengthens in regionally-matched data. </w:delText>
        </w:r>
        <w:r w:rsidRPr="00961490" w:rsidDel="007141C2">
          <w:rPr>
            <w:rFonts w:ascii="Arial" w:eastAsia="Times New Roman" w:hAnsi="Arial" w:cs="Arial"/>
            <w:sz w:val="20"/>
            <w:szCs w:val="20"/>
          </w:rPr>
          <w:delText>The correlation we saw between microbiome dominance and disease persisted in a regionally-matched comparison between disease and microbiome data, and therefore is unlikely to be driven by biogeographic confounders. While the trend between microbiome dominance and coral disease is compelling across our full dataset, not all coral diseases are cosmopolitan and some exist in only one or a few locations (33). As mismatches between region and disease biogeography could confound our overall results, we sought to assess whether large-scale regional effects drive this trend. For example, perhaps high-dominance corals happen to live in high-disease areas, resulting in incidental correlations between dominance and disease. To test for regional effects, we repeated the PGLS analyses restricting the data to only coral microbiomes from Australia, where sampling was most intensive and for which we have long-term disease datasets best-matched to the microbiome data. In this analysis, ecological dominance in Australian coral tissue microbiomes predicted disease prevalence even more strongly under the lowest AICc model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0.49, p = 0.00015, FDR q = 0.005). However, this correlation was strong under all models (Supplementary Data Table 3b). A likely explanation for this stronger result is simply that the disease and microbiome data were drawn from the same region in this analysis, whereas in other cases the available disease and microbiome data were only partially regionally matched. These stronger results in the Australia-only model suggest that microbiomes vary enough geographically that disease and microbiome data from the same location produce the clearest correlations. </w:delText>
        </w:r>
      </w:del>
    </w:p>
    <w:p w14:paraId="6D06E7AF" w14:textId="602C8736" w:rsidR="00961490" w:rsidDel="007141C2" w:rsidRDefault="00961490" w:rsidP="00961490">
      <w:pPr>
        <w:keepNext/>
        <w:pBdr>
          <w:top w:val="nil"/>
          <w:left w:val="nil"/>
          <w:bottom w:val="nil"/>
          <w:right w:val="nil"/>
          <w:between w:val="nil"/>
        </w:pBdr>
        <w:spacing w:before="240" w:after="60"/>
        <w:rPr>
          <w:del w:id="51" w:author="Microsoft Office User" w:date="2023-07-10T11:42:00Z"/>
          <w:rFonts w:ascii="Arial" w:hAnsi="Arial" w:cs="Arial"/>
          <w:b/>
          <w:color w:val="000000"/>
          <w:sz w:val="20"/>
          <w:szCs w:val="20"/>
        </w:rPr>
      </w:pPr>
      <w:del w:id="52" w:author="Microsoft Office User" w:date="2023-07-10T11:42:00Z">
        <w:r w:rsidRPr="00961490" w:rsidDel="007141C2">
          <w:rPr>
            <w:rFonts w:ascii="Arial" w:eastAsia="Times New Roman" w:hAnsi="Arial" w:cs="Arial"/>
            <w:b/>
            <w:sz w:val="20"/>
            <w:szCs w:val="20"/>
          </w:rPr>
          <w:delText xml:space="preserve">Beta diversity explains little variation in disease susceptibility. </w:delText>
        </w:r>
        <w:r w:rsidRPr="00961490" w:rsidDel="007141C2">
          <w:rPr>
            <w:rFonts w:ascii="Arial" w:eastAsia="Times New Roman" w:hAnsi="Arial" w:cs="Arial"/>
            <w:sz w:val="20"/>
            <w:szCs w:val="20"/>
          </w:rPr>
          <w:delText>Animal microbiomes are often conceived of as having some compositions that are associated with health, and others that are dysbiotic or unhealthy. We sought to test whether this same microbiome beta-diversity framework could predict the extent to which healthy members of different coral taxa are vulnerable to disease. To do so,</w:delText>
        </w:r>
        <w:r w:rsidRPr="00961490" w:rsidDel="007141C2">
          <w:rPr>
            <w:rFonts w:ascii="Arial" w:eastAsia="Times New Roman" w:hAnsi="Arial" w:cs="Arial"/>
            <w:b/>
            <w:sz w:val="20"/>
            <w:szCs w:val="20"/>
          </w:rPr>
          <w:delText xml:space="preserve"> </w:delText>
        </w:r>
        <w:r w:rsidRPr="00961490" w:rsidDel="007141C2">
          <w:rPr>
            <w:rFonts w:ascii="Arial" w:eastAsia="Times New Roman" w:hAnsi="Arial" w:cs="Arial"/>
            <w:sz w:val="20"/>
            <w:szCs w:val="20"/>
          </w:rPr>
          <w:delText>we correlated coral disease susceptibility against the top three principal coordinate (PC) axes from Weighted and Unweighted UniFrac analyses of microbiome beta-diversity. In contrast to the strong association between microbiome dominance and disease, microbial community composition had less pronounced associations with disease susceptibility. Weighted UniFrac PC axis 3 only nominally significantly correlated with disease susceptibility in all compartments, but this relationship did not remain significant after accounting for multiple comparisons (PGLS: R</w:delText>
        </w:r>
        <w:r w:rsidRPr="00961490" w:rsidDel="007141C2">
          <w:rPr>
            <w:rFonts w:ascii="Arial" w:eastAsia="Times New Roman" w:hAnsi="Arial" w:cs="Arial"/>
            <w:sz w:val="20"/>
            <w:szCs w:val="20"/>
            <w:vertAlign w:val="superscript"/>
          </w:rPr>
          <w:delText xml:space="preserve">2 </w:delText>
        </w:r>
        <w:r w:rsidRPr="00961490" w:rsidDel="007141C2">
          <w:rPr>
            <w:rFonts w:ascii="Arial" w:eastAsia="Times New Roman" w:hAnsi="Arial" w:cs="Arial"/>
            <w:sz w:val="20"/>
            <w:szCs w:val="20"/>
          </w:rPr>
          <w:delText xml:space="preserve">= 0.26, p = 0.04, FDR q = 0.90; Supplementary Data Table 4).  </w:delText>
        </w:r>
      </w:del>
    </w:p>
    <w:p w14:paraId="27D86F5B" w14:textId="551CBB17" w:rsidR="00961490" w:rsidDel="007141C2" w:rsidRDefault="00961490" w:rsidP="00961490">
      <w:pPr>
        <w:keepNext/>
        <w:pBdr>
          <w:top w:val="nil"/>
          <w:left w:val="nil"/>
          <w:bottom w:val="nil"/>
          <w:right w:val="nil"/>
          <w:between w:val="nil"/>
        </w:pBdr>
        <w:spacing w:before="240" w:after="60"/>
        <w:rPr>
          <w:del w:id="53" w:author="Microsoft Office User" w:date="2023-07-10T11:42:00Z"/>
          <w:rFonts w:ascii="Arial" w:hAnsi="Arial" w:cs="Arial"/>
          <w:b/>
          <w:color w:val="000000"/>
          <w:sz w:val="20"/>
          <w:szCs w:val="20"/>
        </w:rPr>
      </w:pPr>
      <w:del w:id="54" w:author="Microsoft Office User" w:date="2023-07-10T11:42:00Z">
        <w:r w:rsidRPr="00961490" w:rsidDel="007141C2">
          <w:rPr>
            <w:rFonts w:ascii="Arial" w:eastAsia="Times New Roman" w:hAnsi="Arial" w:cs="Arial"/>
            <w:b/>
            <w:sz w:val="20"/>
            <w:szCs w:val="20"/>
          </w:rPr>
          <w:delText xml:space="preserve">Microbiome dominance vs. disease correlations are driven by γ-proteobacteria. </w:delText>
        </w:r>
        <w:r w:rsidRPr="00961490" w:rsidDel="007141C2">
          <w:rPr>
            <w:rFonts w:ascii="Arial" w:eastAsia="Times New Roman" w:hAnsi="Arial" w:cs="Arial"/>
            <w:sz w:val="20"/>
            <w:szCs w:val="20"/>
          </w:rPr>
          <w:delText xml:space="preserve">Ecological dominance itself seems an unlikely structural property to act as a mechanism of disease resistance. Therefore, we investigated if this high-level summary measure reflected the effects of some specific microbe or set of microbes. For example, disease susceptibility among </w:delText>
        </w:r>
        <w:r w:rsidRPr="00961490" w:rsidDel="007141C2">
          <w:rPr>
            <w:rFonts w:ascii="Arial" w:eastAsia="Times New Roman" w:hAnsi="Arial" w:cs="Arial"/>
            <w:i/>
            <w:sz w:val="20"/>
            <w:szCs w:val="20"/>
          </w:rPr>
          <w:delText xml:space="preserve">Acropora </w:delText>
        </w:r>
        <w:r w:rsidRPr="00961490" w:rsidDel="007141C2">
          <w:rPr>
            <w:rFonts w:ascii="Arial" w:eastAsia="Times New Roman" w:hAnsi="Arial" w:cs="Arial"/>
            <w:sz w:val="20"/>
            <w:szCs w:val="20"/>
          </w:rPr>
          <w:delText xml:space="preserve">has been shown to correlate with the abundance of </w:delText>
        </w:r>
        <w:r w:rsidRPr="00961490" w:rsidDel="007141C2">
          <w:rPr>
            <w:rFonts w:ascii="Arial" w:eastAsia="Times New Roman" w:hAnsi="Arial" w:cs="Arial"/>
            <w:i/>
            <w:sz w:val="20"/>
            <w:szCs w:val="20"/>
          </w:rPr>
          <w:delText xml:space="preserve">Rickettsiales </w:delText>
        </w:r>
        <w:r w:rsidRPr="00961490" w:rsidDel="007141C2">
          <w:rPr>
            <w:rFonts w:ascii="Arial" w:eastAsia="Times New Roman" w:hAnsi="Arial" w:cs="Arial"/>
            <w:sz w:val="20"/>
            <w:szCs w:val="20"/>
          </w:rPr>
          <w:delText xml:space="preserve">in coral tissues (34, 35). </w:delText>
        </w:r>
      </w:del>
    </w:p>
    <w:p w14:paraId="14F0261D" w14:textId="7C3DD267" w:rsidR="00961490" w:rsidDel="007141C2" w:rsidRDefault="00961490" w:rsidP="00961490">
      <w:pPr>
        <w:keepNext/>
        <w:pBdr>
          <w:top w:val="nil"/>
          <w:left w:val="nil"/>
          <w:bottom w:val="nil"/>
          <w:right w:val="nil"/>
          <w:between w:val="nil"/>
        </w:pBdr>
        <w:spacing w:before="240" w:after="60"/>
        <w:rPr>
          <w:del w:id="55" w:author="Microsoft Office User" w:date="2023-07-10T11:42:00Z"/>
          <w:rFonts w:ascii="Arial" w:hAnsi="Arial" w:cs="Arial"/>
          <w:b/>
          <w:color w:val="000000"/>
          <w:sz w:val="20"/>
          <w:szCs w:val="20"/>
        </w:rPr>
      </w:pPr>
      <w:del w:id="56" w:author="Microsoft Office User" w:date="2023-07-10T11:42:00Z">
        <w:r w:rsidRPr="00961490" w:rsidDel="007141C2">
          <w:rPr>
            <w:rFonts w:ascii="Arial" w:eastAsia="Times New Roman" w:hAnsi="Arial" w:cs="Arial"/>
            <w:sz w:val="20"/>
            <w:szCs w:val="20"/>
          </w:rPr>
          <w:delText xml:space="preserve">To test how shifts in the dominant class of microbes in coral tissue interacted with the dominance-disease correlation, we repeated our previous correlations twice: once in coral genera that are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-proteobacteria dominated, and once in coral genera that are γ-proteobacteria dominated. Both datasets were visualized with ancestral state reconstruction (</w:delText>
        </w:r>
        <w:r w:rsidR="00DB72A3" w:rsidDel="007141C2">
          <w:rPr>
            <w:rFonts w:ascii="Arial" w:eastAsia="Times New Roman" w:hAnsi="Arial" w:cs="Arial"/>
            <w:sz w:val="20"/>
            <w:szCs w:val="20"/>
          </w:rPr>
          <w:delText>Figs.</w:delText>
        </w:r>
        <w:r w:rsidRPr="00961490" w:rsidDel="007141C2">
          <w:rPr>
            <w:rFonts w:ascii="Arial" w:eastAsia="Times New Roman" w:hAnsi="Arial" w:cs="Arial"/>
            <w:sz w:val="20"/>
            <w:szCs w:val="20"/>
          </w:rPr>
          <w:delText xml:space="preserve"> </w:delText>
        </w:r>
        <w:r w:rsidR="00DB72A3" w:rsidDel="007141C2">
          <w:rPr>
            <w:rFonts w:ascii="Arial" w:eastAsia="Times New Roman" w:hAnsi="Arial" w:cs="Arial"/>
            <w:sz w:val="20"/>
            <w:szCs w:val="20"/>
          </w:rPr>
          <w:delText>S</w:delText>
        </w:r>
        <w:r w:rsidRPr="00961490" w:rsidDel="007141C2">
          <w:rPr>
            <w:rFonts w:ascii="Arial" w:eastAsia="Times New Roman" w:hAnsi="Arial" w:cs="Arial"/>
            <w:sz w:val="20"/>
            <w:szCs w:val="20"/>
          </w:rPr>
          <w:delText>2</w:delText>
        </w:r>
        <w:r w:rsidR="00DB72A3" w:rsidDel="007141C2">
          <w:rPr>
            <w:rFonts w:ascii="Arial" w:eastAsia="Times New Roman" w:hAnsi="Arial" w:cs="Arial"/>
            <w:sz w:val="20"/>
            <w:szCs w:val="20"/>
          </w:rPr>
          <w:delText>A, B</w:delText>
        </w:r>
        <w:r w:rsidRPr="00961490" w:rsidDel="007141C2">
          <w:rPr>
            <w:rFonts w:ascii="Arial" w:eastAsia="Times New Roman" w:hAnsi="Arial" w:cs="Arial"/>
            <w:sz w:val="20"/>
            <w:szCs w:val="20"/>
          </w:rPr>
          <w:delText>). Correlations between microbiome dominance and disease were visually apparent only in reconstructions of the γ-proteobacteria dominated corals, and the dominance-disease correlation was far stronger in γ-proteobacteria dominated corals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0.50, p = 0.0001, FDR q =0.003; Supplementary Data Table 3c), where dominance explained most (50%) of the variation in disease susceptibility. In contrast,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-proteobacteria dominated tissue microbiomes showed no discernable dominance-disease correlations either visually or statistically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0.06, p = 0.31, FDR q = 0.81; Supplementary Data Table 3c). This suggested that overall dominance-disease correlations are unlikely to be driven by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but may be driven by γ-proteobacteria or specific taxa within this bacterial class. Critically, nothing about these results contradicts the possibility that some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are coral pathogens, parasites, or opportunists (36). It merely suggests that in healthy corals, dominance by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does not predict the overall level of disease susceptibility of coral genera, whereas dominance by one or more γ-proteobacteria does. </w:delText>
        </w:r>
      </w:del>
    </w:p>
    <w:p w14:paraId="01CC4190" w14:textId="2CFF2670" w:rsidR="00961490" w:rsidDel="007141C2" w:rsidRDefault="00961490" w:rsidP="007141C2">
      <w:pPr>
        <w:keepNext/>
        <w:pBdr>
          <w:top w:val="nil"/>
          <w:left w:val="nil"/>
          <w:bottom w:val="nil"/>
          <w:right w:val="nil"/>
          <w:between w:val="nil"/>
        </w:pBdr>
        <w:spacing w:before="240" w:after="60"/>
        <w:rPr>
          <w:del w:id="57" w:author="Microsoft Office User" w:date="2023-07-10T12:13:00Z"/>
          <w:rFonts w:ascii="Arial" w:eastAsia="Times New Roman" w:hAnsi="Arial" w:cs="Arial"/>
          <w:bCs/>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forms prominent aggregates known as CAMAs (coral associated microbial aggregates) in coral tissue (31).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common, it frequently decreases in relative abundance during coral bleaching or disease (37), suggesting a commensal or mutualistic rather than opportunistic relationship with host health. Further, it has previously been observed that the family </w:t>
      </w:r>
      <w:r w:rsidRPr="00C059B3">
        <w:rPr>
          <w:rFonts w:ascii="Arial" w:eastAsia="Times New Roman" w:hAnsi="Arial" w:cs="Arial"/>
          <w:iCs/>
          <w:sz w:val="20"/>
          <w:szCs w:val="20"/>
        </w:rPr>
        <w:t>Endozoicomonadaceae</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cophylogeny with coral hosts among tested bacterial families in coral tissue (16).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ins w:id="58" w:author="Microsoft Office User" w:date="2023-07-10T12:12:00Z">
        <w:r w:rsidR="007141C2">
          <w:rPr>
            <w:rFonts w:ascii="Arial" w:eastAsia="Times New Roman" w:hAnsi="Arial" w:cs="Arial"/>
            <w:sz w:val="20"/>
            <w:szCs w:val="20"/>
          </w:rPr>
          <w:t xml:space="preserve"> (regardless of whether </w:t>
        </w:r>
        <w:r w:rsidR="007141C2" w:rsidRPr="007141C2">
          <w:rPr>
            <w:rFonts w:ascii="Arial" w:eastAsia="Times New Roman" w:hAnsi="Arial" w:cs="Arial"/>
            <w:i/>
            <w:iCs/>
            <w:sz w:val="20"/>
            <w:szCs w:val="20"/>
            <w:rPrChange w:id="59" w:author="Microsoft Office User" w:date="2023-07-10T12:12:00Z">
              <w:rPr>
                <w:rFonts w:ascii="Arial" w:eastAsia="Times New Roman" w:hAnsi="Arial" w:cs="Arial"/>
                <w:sz w:val="20"/>
                <w:szCs w:val="20"/>
              </w:rPr>
            </w:rPrChange>
          </w:rPr>
          <w:t>Endozoicomonas</w:t>
        </w:r>
        <w:r w:rsidR="007141C2">
          <w:rPr>
            <w:rFonts w:ascii="Arial" w:eastAsia="Times New Roman" w:hAnsi="Arial" w:cs="Arial"/>
            <w:sz w:val="20"/>
            <w:szCs w:val="20"/>
          </w:rPr>
          <w:t xml:space="preserve"> was present and/or dominan</w:t>
        </w:r>
      </w:ins>
      <w:ins w:id="60" w:author="Microsoft Office User" w:date="2023-07-10T12:18:00Z">
        <w:r w:rsidR="007141C2">
          <w:rPr>
            <w:rFonts w:ascii="Arial" w:eastAsia="Times New Roman" w:hAnsi="Arial" w:cs="Arial"/>
            <w:sz w:val="20"/>
            <w:szCs w:val="20"/>
          </w:rPr>
          <w:t>; n = 40 genera</w:t>
        </w:r>
      </w:ins>
      <w:ins w:id="61" w:author="Microsoft Office User" w:date="2023-07-10T12:12:00Z">
        <w:r w:rsidR="007141C2">
          <w:rPr>
            <w:rFonts w:ascii="Arial" w:eastAsia="Times New Roman" w:hAnsi="Arial" w:cs="Arial"/>
            <w:sz w:val="20"/>
            <w:szCs w:val="20"/>
          </w:rPr>
          <w:t>)</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5a).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5a), exceeding the signal from ecological dominance. </w:t>
      </w:r>
      <w:ins w:id="62" w:author="Microsoft Office User" w:date="2023-07-10T12:19:00Z">
        <w:r w:rsidR="007141C2" w:rsidRPr="00961490">
          <w:rPr>
            <w:rFonts w:ascii="Arial" w:eastAsia="Times New Roman" w:hAnsi="Arial" w:cs="Arial"/>
            <w:sz w:val="20"/>
            <w:szCs w:val="20"/>
          </w:rPr>
          <w:t xml:space="preserve">. </w:t>
        </w:r>
        <w:r w:rsidR="007141C2">
          <w:rPr>
            <w:rFonts w:ascii="Arial" w:eastAsia="Times New Roman" w:hAnsi="Arial" w:cs="Arial"/>
            <w:b/>
            <w:sz w:val="20"/>
            <w:szCs w:val="20"/>
          </w:rPr>
          <w:t xml:space="preserve"> </w:t>
        </w:r>
        <w:r w:rsidR="007141C2">
          <w:rPr>
            <w:rFonts w:ascii="Arial" w:eastAsia="Times New Roman" w:hAnsi="Arial" w:cs="Arial"/>
            <w:bCs/>
            <w:sz w:val="20"/>
            <w:szCs w:val="20"/>
          </w:rPr>
          <w:t>Neither commonly opportunistic microbes in corals, nor other dominant microbes showed similar patterns (Supplementary Information).</w:t>
        </w:r>
        <w:r w:rsidR="007141C2">
          <w:rPr>
            <w:rFonts w:ascii="Arial" w:eastAsia="Times New Roman" w:hAnsi="Arial" w:cs="Arial"/>
            <w:bCs/>
            <w:sz w:val="20"/>
            <w:szCs w:val="20"/>
          </w:rPr>
          <w:t xml:space="preserve"> </w:t>
        </w:r>
      </w:ins>
      <w:r w:rsidRPr="00961490">
        <w:rPr>
          <w:rFonts w:ascii="Arial" w:eastAsia="Times New Roman" w:hAnsi="Arial" w:cs="Arial"/>
          <w:sz w:val="20"/>
          <w:szCs w:val="20"/>
        </w:rPr>
        <w:t xml:space="preserve">Thus, </w:t>
      </w:r>
      <w:ins w:id="63" w:author="Microsoft Office User" w:date="2023-07-10T12:13:00Z">
        <w:r w:rsidR="007141C2">
          <w:rPr>
            <w:rFonts w:ascii="Arial" w:eastAsia="Times New Roman" w:hAnsi="Arial" w:cs="Arial"/>
            <w:sz w:val="20"/>
            <w:szCs w:val="20"/>
          </w:rPr>
          <w:t xml:space="preserve">our </w:t>
        </w:r>
      </w:ins>
      <w:r w:rsidRPr="00961490">
        <w:rPr>
          <w:rFonts w:ascii="Arial" w:eastAsia="Times New Roman" w:hAnsi="Arial" w:cs="Arial"/>
          <w:sz w:val="20"/>
          <w:szCs w:val="20"/>
        </w:rPr>
        <w:t xml:space="preserve">prior results linking </w:t>
      </w:r>
      <w:r w:rsidRPr="00961490">
        <w:rPr>
          <w:rFonts w:ascii="Arial" w:eastAsia="Times New Roman" w:hAnsi="Arial" w:cs="Arial"/>
          <w:sz w:val="20"/>
          <w:szCs w:val="20"/>
        </w:rPr>
        <w:lastRenderedPageBreak/>
        <w:t xml:space="preserve">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del w:id="64" w:author="Microsoft Office User" w:date="2023-07-10T12:19:00Z">
        <w:r w:rsidRPr="00961490" w:rsidDel="007141C2">
          <w:rPr>
            <w:rFonts w:ascii="Arial" w:eastAsia="Times New Roman" w:hAnsi="Arial" w:cs="Arial"/>
            <w:sz w:val="20"/>
            <w:szCs w:val="20"/>
          </w:rPr>
          <w:delText xml:space="preserve">. </w:delText>
        </w:r>
      </w:del>
    </w:p>
    <w:p w14:paraId="30F6DCDD" w14:textId="77777777" w:rsidR="007141C2" w:rsidRPr="007141C2" w:rsidRDefault="007141C2" w:rsidP="007141C2">
      <w:pPr>
        <w:keepNext/>
        <w:pBdr>
          <w:top w:val="nil"/>
          <w:left w:val="nil"/>
          <w:bottom w:val="nil"/>
          <w:right w:val="nil"/>
          <w:between w:val="nil"/>
        </w:pBdr>
        <w:spacing w:before="240" w:after="60"/>
        <w:rPr>
          <w:ins w:id="65" w:author="Microsoft Office User" w:date="2023-07-10T12:15:00Z"/>
          <w:rFonts w:ascii="Arial" w:eastAsia="Times New Roman" w:hAnsi="Arial" w:cs="Arial"/>
          <w:bCs/>
          <w:sz w:val="20"/>
          <w:szCs w:val="20"/>
          <w:rPrChange w:id="66" w:author="Microsoft Office User" w:date="2023-07-10T12:13:00Z">
            <w:rPr>
              <w:ins w:id="67" w:author="Microsoft Office User" w:date="2023-07-10T12:15:00Z"/>
              <w:rFonts w:ascii="Arial" w:eastAsia="Times New Roman" w:hAnsi="Arial" w:cs="Arial"/>
              <w:b/>
              <w:sz w:val="20"/>
              <w:szCs w:val="20"/>
            </w:rPr>
          </w:rPrChange>
        </w:rPr>
      </w:pPr>
    </w:p>
    <w:p w14:paraId="7ECBE559" w14:textId="144B8C5E" w:rsidR="00961490" w:rsidRPr="00961490" w:rsidDel="007141C2" w:rsidRDefault="00961490" w:rsidP="007141C2">
      <w:pPr>
        <w:keepNext/>
        <w:pBdr>
          <w:top w:val="nil"/>
          <w:left w:val="nil"/>
          <w:bottom w:val="nil"/>
          <w:right w:val="nil"/>
          <w:between w:val="nil"/>
        </w:pBdr>
        <w:spacing w:before="240" w:after="60"/>
        <w:rPr>
          <w:del w:id="68" w:author="Microsoft Office User" w:date="2023-07-10T11:41:00Z"/>
          <w:rFonts w:ascii="Arial" w:hAnsi="Arial" w:cs="Arial"/>
          <w:b/>
          <w:color w:val="000000"/>
          <w:sz w:val="20"/>
          <w:szCs w:val="20"/>
        </w:rPr>
        <w:pPrChange w:id="69" w:author="Microsoft Office User" w:date="2023-07-10T12:14:00Z">
          <w:pPr>
            <w:keepNext/>
            <w:pBdr>
              <w:top w:val="nil"/>
              <w:left w:val="nil"/>
              <w:bottom w:val="nil"/>
              <w:right w:val="nil"/>
              <w:between w:val="nil"/>
            </w:pBdr>
            <w:spacing w:before="240" w:after="60"/>
          </w:pPr>
        </w:pPrChange>
      </w:pPr>
      <w:del w:id="70" w:author="Microsoft Office User" w:date="2023-07-10T11:41:00Z">
        <w:r w:rsidRPr="00961490" w:rsidDel="007141C2">
          <w:rPr>
            <w:rFonts w:ascii="Arial" w:eastAsia="Times New Roman" w:hAnsi="Arial" w:cs="Arial"/>
            <w:b/>
            <w:sz w:val="20"/>
            <w:szCs w:val="20"/>
          </w:rPr>
          <w:delText xml:space="preserve">Coral opportunist abundance in healthy corals does not predict genus-wide disease susceptibility. </w:delText>
        </w:r>
        <w:r w:rsidRPr="00961490" w:rsidDel="007141C2">
          <w:rPr>
            <w:rFonts w:ascii="Arial" w:eastAsia="Times New Roman" w:hAnsi="Arial" w:cs="Arial"/>
            <w:sz w:val="20"/>
            <w:szCs w:val="20"/>
          </w:rPr>
          <w:delText xml:space="preserve">Correlations between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and disease across the coral tree were initially surprising, as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is not thought to be associated with coral pathogenesis. This raised the question of whether the abundance of known or suspected coral pathogens in apparently healthy corals correlates with cross-genus differences in disease susceptibility. </w:delText>
        </w:r>
      </w:del>
    </w:p>
    <w:p w14:paraId="70669AB0" w14:textId="61CF8A15" w:rsidR="00961490" w:rsidRPr="00961490" w:rsidDel="007141C2" w:rsidRDefault="00961490" w:rsidP="007141C2">
      <w:pPr>
        <w:keepNext/>
        <w:pBdr>
          <w:top w:val="nil"/>
          <w:left w:val="nil"/>
          <w:bottom w:val="nil"/>
          <w:right w:val="nil"/>
          <w:between w:val="nil"/>
        </w:pBdr>
        <w:spacing w:before="240" w:after="60"/>
        <w:rPr>
          <w:del w:id="71" w:author="Microsoft Office User" w:date="2023-07-10T11:41:00Z"/>
          <w:rFonts w:ascii="Arial" w:eastAsia="Times New Roman" w:hAnsi="Arial" w:cs="Arial"/>
          <w:sz w:val="20"/>
          <w:szCs w:val="20"/>
        </w:rPr>
        <w:pPrChange w:id="72" w:author="Microsoft Office User" w:date="2023-07-10T12:14:00Z">
          <w:pPr/>
        </w:pPrChange>
      </w:pPr>
      <w:del w:id="73" w:author="Microsoft Office User" w:date="2023-07-10T11:41:00Z">
        <w:r w:rsidRPr="00961490" w:rsidDel="007141C2">
          <w:rPr>
            <w:rFonts w:ascii="Arial" w:eastAsia="Times New Roman" w:hAnsi="Arial" w:cs="Arial"/>
            <w:sz w:val="20"/>
            <w:szCs w:val="20"/>
          </w:rPr>
          <w:delText xml:space="preserve">The abundance of bacterial groups containing prominent putative bacterial pathogens (such as </w:delText>
        </w:r>
        <w:r w:rsidRPr="00961490" w:rsidDel="007141C2">
          <w:rPr>
            <w:rFonts w:ascii="Arial" w:eastAsia="Times New Roman" w:hAnsi="Arial" w:cs="Arial"/>
            <w:i/>
            <w:sz w:val="20"/>
            <w:szCs w:val="20"/>
          </w:rPr>
          <w:delText xml:space="preserve">Vibrionales, Nostocales </w:delText>
        </w:r>
        <w:r w:rsidRPr="00961490" w:rsidDel="007141C2">
          <w:rPr>
            <w:rFonts w:ascii="Arial" w:eastAsia="Times New Roman" w:hAnsi="Arial" w:cs="Arial"/>
            <w:sz w:val="20"/>
            <w:szCs w:val="20"/>
          </w:rPr>
          <w:delText xml:space="preserve">or </w:delText>
        </w:r>
        <w:r w:rsidRPr="00961490" w:rsidDel="007141C2">
          <w:rPr>
            <w:rFonts w:ascii="Arial" w:eastAsia="Times New Roman" w:hAnsi="Arial" w:cs="Arial"/>
            <w:i/>
            <w:sz w:val="20"/>
            <w:szCs w:val="20"/>
          </w:rPr>
          <w:delText>Rickettsiales</w:delText>
        </w:r>
        <w:r w:rsidRPr="00961490" w:rsidDel="007141C2">
          <w:rPr>
            <w:rFonts w:ascii="Arial" w:eastAsia="Times New Roman" w:hAnsi="Arial" w:cs="Arial"/>
            <w:sz w:val="20"/>
            <w:szCs w:val="20"/>
          </w:rPr>
          <w:delText xml:space="preserve">, see (38)) in healthy corals did not show any correlation with disease susceptibility among coral species when tested (Supplementary Data Table 6). Thus, having high abundances of coral opportunists when healthy does not seem to be a hallmark of disease-susceptible corals. This is mostly expected since the abundance of pathogens typically only increases during stress. These observations in healthy corals leave open the question of what about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causes it to be so strongly correlated with coral disease susceptibility.</w:delText>
        </w:r>
      </w:del>
    </w:p>
    <w:p w14:paraId="43D7A13C" w14:textId="640104C8" w:rsidR="00961490" w:rsidRPr="00961490" w:rsidDel="007141C2" w:rsidRDefault="00961490" w:rsidP="007141C2">
      <w:pPr>
        <w:keepNext/>
        <w:pBdr>
          <w:top w:val="nil"/>
          <w:left w:val="nil"/>
          <w:bottom w:val="nil"/>
          <w:right w:val="nil"/>
          <w:between w:val="nil"/>
        </w:pBdr>
        <w:spacing w:before="240" w:after="60"/>
        <w:rPr>
          <w:del w:id="74" w:author="Microsoft Office User" w:date="2023-07-10T11:41:00Z"/>
          <w:rFonts w:ascii="Arial" w:eastAsia="Times New Roman" w:hAnsi="Arial" w:cs="Arial"/>
          <w:sz w:val="20"/>
          <w:szCs w:val="20"/>
        </w:rPr>
        <w:pPrChange w:id="75" w:author="Microsoft Office User" w:date="2023-07-10T12:14:00Z">
          <w:pPr/>
        </w:pPrChange>
      </w:pPr>
      <w:del w:id="76" w:author="Microsoft Office User" w:date="2023-07-10T11:41:00Z">
        <w:r w:rsidRPr="00961490" w:rsidDel="007141C2">
          <w:rPr>
            <w:rFonts w:ascii="Arial" w:eastAsia="Times New Roman" w:hAnsi="Arial" w:cs="Arial"/>
            <w:b/>
            <w:sz w:val="20"/>
            <w:szCs w:val="20"/>
          </w:rPr>
          <w:delText xml:space="preserve">Testing for other associations between dominant microbes and disease. </w:delText>
        </w:r>
        <w:r w:rsidRPr="00961490" w:rsidDel="007141C2">
          <w:rPr>
            <w:rFonts w:ascii="Arial" w:eastAsia="Times New Roman" w:hAnsi="Arial" w:cs="Arial"/>
            <w:sz w:val="20"/>
            <w:szCs w:val="20"/>
          </w:rPr>
          <w:delText xml:space="preserve">After testing </w:delText>
        </w:r>
        <w:r w:rsidRPr="00961490" w:rsidDel="007141C2">
          <w:rPr>
            <w:rFonts w:ascii="Arial" w:eastAsia="Times New Roman" w:hAnsi="Arial" w:cs="Arial"/>
            <w:i/>
            <w:sz w:val="20"/>
            <w:szCs w:val="20"/>
          </w:rPr>
          <w:delText xml:space="preserve">Endozoicomonas - </w:delText>
        </w:r>
        <w:r w:rsidRPr="00961490" w:rsidDel="007141C2">
          <w:rPr>
            <w:rFonts w:ascii="Arial" w:eastAsia="Times New Roman" w:hAnsi="Arial" w:cs="Arial"/>
            <w:sz w:val="20"/>
            <w:szCs w:val="20"/>
          </w:rPr>
          <w:delText>disease associations as a prior hypothesis, we also sought to put these associations in context by testing for correlations with disease in all other dominant microbial genera found in the study (Fig</w:delText>
        </w:r>
        <w:r w:rsidR="00DB72A3" w:rsidDel="007141C2">
          <w:rPr>
            <w:rFonts w:ascii="Arial" w:eastAsia="Times New Roman" w:hAnsi="Arial" w:cs="Arial"/>
            <w:sz w:val="20"/>
            <w:szCs w:val="20"/>
          </w:rPr>
          <w:delText xml:space="preserve">. </w:delText>
        </w:r>
        <w:r w:rsidRPr="00961490" w:rsidDel="007141C2">
          <w:rPr>
            <w:rFonts w:ascii="Arial" w:eastAsia="Times New Roman" w:hAnsi="Arial" w:cs="Arial"/>
            <w:sz w:val="20"/>
            <w:szCs w:val="20"/>
          </w:rPr>
          <w:delText xml:space="preserve">2C; Supplementary Data Table 7a). This scan confirmed that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showed far stronger correlations with disease than other microbes in tissue, mucus, and all compartments together. One additional dominant genus in coral skeleton, </w:delText>
        </w:r>
        <w:r w:rsidRPr="00961490" w:rsidDel="007141C2">
          <w:rPr>
            <w:rFonts w:ascii="Arial" w:eastAsia="Times New Roman" w:hAnsi="Arial" w:cs="Arial"/>
            <w:i/>
            <w:sz w:val="20"/>
            <w:szCs w:val="20"/>
          </w:rPr>
          <w:delText>Paramaledivibacter</w:delText>
        </w:r>
        <w:r w:rsidRPr="00961490" w:rsidDel="007141C2">
          <w:rPr>
            <w:rFonts w:ascii="Arial" w:eastAsia="Times New Roman" w:hAnsi="Arial" w:cs="Arial"/>
            <w:sz w:val="20"/>
            <w:szCs w:val="20"/>
          </w:rPr>
          <w:delText xml:space="preserve"> (Phylum Firmicutes/Bacillota), also correlated with disease susceptibility, though this correlation was only nominally significant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0.13, p = 0.018, FDR q = 0.282;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2C).</w:delText>
        </w:r>
      </w:del>
    </w:p>
    <w:p w14:paraId="475669CC" w14:textId="79ED7D22" w:rsidR="00961490" w:rsidRPr="00961490" w:rsidDel="007141C2" w:rsidRDefault="00961490" w:rsidP="007141C2">
      <w:pPr>
        <w:keepNext/>
        <w:pBdr>
          <w:top w:val="nil"/>
          <w:left w:val="nil"/>
          <w:bottom w:val="nil"/>
          <w:right w:val="nil"/>
          <w:between w:val="nil"/>
        </w:pBdr>
        <w:spacing w:before="240" w:after="60"/>
        <w:rPr>
          <w:del w:id="77" w:author="Microsoft Office User" w:date="2023-07-10T11:41:00Z"/>
          <w:rFonts w:ascii="Arial" w:eastAsia="Times New Roman" w:hAnsi="Arial" w:cs="Arial"/>
          <w:sz w:val="20"/>
          <w:szCs w:val="20"/>
        </w:rPr>
        <w:pPrChange w:id="78" w:author="Microsoft Office User" w:date="2023-07-10T12:14:00Z">
          <w:pPr/>
        </w:pPrChange>
      </w:pPr>
      <w:del w:id="79" w:author="Microsoft Office User" w:date="2023-07-10T11:41:00Z">
        <w:r w:rsidRPr="00961490" w:rsidDel="007141C2">
          <w:rPr>
            <w:rFonts w:ascii="Arial" w:eastAsia="Times New Roman" w:hAnsi="Arial" w:cs="Arial"/>
            <w:sz w:val="20"/>
            <w:szCs w:val="20"/>
          </w:rPr>
          <w:delText>We also reran this analysis with all zero relative abundance counts excluded (Supplementary Data Table 7b) to assess whether changes in the abundance of dominant microbes, once they were already present, showed the same or different patterns as the overall analysis. The abundance of Endozoicomonas overall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0.28, p = 0.0005, FDR q = 0.01), in mucus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0.42, p = 0.00008, FDR q = 0.004), or in tissue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0.35, p = 0.0001, FDR q = 0.004) again showed significant associations with disease, while its abundance in skeleton did not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0.04, p = 0.23, FDR q = 0.95). No other lineages showed significant associations with disease after correction for multiple comparisons. Thus, even considering only coral genera that host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the relative abundance of this microbe correlates with disease susceptibility.</w:delText>
        </w:r>
      </w:del>
    </w:p>
    <w:p w14:paraId="08CA29F6" w14:textId="77777777" w:rsidR="007141C2" w:rsidRDefault="007141C2" w:rsidP="007141C2">
      <w:pPr>
        <w:keepNext/>
        <w:pBdr>
          <w:top w:val="nil"/>
          <w:left w:val="nil"/>
          <w:bottom w:val="nil"/>
          <w:right w:val="nil"/>
          <w:between w:val="nil"/>
        </w:pBdr>
        <w:spacing w:before="240" w:after="60"/>
        <w:rPr>
          <w:ins w:id="80" w:author="Microsoft Office User" w:date="2023-07-10T11:42:00Z"/>
          <w:rFonts w:ascii="Arial" w:eastAsia="Times New Roman" w:hAnsi="Arial" w:cs="Arial"/>
          <w:b/>
          <w:i/>
          <w:sz w:val="20"/>
          <w:szCs w:val="20"/>
        </w:rPr>
        <w:pPrChange w:id="81" w:author="Microsoft Office User" w:date="2023-07-10T12:14:00Z">
          <w:pPr/>
        </w:pPrChange>
      </w:pPr>
    </w:p>
    <w:p w14:paraId="12110220" w14:textId="5D5108C4"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linked to metabolic benefits to the coral host (39, 40) and experimental studies have shown that decreases in its abundance is typical with disease (41, 42) or other health stressors such as bleaching (37).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6682032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 (43),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or alternatively on its relative abundance. Using data from the Coral Trait Database (CTDB; (28))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1FE9223F" w:rsidR="007141C2" w:rsidRDefault="00961490" w:rsidP="007141C2">
      <w:pPr>
        <w:rPr>
          <w:ins w:id="82" w:author="Microsoft Office User" w:date="2023-07-10T12:34:00Z"/>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ins w:id="83" w:author="Microsoft Office User" w:date="2023-07-10T12:30:00Z">
        <w:r w:rsidR="007141C2">
          <w:rPr>
            <w:rFonts w:ascii="Arial" w:eastAsia="Times New Roman" w:hAnsi="Arial" w:cs="Arial"/>
            <w:sz w:val="20"/>
            <w:szCs w:val="20"/>
          </w:rPr>
          <w:t xml:space="preserve">Unlike for disease susceptibility, several additional microbes </w:t>
        </w:r>
      </w:ins>
      <w:ins w:id="84" w:author="Microsoft Office User" w:date="2023-07-10T12:31:00Z">
        <w:r w:rsidR="007141C2">
          <w:rPr>
            <w:rFonts w:ascii="Arial" w:eastAsia="Times New Roman" w:hAnsi="Arial" w:cs="Arial"/>
            <w:sz w:val="20"/>
            <w:szCs w:val="20"/>
          </w:rPr>
          <w:t>showed anatomically-specific correlations with the growth rate of their coral hosts, including</w:t>
        </w:r>
      </w:ins>
      <w:ins w:id="85" w:author="Microsoft Office User" w:date="2023-07-10T12:32:00Z">
        <w:r w:rsidR="007141C2">
          <w:rPr>
            <w:rFonts w:ascii="Arial" w:eastAsia="Times New Roman" w:hAnsi="Arial" w:cs="Arial"/>
            <w:sz w:val="20"/>
            <w:szCs w:val="20"/>
          </w:rPr>
          <w:t xml:space="preserve"> strong</w:t>
        </w:r>
      </w:ins>
      <w:ins w:id="86" w:author="Microsoft Office User" w:date="2023-07-10T12:31:00Z">
        <w:r w:rsidR="007141C2">
          <w:rPr>
            <w:rFonts w:ascii="Arial" w:eastAsia="Times New Roman" w:hAnsi="Arial" w:cs="Arial"/>
            <w:sz w:val="20"/>
            <w:szCs w:val="20"/>
          </w:rPr>
          <w:t xml:space="preserve"> positive </w:t>
        </w:r>
      </w:ins>
      <w:ins w:id="87" w:author="Microsoft Office User" w:date="2023-07-10T12:32:00Z">
        <w:r w:rsidR="007141C2">
          <w:rPr>
            <w:rFonts w:ascii="Arial" w:eastAsia="Times New Roman" w:hAnsi="Arial" w:cs="Arial"/>
            <w:sz w:val="20"/>
            <w:szCs w:val="20"/>
          </w:rPr>
          <w:t xml:space="preserve">correlations between growth and uncultured Rhodobacteria in family </w:t>
        </w:r>
      </w:ins>
      <w:ins w:id="88" w:author="Microsoft Office User" w:date="2023-07-10T12:33:00Z">
        <w:r w:rsidR="007141C2">
          <w:rPr>
            <w:rFonts w:ascii="Arial" w:eastAsia="Times New Roman" w:hAnsi="Arial" w:cs="Arial"/>
            <w:sz w:val="20"/>
            <w:szCs w:val="20"/>
          </w:rPr>
          <w:t>Terasakiellaceae (phylum: Proteobacteria)</w:t>
        </w:r>
        <w:r w:rsidR="007141C2">
          <w:rPr>
            <w:rFonts w:ascii="Arial" w:eastAsia="Times New Roman" w:hAnsi="Arial" w:cs="Arial"/>
            <w:sz w:val="20"/>
            <w:szCs w:val="20"/>
          </w:rPr>
          <w:t xml:space="preserve"> and negative correlations between growth</w:t>
        </w:r>
      </w:ins>
      <w:ins w:id="89" w:author="Microsoft Office User" w:date="2023-07-10T12:36:00Z">
        <w:r w:rsidR="007141C2">
          <w:rPr>
            <w:rFonts w:ascii="Arial" w:eastAsia="Times New Roman" w:hAnsi="Arial" w:cs="Arial"/>
            <w:sz w:val="20"/>
            <w:szCs w:val="20"/>
          </w:rPr>
          <w:t xml:space="preserve"> rate</w:t>
        </w:r>
      </w:ins>
      <w:ins w:id="90" w:author="Microsoft Office User" w:date="2023-07-10T12:33:00Z">
        <w:r w:rsidR="007141C2">
          <w:rPr>
            <w:rFonts w:ascii="Arial" w:eastAsia="Times New Roman" w:hAnsi="Arial" w:cs="Arial"/>
            <w:sz w:val="20"/>
            <w:szCs w:val="20"/>
          </w:rPr>
          <w:t xml:space="preserve"> and the archaeal genus </w:t>
        </w:r>
        <w:r w:rsidR="007141C2">
          <w:rPr>
            <w:rFonts w:ascii="Arial" w:eastAsia="Times New Roman" w:hAnsi="Arial" w:cs="Arial"/>
            <w:i/>
            <w:iCs/>
            <w:sz w:val="20"/>
            <w:szCs w:val="20"/>
          </w:rPr>
          <w:t>Nitrosopumilis</w:t>
        </w:r>
      </w:ins>
      <w:ins w:id="91" w:author="Microsoft Office User" w:date="2023-07-10T12:35:00Z">
        <w:r w:rsidR="007141C2">
          <w:rPr>
            <w:rFonts w:ascii="Arial" w:eastAsia="Times New Roman" w:hAnsi="Arial" w:cs="Arial"/>
            <w:i/>
            <w:iCs/>
            <w:sz w:val="20"/>
            <w:szCs w:val="20"/>
          </w:rPr>
          <w:t xml:space="preserve"> </w:t>
        </w:r>
        <w:r w:rsidR="007141C2">
          <w:rPr>
            <w:rFonts w:ascii="Arial" w:eastAsia="Times New Roman" w:hAnsi="Arial" w:cs="Arial"/>
            <w:sz w:val="20"/>
            <w:szCs w:val="20"/>
          </w:rPr>
          <w:t>(Supplementary Information)</w:t>
        </w:r>
      </w:ins>
      <w:ins w:id="92" w:author="Microsoft Office User" w:date="2023-07-10T12:33:00Z">
        <w:r w:rsidR="007141C2">
          <w:rPr>
            <w:rFonts w:ascii="Arial" w:eastAsia="Times New Roman" w:hAnsi="Arial" w:cs="Arial"/>
            <w:i/>
            <w:iCs/>
            <w:sz w:val="20"/>
            <w:szCs w:val="20"/>
          </w:rPr>
          <w:t xml:space="preserve">. </w:t>
        </w:r>
      </w:ins>
      <w:ins w:id="93" w:author="Microsoft Office User" w:date="2023-07-10T12:34:00Z">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ins>
    </w:p>
    <w:p w14:paraId="63CAF280" w14:textId="08673E77"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ins w:id="94" w:author="Microsoft Office User" w:date="2023-07-10T12:34:00Z">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ins>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ins w:id="95" w:author="Microsoft Office User" w:date="2023-07-10T12:34:00Z">
        <w:r w:rsidR="007141C2">
          <w:rPr>
            <w:rFonts w:ascii="Arial" w:eastAsia="Times New Roman" w:hAnsi="Arial" w:cs="Arial"/>
            <w:sz w:val="20"/>
            <w:szCs w:val="20"/>
          </w:rPr>
          <w:t xml:space="preserve"> Overall, </w:t>
        </w:r>
      </w:ins>
      <w:del w:id="96" w:author="Microsoft Office User" w:date="2023-07-10T12:34:00Z">
        <w:r w:rsidRPr="00961490" w:rsidDel="007141C2">
          <w:rPr>
            <w:rFonts w:ascii="Arial" w:eastAsia="Times New Roman" w:hAnsi="Arial" w:cs="Arial"/>
            <w:sz w:val="20"/>
            <w:szCs w:val="20"/>
          </w:rPr>
          <w:delText xml:space="preserve">Thus, </w:delText>
        </w:r>
      </w:del>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213DEDB8" w14:textId="32D545F8" w:rsidR="001E011D" w:rsidDel="007141C2" w:rsidRDefault="001E011D" w:rsidP="001E011D">
      <w:pPr>
        <w:rPr>
          <w:del w:id="97" w:author="Microsoft Office User" w:date="2023-07-10T11:44:00Z"/>
          <w:rFonts w:ascii="Arial" w:eastAsia="Times New Roman" w:hAnsi="Arial" w:cs="Arial"/>
          <w:sz w:val="20"/>
          <w:szCs w:val="20"/>
        </w:rPr>
      </w:pPr>
      <w:del w:id="98" w:author="Microsoft Office User" w:date="2023-07-10T11:44:00Z">
        <w:r w:rsidDel="007141C2">
          <w:rPr>
            <w:rFonts w:ascii="Arial" w:eastAsia="Times New Roman" w:hAnsi="Arial" w:cs="Arial"/>
            <w:b/>
            <w:bCs/>
            <w:sz w:val="20"/>
            <w:szCs w:val="20"/>
          </w:rPr>
          <w:delText xml:space="preserve">Other microbes associated with growth rate. </w:delText>
        </w:r>
        <w:r w:rsidDel="007141C2">
          <w:rPr>
            <w:rFonts w:ascii="Arial" w:eastAsia="Times New Roman" w:hAnsi="Arial" w:cs="Arial"/>
            <w:sz w:val="20"/>
            <w:szCs w:val="20"/>
          </w:rPr>
          <w:delText xml:space="preserve">We sought to contextualize our results on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and growth rate by examining whether other dominant microbes had similar associations with changes in coral growth rate over evolution (Supplementary Data Table 9a,</w:delText>
        </w:r>
        <w:r w:rsidR="00DB72A3" w:rsidDel="007141C2">
          <w:rPr>
            <w:rFonts w:ascii="Arial" w:eastAsia="Times New Roman" w:hAnsi="Arial" w:cs="Arial"/>
            <w:sz w:val="20"/>
            <w:szCs w:val="20"/>
          </w:rPr>
          <w:delText xml:space="preserve"> </w:delText>
        </w:r>
        <w:r w:rsidDel="007141C2">
          <w:rPr>
            <w:rFonts w:ascii="Arial" w:eastAsia="Times New Roman" w:hAnsi="Arial" w:cs="Arial"/>
            <w:sz w:val="20"/>
            <w:szCs w:val="20"/>
          </w:rPr>
          <w:delText>b</w:delText>
        </w:r>
        <w:r w:rsidR="00DB72A3" w:rsidDel="007141C2">
          <w:rPr>
            <w:rFonts w:ascii="Arial" w:eastAsia="Times New Roman" w:hAnsi="Arial" w:cs="Arial"/>
            <w:sz w:val="20"/>
            <w:szCs w:val="20"/>
          </w:rPr>
          <w:delText>, Fig. S3</w:delText>
        </w:r>
        <w:r w:rsidDel="007141C2">
          <w:rPr>
            <w:rFonts w:ascii="Arial" w:eastAsia="Times New Roman" w:hAnsi="Arial" w:cs="Arial"/>
            <w:sz w:val="20"/>
            <w:szCs w:val="20"/>
          </w:rPr>
          <w:delText xml:space="preserve">). This analysis revealed several other microbes whose relative abundance in corals where they were present (i.e., excluding zero counts) correlated with coral growth rate. Uncultured Rhodospirillales in family Terasakiellaceae (phylum: Proteobacteria) were strongly and positively correlated with growth in all compartments. Conversely, the relative abundance of </w:delText>
        </w:r>
        <w:r w:rsidDel="007141C2">
          <w:rPr>
            <w:rFonts w:ascii="Arial" w:eastAsia="Times New Roman" w:hAnsi="Arial" w:cs="Arial"/>
            <w:i/>
            <w:iCs/>
            <w:sz w:val="20"/>
            <w:szCs w:val="20"/>
          </w:rPr>
          <w:delText xml:space="preserve">Candidatus </w:delText>
        </w:r>
        <w:r w:rsidDel="007141C2">
          <w:rPr>
            <w:rFonts w:ascii="Arial" w:eastAsia="Times New Roman" w:hAnsi="Arial" w:cs="Arial"/>
            <w:sz w:val="20"/>
            <w:szCs w:val="20"/>
          </w:rPr>
          <w:delText xml:space="preserve">Nitrosopumilis (phylum: Thaumarchaeota) overall or in coral tissue was negatively correlated with growth rate. Finally, the relative abundance of </w:delText>
        </w:r>
        <w:r w:rsidDel="007141C2">
          <w:rPr>
            <w:rFonts w:ascii="Arial" w:eastAsia="Times New Roman" w:hAnsi="Arial" w:cs="Arial"/>
            <w:i/>
            <w:iCs/>
            <w:sz w:val="20"/>
            <w:szCs w:val="20"/>
          </w:rPr>
          <w:delText xml:space="preserve">Enhydrobacter </w:delText>
        </w:r>
        <w:r w:rsidDel="007141C2">
          <w:rPr>
            <w:rFonts w:ascii="Arial" w:eastAsia="Times New Roman" w:hAnsi="Arial" w:cs="Arial"/>
            <w:sz w:val="20"/>
            <w:szCs w:val="20"/>
          </w:rPr>
          <w:delText xml:space="preserve">(phylum: Proteobacteria) in coral mucus was positively correlated with growth. </w:delText>
        </w:r>
      </w:del>
    </w:p>
    <w:p w14:paraId="5FD56AC8" w14:textId="4EAE689D" w:rsidR="001E011D" w:rsidDel="007141C2" w:rsidRDefault="001E011D" w:rsidP="001E011D">
      <w:pPr>
        <w:rPr>
          <w:del w:id="99" w:author="Microsoft Office User" w:date="2023-07-10T11:44:00Z"/>
          <w:rFonts w:ascii="Arial" w:eastAsia="Times New Roman" w:hAnsi="Arial" w:cs="Arial"/>
          <w:sz w:val="20"/>
          <w:szCs w:val="20"/>
        </w:rPr>
      </w:pPr>
      <w:del w:id="100" w:author="Microsoft Office User" w:date="2023-07-10T11:44:00Z">
        <w:r w:rsidDel="007141C2">
          <w:rPr>
            <w:rFonts w:ascii="Arial" w:eastAsia="Times New Roman" w:hAnsi="Arial" w:cs="Arial"/>
            <w:sz w:val="20"/>
            <w:szCs w:val="20"/>
          </w:rPr>
          <w:delText xml:space="preserve">As in our prior </w:delText>
        </w:r>
        <w:r w:rsidDel="007141C2">
          <w:rPr>
            <w:rFonts w:ascii="Arial" w:eastAsia="Times New Roman" w:hAnsi="Arial" w:cs="Arial"/>
            <w:i/>
            <w:iCs/>
            <w:sz w:val="20"/>
            <w:szCs w:val="20"/>
          </w:rPr>
          <w:delText>Endozoicomonas-</w:delText>
        </w:r>
        <w:r w:rsidDel="007141C2">
          <w:rPr>
            <w:rFonts w:ascii="Arial" w:eastAsia="Times New Roman" w:hAnsi="Arial" w:cs="Arial"/>
            <w:sz w:val="20"/>
            <w:szCs w:val="20"/>
          </w:rPr>
          <w:delText xml:space="preserve">specific analysis, we repeated these tests including zero counts in order to account for both initial establishment and later increases or reductions in abundance (rather than changes in abundance only). The results were similar, except that </w:delText>
        </w:r>
        <w:r w:rsidDel="007141C2">
          <w:rPr>
            <w:rFonts w:ascii="Arial" w:eastAsia="Times New Roman" w:hAnsi="Arial" w:cs="Arial"/>
            <w:i/>
            <w:iCs/>
            <w:sz w:val="20"/>
            <w:szCs w:val="20"/>
          </w:rPr>
          <w:delText xml:space="preserve">Pseudomonas </w:delText>
        </w:r>
        <w:r w:rsidDel="007141C2">
          <w:rPr>
            <w:rFonts w:ascii="Arial" w:eastAsia="Times New Roman" w:hAnsi="Arial" w:cs="Arial"/>
            <w:sz w:val="20"/>
            <w:szCs w:val="20"/>
          </w:rPr>
          <w:delText xml:space="preserve">in mucus and uncultured Myxococcales in skeleton were significantly associated with growth rate, while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 xml:space="preserve">and </w:delText>
        </w:r>
        <w:r w:rsidDel="007141C2">
          <w:rPr>
            <w:rFonts w:ascii="Arial" w:eastAsia="Times New Roman" w:hAnsi="Arial" w:cs="Arial"/>
            <w:i/>
            <w:iCs/>
            <w:sz w:val="20"/>
            <w:szCs w:val="20"/>
          </w:rPr>
          <w:delText xml:space="preserve">Enhydrobacter </w:delText>
        </w:r>
        <w:r w:rsidDel="007141C2">
          <w:rPr>
            <w:rFonts w:ascii="Arial" w:eastAsia="Times New Roman" w:hAnsi="Arial" w:cs="Arial"/>
            <w:sz w:val="20"/>
            <w:szCs w:val="20"/>
          </w:rPr>
          <w:delText xml:space="preserve">were not. Thus, associations between host traits and the microbiome may in some cases depend only on presence or absence, while in other cases like </w:delText>
        </w:r>
        <w:r w:rsidRPr="00A80437" w:rsidDel="007141C2">
          <w:rPr>
            <w:rFonts w:ascii="Arial" w:eastAsia="Times New Roman" w:hAnsi="Arial" w:cs="Arial"/>
            <w:i/>
            <w:iCs/>
            <w:sz w:val="20"/>
            <w:szCs w:val="20"/>
          </w:rPr>
          <w:delText>Endozoicomonas</w:delText>
        </w:r>
        <w:r w:rsidDel="007141C2">
          <w:rPr>
            <w:rFonts w:ascii="Arial" w:eastAsia="Times New Roman" w:hAnsi="Arial" w:cs="Arial"/>
            <w:sz w:val="20"/>
            <w:szCs w:val="20"/>
          </w:rPr>
          <w:delText xml:space="preserve"> these host-microbiome associations may track expansions or contractions in microbial relative abundance.</w:delText>
        </w:r>
      </w:del>
    </w:p>
    <w:p w14:paraId="6A287017" w14:textId="6BA4D5D3" w:rsidR="001E011D" w:rsidDel="007141C2" w:rsidRDefault="001E011D" w:rsidP="00961490">
      <w:pPr>
        <w:rPr>
          <w:del w:id="101" w:author="Microsoft Office User" w:date="2023-07-10T11:44:00Z"/>
          <w:rFonts w:ascii="Arial" w:eastAsia="Times New Roman" w:hAnsi="Arial" w:cs="Arial"/>
          <w:sz w:val="20"/>
          <w:szCs w:val="20"/>
        </w:rPr>
      </w:pPr>
      <w:del w:id="102" w:author="Microsoft Office User" w:date="2023-07-10T11:44:00Z">
        <w:r w:rsidDel="007141C2">
          <w:rPr>
            <w:rFonts w:ascii="Arial" w:eastAsia="Times New Roman" w:hAnsi="Arial" w:cs="Arial"/>
            <w:sz w:val="20"/>
            <w:szCs w:val="20"/>
          </w:rPr>
          <w:delText xml:space="preserve">Overall, these results suggest that while several microbial taxa correlate positively or negatively with coral growth rates,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appears unique in its association with both growth and disease.</w:delText>
        </w:r>
      </w:del>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showed stronger associations with both growth and disease than these </w:t>
      </w:r>
      <w:r w:rsidRPr="00961490">
        <w:rPr>
          <w:rFonts w:ascii="Arial" w:eastAsia="Times New Roman" w:hAnsi="Arial" w:cs="Arial"/>
          <w:sz w:val="20"/>
          <w:szCs w:val="20"/>
        </w:rPr>
        <w:lastRenderedPageBreak/>
        <w:t>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ins w:id="103" w:author="Microsoft Office User" w:date="2023-07-10T12:26:00Z">
        <w:r w:rsidR="007141C2">
          <w:rPr>
            <w:rFonts w:ascii="Arial" w:eastAsia="Times New Roman" w:hAnsi="Arial" w:cs="Arial"/>
            <w:sz w:val="20"/>
            <w:szCs w:val="20"/>
          </w:rPr>
          <w:t xml:space="preserve"> </w:t>
        </w:r>
      </w:ins>
    </w:p>
    <w:p w14:paraId="6D9F2D79" w14:textId="65C621E7" w:rsidR="00961490" w:rsidRPr="00961490" w:rsidRDefault="00961490" w:rsidP="00961490">
      <w:pPr>
        <w:rPr>
          <w:rFonts w:ascii="Arial" w:eastAsia="Times New Roman" w:hAnsi="Arial" w:cs="Arial"/>
          <w:color w:val="24292F"/>
          <w:sz w:val="20"/>
          <w:szCs w:val="20"/>
        </w:rPr>
      </w:pPr>
      <w:r w:rsidRPr="00961490">
        <w:rPr>
          <w:rFonts w:ascii="Arial" w:eastAsia="Times New Roman" w:hAnsi="Arial" w:cs="Arial"/>
          <w:b/>
          <w:color w:val="24292F"/>
          <w:sz w:val="20"/>
          <w:szCs w:val="20"/>
          <w:highlight w:val="white"/>
        </w:rPr>
        <w:t xml:space="preserve">Phylogenetic path analysis of growth, disease, and </w:t>
      </w:r>
      <w:r w:rsidRPr="00961490">
        <w:rPr>
          <w:rFonts w:ascii="Arial" w:eastAsia="Times New Roman" w:hAnsi="Arial" w:cs="Arial"/>
          <w:b/>
          <w:i/>
          <w:color w:val="24292F"/>
          <w:sz w:val="20"/>
          <w:szCs w:val="20"/>
          <w:highlight w:val="white"/>
        </w:rPr>
        <w:t xml:space="preserve">Endozoicomonas </w:t>
      </w:r>
      <w:r w:rsidRPr="00961490">
        <w:rPr>
          <w:rFonts w:ascii="Arial" w:eastAsia="Times New Roman" w:hAnsi="Arial" w:cs="Arial"/>
          <w:b/>
          <w:color w:val="24292F"/>
          <w:sz w:val="20"/>
          <w:szCs w:val="20"/>
          <w:highlight w:val="white"/>
        </w:rPr>
        <w:t xml:space="preserve">abundance. </w:t>
      </w:r>
      <w:r w:rsidRPr="00961490">
        <w:rPr>
          <w:rFonts w:ascii="Arial" w:eastAsia="Times New Roman" w:hAnsi="Arial" w:cs="Arial"/>
          <w:color w:val="24292F"/>
          <w:sz w:val="20"/>
          <w:szCs w:val="20"/>
          <w:highlight w:val="white"/>
        </w:rPr>
        <w:t xml:space="preserve">The univariate correlations between </w:t>
      </w:r>
      <w:r w:rsidRPr="00961490">
        <w:rPr>
          <w:rFonts w:ascii="Arial" w:eastAsia="Times New Roman" w:hAnsi="Arial" w:cs="Arial"/>
          <w:i/>
          <w:color w:val="24292F"/>
          <w:sz w:val="20"/>
          <w:szCs w:val="20"/>
          <w:highlight w:val="white"/>
        </w:rPr>
        <w:t xml:space="preserve">Endozoicomonas, </w:t>
      </w:r>
      <w:r w:rsidRPr="00961490">
        <w:rPr>
          <w:rFonts w:ascii="Arial" w:eastAsia="Times New Roman" w:hAnsi="Arial" w:cs="Arial"/>
          <w:color w:val="24292F"/>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961490">
        <w:rPr>
          <w:rFonts w:ascii="Arial" w:eastAsia="Times New Roman" w:hAnsi="Arial" w:cs="Arial"/>
          <w:color w:val="24292F"/>
          <w:sz w:val="20"/>
          <w:szCs w:val="20"/>
        </w:rPr>
        <w:t xml:space="preserve">ed 14 models of the relationship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relative 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w:t>
      </w:r>
    </w:p>
    <w:p w14:paraId="1C3E3430" w14:textId="00265F1C" w:rsidR="007141C2" w:rsidRDefault="00961490" w:rsidP="00961490">
      <w:pPr>
        <w:rPr>
          <w:ins w:id="104" w:author="Microsoft Office User" w:date="2023-07-10T12:27:00Z"/>
          <w:rFonts w:ascii="Arial" w:eastAsia="Times New Roman" w:hAnsi="Arial" w:cs="Arial"/>
          <w:color w:val="24292F"/>
          <w:sz w:val="20"/>
          <w:szCs w:val="20"/>
        </w:rPr>
      </w:pPr>
      <w:r w:rsidRPr="00961490">
        <w:rPr>
          <w:rFonts w:ascii="Arial" w:eastAsia="Times New Roman" w:hAnsi="Arial" w:cs="Arial"/>
          <w:color w:val="24292F"/>
          <w:sz w:val="20"/>
          <w:szCs w:val="20"/>
        </w:rPr>
        <w:t>As is common in this type of analysis, more than one model was consistent with the data. However, none of the top models using either BM (Supplementary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b) or Pagel’s lambda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c) suggested that disease influenced growth rate or vice versa without the influence of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(Fig</w:t>
      </w:r>
      <w:r w:rsidR="00DB72A3">
        <w:rPr>
          <w:rFonts w:ascii="Arial" w:eastAsia="Times New Roman" w:hAnsi="Arial" w:cs="Arial"/>
          <w:color w:val="24292F"/>
          <w:sz w:val="20"/>
          <w:szCs w:val="20"/>
        </w:rPr>
        <w:t>.</w:t>
      </w:r>
      <w:r w:rsidRPr="00961490">
        <w:rPr>
          <w:rFonts w:ascii="Arial" w:eastAsia="Times New Roman" w:hAnsi="Arial" w:cs="Arial"/>
          <w:color w:val="24292F"/>
          <w:sz w:val="20"/>
          <w:szCs w:val="20"/>
        </w:rPr>
        <w:t xml:space="preserve"> 3D), and all significant models include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Thus, while the precise feedback remains to be determined, causality analysis suggests that, in some capacity,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likely mediates growth rate and disease.</w:t>
      </w:r>
    </w:p>
    <w:p w14:paraId="35133737" w14:textId="3AD96422" w:rsidR="007141C2" w:rsidRPr="00961490" w:rsidRDefault="007141C2" w:rsidP="00961490">
      <w:pPr>
        <w:rPr>
          <w:rFonts w:ascii="Arial" w:eastAsia="Times New Roman" w:hAnsi="Arial" w:cs="Arial"/>
          <w:color w:val="24292F"/>
          <w:sz w:val="20"/>
          <w:szCs w:val="20"/>
          <w:highlight w:val="white"/>
        </w:rPr>
      </w:pPr>
      <w:ins w:id="105" w:author="Microsoft Office User" w:date="2023-07-10T12:27:00Z">
        <w:r>
          <w:rPr>
            <w:rFonts w:ascii="Arial" w:eastAsia="Times New Roman" w:hAnsi="Arial" w:cs="Arial"/>
            <w:color w:val="24292F"/>
            <w:sz w:val="20"/>
            <w:szCs w:val="20"/>
          </w:rPr>
          <w:t>Discussion</w:t>
        </w:r>
      </w:ins>
    </w:p>
    <w:p w14:paraId="733A4777" w14:textId="5CFD35E5" w:rsidR="00961490" w:rsidRPr="00961490" w:rsidRDefault="00961490" w:rsidP="00961490">
      <w:pPr>
        <w:rPr>
          <w:rFonts w:ascii="Arial" w:eastAsia="Times New Roman" w:hAnsi="Arial" w:cs="Arial"/>
          <w:sz w:val="20"/>
          <w:szCs w:val="20"/>
        </w:rPr>
      </w:pPr>
      <w:del w:id="106" w:author="Microsoft Office User" w:date="2023-07-10T12:27:00Z">
        <w:r w:rsidRPr="00961490" w:rsidDel="007141C2">
          <w:rPr>
            <w:rFonts w:ascii="Arial" w:eastAsia="Times New Roman" w:hAnsi="Arial" w:cs="Arial"/>
            <w:b/>
            <w:sz w:val="20"/>
            <w:szCs w:val="20"/>
          </w:rPr>
          <w:delText xml:space="preserve">Potential mechanisms of action. </w:delText>
        </w:r>
      </w:del>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metabolic mutualism (39, 43)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ins w:id="107" w:author="Microsoft Office User" w:date="2023-07-10T12:27:00Z">
        <w:r w:rsidR="007141C2">
          <w:rPr>
            <w:rFonts w:ascii="Arial" w:eastAsia="Times New Roman" w:hAnsi="Arial" w:cs="Arial"/>
            <w:sz w:val="20"/>
            <w:szCs w:val="20"/>
          </w:rPr>
          <w:t xml:space="preserve"> </w:t>
        </w:r>
      </w:ins>
      <w:del w:id="108" w:author="Microsoft Office User" w:date="2023-07-10T12:27:00Z">
        <w:r w:rsidRPr="00961490" w:rsidDel="007141C2">
          <w:rPr>
            <w:rFonts w:ascii="Arial" w:eastAsia="Times New Roman" w:hAnsi="Arial" w:cs="Arial"/>
            <w:sz w:val="20"/>
            <w:szCs w:val="20"/>
          </w:rPr>
          <w:delText xml:space="preserve"> </w:delText>
        </w:r>
      </w:del>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 (44).</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423F895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are thought to protect against pathogenic disease by mechanisms such as antibiotic secretion (24), direct predation (25), jamming of quorum signaling (26),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are often reported in diseased coral phenotypes (e.g., (37))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1A846D7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as a result of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 </w:t>
      </w:r>
      <w:r w:rsidRPr="00961490">
        <w:rPr>
          <w:rFonts w:ascii="Arial" w:eastAsia="Times New Roman" w:hAnsi="Arial" w:cs="Arial"/>
          <w:sz w:val="20"/>
          <w:szCs w:val="20"/>
        </w:rPr>
        <w:t xml:space="preserve">(43)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similar to tight junctions in chordates (45)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217600F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also tend to make corals more vulnerable to pathogens. Coral species vary in immune investment (as measured by immune parameters like melanin abundance, phenoloxidase activity, etc</w:t>
      </w:r>
      <w:r>
        <w:rPr>
          <w:rFonts w:ascii="Arial" w:eastAsia="Times New Roman" w:hAnsi="Arial" w:cs="Arial"/>
          <w:sz w:val="20"/>
          <w:szCs w:val="20"/>
        </w:rPr>
        <w:t>.</w:t>
      </w:r>
      <w:r w:rsidRPr="00961490">
        <w:rPr>
          <w:rFonts w:ascii="Arial" w:eastAsia="Times New Roman" w:hAnsi="Arial" w:cs="Arial"/>
          <w:sz w:val="20"/>
          <w:szCs w:val="20"/>
        </w:rPr>
        <w:t xml:space="preserve">), and low immune investment has been observed to correlate with disease susceptibility (46). Some theory predicts that the evolution of more permissive immunological strategies is favored by symbionts that provide metabolic benefits to the host (47). In corals specifically, immune repertoires in key gene families such as TIR-domain containing genes vary greatly between species, which has been hypothesized to influence microbiome structure (48).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(49).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coral lineages (e.g., by dN/dS ratios).</w:t>
      </w:r>
    </w:p>
    <w:p w14:paraId="3C5DDDFA" w14:textId="7CEF706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identified variation in the proportion of eukaryote-derived genes and domains as a key feature of strain variation, including some domains thought to suppress immunity-induced apoptosis (50).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compelling. </w:t>
      </w:r>
    </w:p>
    <w:p w14:paraId="7E70A7CE" w14:textId="667A477D" w:rsidR="00961490" w:rsidRPr="00961490" w:rsidDel="007141C2" w:rsidRDefault="00961490" w:rsidP="00961490">
      <w:pPr>
        <w:rPr>
          <w:del w:id="109" w:author="Microsoft Office User" w:date="2023-07-10T11:47:00Z"/>
          <w:rFonts w:ascii="Arial" w:eastAsia="Times New Roman" w:hAnsi="Arial" w:cs="Arial"/>
          <w:sz w:val="20"/>
          <w:szCs w:val="20"/>
        </w:rPr>
      </w:pPr>
      <w:del w:id="110" w:author="Microsoft Office User" w:date="2023-07-10T11:47:00Z">
        <w:r w:rsidRPr="00961490" w:rsidDel="007141C2">
          <w:rPr>
            <w:rFonts w:ascii="Arial" w:eastAsia="Times New Roman" w:hAnsi="Arial" w:cs="Arial"/>
            <w:sz w:val="20"/>
            <w:szCs w:val="20"/>
          </w:rPr>
          <w:delText xml:space="preserve">Our comparative approach suggests that </w:delText>
        </w:r>
        <w:r w:rsidRPr="00961490" w:rsidDel="007141C2">
          <w:rPr>
            <w:rFonts w:ascii="Arial" w:eastAsia="Times New Roman" w:hAnsi="Arial" w:cs="Arial"/>
            <w:i/>
            <w:sz w:val="20"/>
            <w:szCs w:val="20"/>
          </w:rPr>
          <w:delText>Endozoicomonas</w:delText>
        </w:r>
        <w:r w:rsidRPr="00961490" w:rsidDel="007141C2">
          <w:rPr>
            <w:rFonts w:ascii="Arial" w:eastAsia="Times New Roman" w:hAnsi="Arial" w:cs="Arial"/>
            <w:sz w:val="20"/>
            <w:szCs w:val="20"/>
          </w:rPr>
          <w:delText xml:space="preserve">-dominated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 (33, 38), this may make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dominated coral especially vulnerable to environmental change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4). </w:delText>
        </w:r>
      </w:del>
    </w:p>
    <w:p w14:paraId="2D9CAB3F" w14:textId="6B29E80D" w:rsidR="00961490" w:rsidDel="007141C2" w:rsidRDefault="00961490" w:rsidP="00961490">
      <w:pPr>
        <w:rPr>
          <w:del w:id="111" w:author="Microsoft Office User" w:date="2023-07-10T11:47:00Z"/>
          <w:rFonts w:ascii="Arial" w:eastAsia="Times New Roman" w:hAnsi="Arial" w:cs="Arial"/>
          <w:sz w:val="20"/>
          <w:szCs w:val="20"/>
        </w:rPr>
      </w:pPr>
      <w:del w:id="112" w:author="Microsoft Office User" w:date="2023-07-10T11:47:00Z">
        <w:r w:rsidRPr="00961490" w:rsidDel="007141C2">
          <w:rPr>
            <w:rFonts w:ascii="Arial" w:eastAsia="Times New Roman" w:hAnsi="Arial" w:cs="Arial"/>
            <w:sz w:val="20"/>
            <w:szCs w:val="20"/>
          </w:rPr>
          <w:delText xml:space="preserve">If microbial symbiosis does play a causal role in coral life history tradeoffs in the present day, then identifying microbes underlying those tradeoffs may benefit microbiome manipulation for targeted coral conservation and restoration strategies. While the correlation between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and disease in this work was observed at the genus level (primarily because this is the level of taxonomic specificity for most available disease surveys), future work could examine whether similar trends appear between coral sister species or within coral populations. For example, microbial screening (e.g., (51)) could help identify </w:delText>
        </w:r>
        <w:r w:rsidRPr="00961490" w:rsidDel="007141C2">
          <w:rPr>
            <w:rFonts w:ascii="Arial" w:eastAsia="Times New Roman" w:hAnsi="Arial" w:cs="Arial"/>
            <w:i/>
            <w:sz w:val="20"/>
            <w:szCs w:val="20"/>
          </w:rPr>
          <w:delText>Endozoicomonas</w:delText>
        </w:r>
        <w:r w:rsidRPr="00961490" w:rsidDel="007141C2">
          <w:rPr>
            <w:rFonts w:ascii="Arial" w:eastAsia="Times New Roman" w:hAnsi="Arial" w:cs="Arial"/>
            <w:sz w:val="20"/>
            <w:szCs w:val="20"/>
          </w:rPr>
          <w:delText xml:space="preserve">-dominated coral species or populations that may be more susceptible to disease and drive the conservation and protection of these individuals or their habitats. Identifying these target corals is perhaps most relevant for coral restoration initiatives that include breeding, nursery propagation and out planting, where coral health is monitored closely and predicting disease susceptibility can inform decision-making. Depending on the mechanism underlying the </w:delText>
        </w:r>
        <w:r w:rsidRPr="00961490" w:rsidDel="007141C2">
          <w:rPr>
            <w:rFonts w:ascii="Arial" w:eastAsia="Times New Roman" w:hAnsi="Arial" w:cs="Arial"/>
            <w:i/>
            <w:sz w:val="20"/>
            <w:szCs w:val="20"/>
          </w:rPr>
          <w:delText>Endozoicomonas-</w:delText>
        </w:r>
        <w:r w:rsidRPr="00961490" w:rsidDel="007141C2">
          <w:rPr>
            <w:rFonts w:ascii="Arial" w:eastAsia="Times New Roman" w:hAnsi="Arial" w:cs="Arial"/>
            <w:sz w:val="20"/>
            <w:szCs w:val="20"/>
          </w:rPr>
          <w:delText xml:space="preserve">disease susceptibility correlations reported here, </w:delText>
        </w:r>
        <w:r w:rsidRPr="00961490" w:rsidDel="007141C2">
          <w:rPr>
            <w:rFonts w:ascii="Arial" w:eastAsia="Times New Roman" w:hAnsi="Arial" w:cs="Arial"/>
            <w:i/>
            <w:sz w:val="20"/>
            <w:szCs w:val="20"/>
          </w:rPr>
          <w:delText>Endozoicomonas</w:delText>
        </w:r>
        <w:r w:rsidRPr="00961490" w:rsidDel="007141C2">
          <w:rPr>
            <w:rFonts w:ascii="Arial" w:eastAsia="Times New Roman" w:hAnsi="Arial" w:cs="Arial"/>
            <w:sz w:val="20"/>
            <w:szCs w:val="20"/>
          </w:rPr>
          <w:delText>-dominated corals may further represent strong candidates for microbiome engineering (e.g., human-assisted manipulation of host-associated microbes (52) or the application of probiotics (14, 53))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delText>
        </w:r>
      </w:del>
    </w:p>
    <w:p w14:paraId="36E04416" w14:textId="74C95450"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results presented here provide the first evidence of a likely microbe-mediated life-history tradeoff in scleractinian corals. Further exploration of this and other such potential tradeoffs may shed light on the evolutionary interplay between microbes and the physiology and ecology of their animal hosts.</w:t>
      </w:r>
    </w:p>
    <w:p w14:paraId="3C2712AB" w14:textId="2D7D416E" w:rsidR="00E6133D" w:rsidDel="007141C2" w:rsidRDefault="007141C2" w:rsidP="00961490">
      <w:pPr>
        <w:pBdr>
          <w:top w:val="nil"/>
          <w:left w:val="nil"/>
          <w:bottom w:val="nil"/>
          <w:right w:val="nil"/>
          <w:between w:val="nil"/>
        </w:pBdr>
        <w:spacing w:after="0"/>
        <w:rPr>
          <w:del w:id="113" w:author="Microsoft Office User" w:date="2023-07-10T11:40:00Z"/>
          <w:rFonts w:ascii="Arial" w:hAnsi="Arial" w:cs="Arial"/>
          <w:b/>
          <w:color w:val="000000"/>
          <w:sz w:val="20"/>
          <w:szCs w:val="20"/>
        </w:rPr>
      </w:pPr>
      <w:ins w:id="114" w:author="Microsoft Office User" w:date="2023-07-10T11:40:00Z">
        <w:r>
          <w:rPr>
            <w:rFonts w:ascii="Arial" w:hAnsi="Arial" w:cs="Arial"/>
            <w:b/>
            <w:color w:val="000000"/>
            <w:sz w:val="20"/>
            <w:szCs w:val="20"/>
          </w:rPr>
          <w:t>Online Methods</w:t>
        </w:r>
      </w:ins>
      <w:del w:id="115" w:author="Microsoft Office User" w:date="2023-07-10T11:40:00Z">
        <w:r w:rsidR="00E6133D" w:rsidRPr="00F649EE" w:rsidDel="007141C2">
          <w:rPr>
            <w:rFonts w:ascii="Arial" w:hAnsi="Arial" w:cs="Arial"/>
            <w:b/>
            <w:color w:val="000000"/>
            <w:sz w:val="20"/>
            <w:szCs w:val="20"/>
          </w:rPr>
          <w:delText>Materials and Methods</w:delText>
        </w:r>
      </w:del>
    </w:p>
    <w:p w14:paraId="154FF09C" w14:textId="77777777" w:rsidR="007141C2" w:rsidRDefault="007141C2" w:rsidP="00961490">
      <w:pPr>
        <w:pBdr>
          <w:top w:val="nil"/>
          <w:left w:val="nil"/>
          <w:bottom w:val="nil"/>
          <w:right w:val="nil"/>
          <w:between w:val="nil"/>
        </w:pBdr>
        <w:spacing w:after="0"/>
        <w:rPr>
          <w:ins w:id="116" w:author="Microsoft Office User" w:date="2023-07-10T11:40:00Z"/>
          <w:rFonts w:ascii="Arial" w:hAnsi="Arial" w:cs="Arial"/>
          <w:b/>
          <w:color w:val="000000"/>
          <w:sz w:val="20"/>
          <w:szCs w:val="20"/>
        </w:rPr>
      </w:pP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7C60E44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 xml:space="preserve">16S rRNA sequence data was obtained from visibly healthy coral DNA extractions collected and processed for the Global Coral </w:t>
      </w:r>
      <w:r w:rsidRPr="00961490">
        <w:rPr>
          <w:rFonts w:ascii="Arial" w:eastAsia="Times New Roman" w:hAnsi="Arial" w:cs="Arial"/>
          <w:sz w:val="20"/>
          <w:szCs w:val="20"/>
        </w:rPr>
        <w:lastRenderedPageBreak/>
        <w:t xml:space="preserve">Microbiome Project (GCMP). This included coral samples taken from eastern and western Australia that were used in a previous study by Pollock and co-authors (16)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scleractinian coral and outgroup samples were used in the present study (Supplementary Data Table 1a). These comprise 132 species and 64 genera of corals originating from 42 reefs spanning the Pacific, Indian, and Atlantic oceans. </w:t>
      </w:r>
    </w:p>
    <w:p w14:paraId="20A1B39B" w14:textId="4E5DEE1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 (16) and are compatible with samples processed for the Earth Microbiome Project (54).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WhirlPaks (Nasco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PowerSoil DNA Isolation kit (MoBio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non-scleractinian Anthozoans were also opportunistically collected and stored similarly, including healthy samples of the genera </w:t>
      </w:r>
      <w:r w:rsidRPr="00961490">
        <w:rPr>
          <w:rFonts w:ascii="Arial" w:eastAsia="Times New Roman" w:hAnsi="Arial" w:cs="Arial"/>
          <w:i/>
          <w:sz w:val="20"/>
          <w:szCs w:val="20"/>
        </w:rPr>
        <w:t xml:space="preserve">Millepora </w:t>
      </w:r>
      <w:r w:rsidRPr="00961490">
        <w:rPr>
          <w:rFonts w:ascii="Arial" w:eastAsia="Times New Roman" w:hAnsi="Arial" w:cs="Arial"/>
          <w:sz w:val="20"/>
          <w:szCs w:val="20"/>
        </w:rPr>
        <w:t xml:space="preserve">(hydrozoan fire coral), </w:t>
      </w:r>
      <w:r w:rsidRPr="00961490">
        <w:rPr>
          <w:rFonts w:ascii="Arial" w:eastAsia="Times New Roman" w:hAnsi="Arial" w:cs="Arial"/>
          <w:i/>
          <w:sz w:val="20"/>
          <w:szCs w:val="20"/>
        </w:rPr>
        <w:t xml:space="preserve">Palythoa </w:t>
      </w:r>
      <w:r w:rsidRPr="00961490">
        <w:rPr>
          <w:rFonts w:ascii="Arial" w:eastAsia="Times New Roman" w:hAnsi="Arial" w:cs="Arial"/>
          <w:sz w:val="20"/>
          <w:szCs w:val="20"/>
        </w:rPr>
        <w:t xml:space="preserve">(zoanthid), </w:t>
      </w:r>
      <w:r w:rsidRPr="00961490">
        <w:rPr>
          <w:rFonts w:ascii="Arial" w:eastAsia="Times New Roman" w:hAnsi="Arial" w:cs="Arial"/>
          <w:i/>
          <w:sz w:val="20"/>
          <w:szCs w:val="20"/>
        </w:rPr>
        <w:t xml:space="preserve">Heliopora </w:t>
      </w:r>
      <w:r w:rsidRPr="00961490">
        <w:rPr>
          <w:rFonts w:ascii="Arial" w:eastAsia="Times New Roman" w:hAnsi="Arial" w:cs="Arial"/>
          <w:sz w:val="20"/>
          <w:szCs w:val="20"/>
        </w:rPr>
        <w:t xml:space="preserve">(blue coral), </w:t>
      </w:r>
      <w:r w:rsidRPr="00961490">
        <w:rPr>
          <w:rFonts w:ascii="Arial" w:eastAsia="Times New Roman" w:hAnsi="Arial" w:cs="Arial"/>
          <w:i/>
          <w:sz w:val="20"/>
          <w:szCs w:val="20"/>
        </w:rPr>
        <w:t xml:space="preserve">Tubipora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r w:rsidRPr="00961490">
        <w:rPr>
          <w:rFonts w:ascii="Arial" w:eastAsia="Times New Roman" w:hAnsi="Arial" w:cs="Arial"/>
          <w:i/>
          <w:sz w:val="20"/>
          <w:szCs w:val="20"/>
        </w:rPr>
        <w:t xml:space="preserve">Lobophytum </w:t>
      </w:r>
      <w:r w:rsidRPr="00961490">
        <w:rPr>
          <w:rFonts w:ascii="Arial" w:eastAsia="Times New Roman" w:hAnsi="Arial" w:cs="Arial"/>
          <w:sz w:val="20"/>
          <w:szCs w:val="20"/>
        </w:rPr>
        <w:t xml:space="preserve">(soft corals). </w:t>
      </w:r>
    </w:p>
    <w:p w14:paraId="5D6AE7AF" w14:textId="0483958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961490">
        <w:rPr>
          <w:rFonts w:ascii="Arial" w:eastAsia="Times New Roman" w:hAnsi="Arial" w:cs="Arial"/>
          <w:color w:val="222222"/>
          <w:sz w:val="20"/>
          <w:szCs w:val="20"/>
          <w:highlight w:val="white"/>
        </w:rPr>
        <w:t xml:space="preserve">15F </w:t>
      </w:r>
      <w:r w:rsidRPr="00961490">
        <w:rPr>
          <w:rFonts w:ascii="Arial" w:eastAsia="Times New Roman" w:hAnsi="Arial" w:cs="Arial"/>
          <w:sz w:val="20"/>
          <w:szCs w:val="20"/>
        </w:rPr>
        <w:t>(55)</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TCG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 xml:space="preserve">and 806R </w:t>
      </w:r>
      <w:r w:rsidRPr="00961490">
        <w:rPr>
          <w:rFonts w:ascii="Arial" w:eastAsia="Times New Roman" w:hAnsi="Arial" w:cs="Arial"/>
          <w:sz w:val="20"/>
          <w:szCs w:val="20"/>
        </w:rPr>
        <w:t>(56)</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 (54). All raw sequencing data and associated metadata for the samples used in this study are available on Qiita (qiita.ucsd.edu) under project ID 10895, prep ID 3439.</w:t>
      </w:r>
    </w:p>
    <w:p w14:paraId="671BD1D4" w14:textId="470C96E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 xml:space="preserve">16S rRNA sequencing data were processed in Qiita (57) using the standard EMP workflow. Briefly, sequences were demultiplexed based on 12bp Golay barcodes using “split_libraries” with default parameters in QIIME1.9.1 (58) and trimmed to 100bp to remove low quality base pairs. Quality control (e.g., denoising, de-replication and chimera filtering) and identification of amplicon sequence variants (ASVs) were performed on forward reads using deblur 1.1.0 (59) with default parameters. The resulting biom and taxonomy tables were obtained from Qiita (CRC32 id: 8817b8b8 and CRC32 id: ac925c85) and processed using a customized QIIME2 v. 2020.8.0 (60) pipeline in python (github.com/zaneveld/GCMP_global_disease). Taxonomic assignment of ASVs was performed using vsearch (61) with SILVA v. 138 (62). </w:t>
      </w:r>
    </w:p>
    <w:p w14:paraId="09B2C2F0" w14:textId="4906694C"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 (63) were added to the SILVA repository to better identify host mitochondrial reads that may be present in the sequencing data (64). We refer to this expanded taxonomy as “silva_metaxa2” in code. After taxonomic assignment, all mitochondrial and chloroplast reads were removed. The bacterial phylogenetic tree was built using the SATé-enabled phylogenetic placement (SEPP) insertion technique with the q2-fragment-insertion plugin (65) to account for the short-read sequencing data, again using the SILVA v. 138 (62) database as reference taxonomy. The final output from this pipeline consisted of a taxonomy table, ASV feature table and phylogenetic tree that were used for downstream analyses.</w:t>
      </w:r>
    </w:p>
    <w:p w14:paraId="0998DFF3" w14:textId="16025DB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Identification of potential contaminants. </w:t>
      </w:r>
      <w:r w:rsidRPr="00961490">
        <w:rPr>
          <w:rFonts w:ascii="Arial" w:eastAsia="Times New Roman" w:hAnsi="Arial" w:cs="Arial"/>
          <w:sz w:val="20"/>
          <w:szCs w:val="20"/>
        </w:rPr>
        <w:t>Potential contaminants from extraction and sequence blanks (n = 103 negative controls) were identified and removed using the decontam package (66) in R v. 4.0.2 (67)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73D28F9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Disease data were gathered from long-term multi-species surveys in the Florida Keys (the Florida Reef Resilience Program (FRRP), https://frrp.org/), Hawai</w:t>
      </w:r>
      <w:r w:rsidRPr="00961490">
        <w:rPr>
          <w:rFonts w:ascii="Tahoma" w:eastAsia="Tahoma" w:hAnsi="Tahoma" w:cs="Tahoma"/>
          <w:sz w:val="20"/>
          <w:szCs w:val="20"/>
        </w:rPr>
        <w:t>՛</w:t>
      </w:r>
      <w:r w:rsidRPr="00961490">
        <w:rPr>
          <w:rFonts w:ascii="Arial" w:eastAsia="Tahoma" w:hAnsi="Arial" w:cs="Arial"/>
          <w:sz w:val="20"/>
          <w:szCs w:val="20"/>
        </w:rPr>
        <w:t xml:space="preserve">i (HICORDIS </w:t>
      </w:r>
      <w:r w:rsidRPr="00961490">
        <w:rPr>
          <w:rFonts w:ascii="Arial" w:eastAsia="Times New Roman" w:hAnsi="Arial" w:cs="Arial"/>
          <w:sz w:val="20"/>
          <w:szCs w:val="20"/>
        </w:rPr>
        <w:t>(29)),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 (68).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Within each belt transect, we identified each coral colony over 5 cm in diameter to genus and classified it as either healthy (no observable disease lesions) or affected by one or more of six common Indo-Pacific coral diseases (according to (69)).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in an attempt to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5A24433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 xml:space="preserve">Statistical summaries of microbiome community composition were calculated for each sample in QIIME2 (60),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r w:rsidRPr="00961490">
        <w:rPr>
          <w:rFonts w:ascii="Arial" w:eastAsia="Times New Roman" w:hAnsi="Arial" w:cs="Arial"/>
          <w:sz w:val="20"/>
          <w:szCs w:val="20"/>
        </w:rPr>
        <w:t xml:space="preserve">mucus  —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a large number of taxa, and all taxa have equal abundance. Thus, this measure is reduced both by community richness and community evenness (Simpson’s Index is closely related to Simpson’s Diversity, which is calculated as 1 - Simpson’s Index, such that more rich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368ED60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previously published multigene time-calibrated phylogeny of corals (30) that we had previously used to demonstrate phylosymbiosis in corals (16),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As microbiome data were not available for all genera on the coral tree (e.g., temperate deep sea corals), the tree was further pruned to include only the subset of branches that matched those with microbiome data.</w:t>
      </w:r>
    </w:p>
    <w:p w14:paraId="5E05444A" w14:textId="20B62EA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 xml:space="preserve">To examine the influence of microbiome structure on coral traits, we pulled growth data from the Coral Trait Database (28) from all coral genera that matched those with both microbiome and disease data, and were collected using consistent metrics (mm/yr). This resulted in growth rate data from 18 coral genera that were subsequently combined with our genus-level trait table (Supplementary Data Table 1d). </w:t>
      </w:r>
    </w:p>
    <w:p w14:paraId="750FD980" w14:textId="5653A05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Felsenstein’s phylogenetic independent contrasts (PIC) to visualize our cross-genus trait correlations using the phytools R package (70). This method removes the effect of any shared evolutionary histories by calculating differences in trait values (contrasts) between sister taxa. We next examined the relationships between traits using information-theoretic model selection (that is, comparison of AICc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 (71). In the first model, we used PGLS with no branch length transformation (i.e. holding λ,</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and </w:t>
      </w:r>
      <w:r w:rsidRPr="00961490">
        <w:rPr>
          <w:rFonts w:ascii="Arial" w:eastAsia="Times New Roman" w:hAnsi="Arial" w:cs="Arial"/>
          <w:i/>
          <w:sz w:val="20"/>
          <w:szCs w:val="20"/>
        </w:rPr>
        <w:t>p</w:t>
      </w:r>
      <w:r w:rsidRPr="00961490">
        <w:rPr>
          <w:rFonts w:ascii="Arial" w:eastAsia="Times New Roman" w:hAnsi="Arial" w:cs="Arial"/>
          <w:sz w:val="20"/>
          <w:szCs w:val="20"/>
        </w:rPr>
        <w:t xml:space="preserve">-values were adjusted for multiple comparisons using a false discovery rate (FDR) correction. Significant relationships between the two traits suggests that they are evolutionarily correlated. Data were visualized by plotting phylogenetic contrasts and all statistics reported represent the best PGLS model results. </w:t>
      </w:r>
    </w:p>
    <w:p w14:paraId="3FFF85F7" w14:textId="6F66201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Additionally, ancestral state reconstructions of key traits were visualized using the contmap function in the phytools R package (70), which in turn estimates internal states using fast maximum-likelihood (ML) ancestral state reconstruct as implemented in the fastAnc phytools function.</w:t>
      </w:r>
    </w:p>
    <w:p w14:paraId="4EEAE8C9" w14:textId="7516EEF9"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w:t>
      </w:r>
      <w:r w:rsidRPr="00961490">
        <w:rPr>
          <w:rFonts w:ascii="Arial" w:eastAsia="Times New Roman" w:hAnsi="Arial" w:cs="Arial"/>
          <w:color w:val="24292F"/>
          <w:sz w:val="20"/>
          <w:szCs w:val="20"/>
          <w:highlight w:val="white"/>
        </w:rPr>
        <w:lastRenderedPageBreak/>
        <w:t xml:space="preserve">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disease, and growth rate were tested using a phylogenetic causality analysis performed in the R package phylopath </w:t>
      </w:r>
      <w:r w:rsidRPr="00961490">
        <w:rPr>
          <w:rFonts w:ascii="Arial" w:eastAsia="Times New Roman" w:hAnsi="Arial" w:cs="Arial"/>
          <w:sz w:val="20"/>
          <w:szCs w:val="20"/>
        </w:rPr>
        <w:t>(72)</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CICc values (using both Pagel’s λ and Brownian Motion models of evolution) were averaged for interpretation and visualization. </w:t>
      </w: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61490" w:rsidRDefault="00E6133D" w:rsidP="00E6133D">
      <w:pPr>
        <w:pBdr>
          <w:top w:val="nil"/>
          <w:left w:val="nil"/>
          <w:bottom w:val="nil"/>
          <w:right w:val="nil"/>
          <w:between w:val="nil"/>
        </w:pBdr>
        <w:contextualSpacing/>
        <w:rPr>
          <w:rFonts w:ascii="Arial" w:hAnsi="Arial" w:cs="Arial"/>
          <w:b/>
          <w:color w:val="000000"/>
          <w:sz w:val="20"/>
          <w:szCs w:val="20"/>
        </w:rPr>
      </w:pPr>
    </w:p>
    <w:p w14:paraId="1124750D" w14:textId="48B77BE7" w:rsidR="00E6133D" w:rsidRPr="00961490" w:rsidRDefault="00961490" w:rsidP="00961490">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and Gergely Torda for their field assistance in Australia; Valeria Pizarro, Mateo López-Victoria, Alaina Weinheimer, Claudia Tatiana Galindo Martínez for Assistance in Colombia; </w:t>
      </w:r>
      <w:r w:rsidRPr="00961490">
        <w:rPr>
          <w:rFonts w:ascii="Arial" w:eastAsia="Times New Roman" w:hAnsi="Arial" w:cs="Arial"/>
          <w:color w:val="222222"/>
          <w:sz w:val="20"/>
          <w:szCs w:val="20"/>
          <w:highlight w:val="white"/>
        </w:rPr>
        <w:t xml:space="preserve">Chris Voolstra, Maren Ziegler, Anna Roik,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Vermeij, Kristen Marhaver, Pedro Frade, Ben Mueller, and others at CARMABI for field assistance during sampling in Curaçao; Danwei Huang for field assistance in Singapore; Ruth Gates, Katie Barrott, Courtney Couch, and Keoki Stender for field assistance in Hawai΄i; </w:t>
      </w:r>
      <w:r w:rsidRPr="00961490">
        <w:rPr>
          <w:rFonts w:ascii="Arial" w:eastAsia="Times New Roman" w:hAnsi="Arial" w:cs="Arial"/>
          <w:sz w:val="20"/>
          <w:szCs w:val="20"/>
        </w:rPr>
        <w:t>and Lyndsy Gazda, Jamie Lee Proffitt, Gabriele Swain, and Alaina Weinheimer for their assistance in the laboratory. The authors also acknowledge the staff of the Coral Bay Research Station, Lizard Island Research Station, Lord Howe Island Marine Park, Lord Howe Island Research Station, the Australian Institute of Marine Science, and RV Cape Ferguson for their logistical support. This work was supported by a National Science Foundation Dimensions of Biodiversity grant (#1442306) to RVT and MM, an in-kind ​​UC San Diego Seed Grant in Microbiome Science grant to JZ, an NSF IoS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2BE47C3A" w14:textId="0DA47F72" w:rsidR="00961490" w:rsidRDefault="00E6133D" w:rsidP="00961490">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7ABA0330" w14:textId="77777777" w:rsidR="00961490" w:rsidRPr="00961490" w:rsidRDefault="00961490" w:rsidP="00961490">
      <w:pPr>
        <w:pBdr>
          <w:top w:val="nil"/>
          <w:left w:val="nil"/>
          <w:bottom w:val="nil"/>
          <w:right w:val="nil"/>
          <w:between w:val="nil"/>
        </w:pBdr>
        <w:contextualSpacing/>
        <w:rPr>
          <w:rFonts w:ascii="Arial" w:hAnsi="Arial" w:cs="Arial"/>
          <w:color w:val="000000"/>
          <w:sz w:val="20"/>
          <w:szCs w:val="20"/>
        </w:rPr>
      </w:pPr>
    </w:p>
    <w:p w14:paraId="777E83C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 </w:t>
      </w:r>
      <w:r w:rsidRPr="00961490">
        <w:rPr>
          <w:rFonts w:ascii="Arial" w:hAnsi="Arial" w:cs="Arial"/>
          <w:sz w:val="20"/>
          <w:szCs w:val="20"/>
        </w:rPr>
        <w:tab/>
        <w:t xml:space="preserve">K. Healy, T. H. G. Ezard, O. R. Jones, R. Salguero-Gómez, Y. M. Buckley, Animal life history is shaped by the pace of life and the distribution of age-specific mortality and reproduction. </w:t>
      </w:r>
      <w:r w:rsidRPr="00961490">
        <w:rPr>
          <w:rFonts w:ascii="Arial" w:hAnsi="Arial" w:cs="Arial"/>
          <w:i/>
          <w:sz w:val="20"/>
          <w:szCs w:val="20"/>
        </w:rPr>
        <w:t xml:space="preserve">Nat. Ecol. Evol. </w:t>
      </w:r>
      <w:r w:rsidRPr="00961490">
        <w:rPr>
          <w:rFonts w:ascii="Arial" w:hAnsi="Arial" w:cs="Arial"/>
          <w:sz w:val="20"/>
          <w:szCs w:val="20"/>
        </w:rPr>
        <w:t>3, 1217–1224 (2019).</w:t>
      </w:r>
    </w:p>
    <w:p w14:paraId="4B933B4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 </w:t>
      </w:r>
      <w:r w:rsidRPr="00961490">
        <w:rPr>
          <w:rFonts w:ascii="Arial" w:hAnsi="Arial" w:cs="Arial"/>
          <w:sz w:val="20"/>
          <w:szCs w:val="20"/>
        </w:rPr>
        <w:tab/>
        <w:t xml:space="preserve">E. S. Darling, L. Alvarez-Filip, T. A. Oliver, T. R. McClanahan, I. M. Côté, Evaluating life-history strategies of reef corals from species traits. </w:t>
      </w:r>
      <w:r w:rsidRPr="00961490">
        <w:rPr>
          <w:rFonts w:ascii="Arial" w:hAnsi="Arial" w:cs="Arial"/>
          <w:i/>
          <w:sz w:val="20"/>
          <w:szCs w:val="20"/>
        </w:rPr>
        <w:t xml:space="preserve">Ecol. Lett. </w:t>
      </w:r>
      <w:r w:rsidRPr="00961490">
        <w:rPr>
          <w:rFonts w:ascii="Arial" w:hAnsi="Arial" w:cs="Arial"/>
          <w:sz w:val="20"/>
          <w:szCs w:val="20"/>
        </w:rPr>
        <w:t>15, 1378–1386 (2012).</w:t>
      </w:r>
    </w:p>
    <w:p w14:paraId="6A5694C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 </w:t>
      </w:r>
      <w:r w:rsidRPr="00961490">
        <w:rPr>
          <w:rFonts w:ascii="Arial" w:hAnsi="Arial" w:cs="Arial"/>
          <w:sz w:val="20"/>
          <w:szCs w:val="20"/>
        </w:rPr>
        <w:tab/>
        <w:t xml:space="preserve">P. J. van der Most, B. de Jong, H. K. Parmentier, S. Verhulst, Trade-off between growth and immune function: a meta-analysis of selection experiments. </w:t>
      </w:r>
      <w:r w:rsidRPr="00961490">
        <w:rPr>
          <w:rFonts w:ascii="Arial" w:hAnsi="Arial" w:cs="Arial"/>
          <w:i/>
          <w:sz w:val="20"/>
          <w:szCs w:val="20"/>
        </w:rPr>
        <w:t xml:space="preserve">Funct. Ecol. </w:t>
      </w:r>
      <w:r w:rsidRPr="00961490">
        <w:rPr>
          <w:rFonts w:ascii="Arial" w:hAnsi="Arial" w:cs="Arial"/>
          <w:sz w:val="20"/>
          <w:szCs w:val="20"/>
        </w:rPr>
        <w:t>25, 74–80 (2011).</w:t>
      </w:r>
    </w:p>
    <w:p w14:paraId="16963252" w14:textId="6611BDF0"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 </w:t>
      </w:r>
      <w:r w:rsidRPr="00961490">
        <w:rPr>
          <w:rFonts w:ascii="Arial" w:hAnsi="Arial" w:cs="Arial"/>
          <w:sz w:val="20"/>
          <w:szCs w:val="20"/>
        </w:rPr>
        <w:tab/>
        <w:t xml:space="preserve">A. V. Badyaev, C. K. Ghalambor, Evolution of life histories along elevational gradients: Trade-off between parental care and fecundity. </w:t>
      </w:r>
      <w:r w:rsidRPr="00961490">
        <w:rPr>
          <w:rFonts w:ascii="Arial" w:hAnsi="Arial" w:cs="Arial"/>
          <w:i/>
          <w:sz w:val="20"/>
          <w:szCs w:val="20"/>
        </w:rPr>
        <w:t xml:space="preserve">Ecology </w:t>
      </w:r>
      <w:r w:rsidRPr="00961490">
        <w:rPr>
          <w:rFonts w:ascii="Arial" w:hAnsi="Arial" w:cs="Arial"/>
          <w:sz w:val="20"/>
          <w:szCs w:val="20"/>
        </w:rPr>
        <w:t>82, 2948–2960 (2001).</w:t>
      </w:r>
    </w:p>
    <w:p w14:paraId="1B1524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 </w:t>
      </w:r>
      <w:r w:rsidRPr="00961490">
        <w:rPr>
          <w:rFonts w:ascii="Arial" w:hAnsi="Arial" w:cs="Arial"/>
          <w:sz w:val="20"/>
          <w:szCs w:val="20"/>
        </w:rPr>
        <w:tab/>
        <w:t xml:space="preserve">S. S. Padda, J. R. Glass, Z. R. Stahlschmidt, When it’s hot and dry: life-history strategy influences the effects of heat waves and water limitation. </w:t>
      </w:r>
      <w:r w:rsidRPr="00961490">
        <w:rPr>
          <w:rFonts w:ascii="Arial" w:hAnsi="Arial" w:cs="Arial"/>
          <w:i/>
          <w:sz w:val="20"/>
          <w:szCs w:val="20"/>
        </w:rPr>
        <w:t xml:space="preserve">J. Exp. Biol. </w:t>
      </w:r>
      <w:r w:rsidRPr="00961490">
        <w:rPr>
          <w:rFonts w:ascii="Arial" w:hAnsi="Arial" w:cs="Arial"/>
          <w:sz w:val="20"/>
          <w:szCs w:val="20"/>
        </w:rPr>
        <w:t>224, jeb236398 (2021).</w:t>
      </w:r>
    </w:p>
    <w:p w14:paraId="152E71C6" w14:textId="1ECA6AF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 </w:t>
      </w:r>
      <w:r w:rsidRPr="00961490">
        <w:rPr>
          <w:rFonts w:ascii="Arial" w:hAnsi="Arial" w:cs="Arial"/>
          <w:sz w:val="20"/>
          <w:szCs w:val="20"/>
        </w:rPr>
        <w:tab/>
        <w:t xml:space="preserve">R. Tollrian, Predator-induced morphological defenses: costs, life history shifts, and maternal effects in </w:t>
      </w:r>
      <w:r w:rsidRPr="00961490">
        <w:rPr>
          <w:rFonts w:ascii="Arial" w:hAnsi="Arial" w:cs="Arial"/>
          <w:i/>
          <w:iCs/>
          <w:sz w:val="20"/>
          <w:szCs w:val="20"/>
        </w:rPr>
        <w:t>Daphnia pulex</w:t>
      </w:r>
      <w:r w:rsidRPr="00961490">
        <w:rPr>
          <w:rFonts w:ascii="Arial" w:hAnsi="Arial" w:cs="Arial"/>
          <w:sz w:val="20"/>
          <w:szCs w:val="20"/>
        </w:rPr>
        <w:t xml:space="preserve">. </w:t>
      </w:r>
      <w:r w:rsidRPr="00961490">
        <w:rPr>
          <w:rFonts w:ascii="Arial" w:hAnsi="Arial" w:cs="Arial"/>
          <w:i/>
          <w:sz w:val="20"/>
          <w:szCs w:val="20"/>
        </w:rPr>
        <w:t xml:space="preserve">Ecology </w:t>
      </w:r>
      <w:r w:rsidRPr="00961490">
        <w:rPr>
          <w:rFonts w:ascii="Arial" w:hAnsi="Arial" w:cs="Arial"/>
          <w:sz w:val="20"/>
          <w:szCs w:val="20"/>
        </w:rPr>
        <w:t>76, 1691–1705 (1995).</w:t>
      </w:r>
    </w:p>
    <w:p w14:paraId="31CF84F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7. </w:t>
      </w:r>
      <w:r w:rsidRPr="00961490">
        <w:rPr>
          <w:rFonts w:ascii="Arial" w:hAnsi="Arial" w:cs="Arial"/>
          <w:sz w:val="20"/>
          <w:szCs w:val="20"/>
        </w:rPr>
        <w:tab/>
        <w:t xml:space="preserve">R. L. Lochmiller, C. Deerenberg, Trade-offs in evolutionary immunology: just what is the cost of immunity? </w:t>
      </w:r>
      <w:r w:rsidRPr="00961490">
        <w:rPr>
          <w:rFonts w:ascii="Arial" w:hAnsi="Arial" w:cs="Arial"/>
          <w:i/>
          <w:sz w:val="20"/>
          <w:szCs w:val="20"/>
        </w:rPr>
        <w:t xml:space="preserve">Oikos </w:t>
      </w:r>
      <w:r w:rsidRPr="00961490">
        <w:rPr>
          <w:rFonts w:ascii="Arial" w:hAnsi="Arial" w:cs="Arial"/>
          <w:sz w:val="20"/>
          <w:szCs w:val="20"/>
        </w:rPr>
        <w:t>88, 87–98 (2000).</w:t>
      </w:r>
    </w:p>
    <w:p w14:paraId="012D790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8. </w:t>
      </w:r>
      <w:r w:rsidRPr="00961490">
        <w:rPr>
          <w:rFonts w:ascii="Arial" w:hAnsi="Arial" w:cs="Arial"/>
          <w:sz w:val="20"/>
          <w:szCs w:val="20"/>
        </w:rPr>
        <w:tab/>
        <w:t xml:space="preserve">J. Maynard, </w:t>
      </w:r>
      <w:r w:rsidRPr="00961490">
        <w:rPr>
          <w:rFonts w:ascii="Arial" w:hAnsi="Arial" w:cs="Arial"/>
          <w:i/>
          <w:sz w:val="20"/>
          <w:szCs w:val="20"/>
        </w:rPr>
        <w:t>et al.</w:t>
      </w:r>
      <w:r w:rsidRPr="00961490">
        <w:rPr>
          <w:rFonts w:ascii="Arial" w:hAnsi="Arial" w:cs="Arial"/>
          <w:sz w:val="20"/>
          <w:szCs w:val="20"/>
        </w:rPr>
        <w:t xml:space="preserve">, Projections of climate conditions that increase coral disease susceptibility and pathogen abundance and virulence. </w:t>
      </w:r>
      <w:r w:rsidRPr="00961490">
        <w:rPr>
          <w:rFonts w:ascii="Arial" w:hAnsi="Arial" w:cs="Arial"/>
          <w:i/>
          <w:sz w:val="20"/>
          <w:szCs w:val="20"/>
        </w:rPr>
        <w:t xml:space="preserve">Nat. Clim. Change </w:t>
      </w:r>
      <w:r w:rsidRPr="00961490">
        <w:rPr>
          <w:rFonts w:ascii="Arial" w:hAnsi="Arial" w:cs="Arial"/>
          <w:sz w:val="20"/>
          <w:szCs w:val="20"/>
        </w:rPr>
        <w:t>5, 688–694 (2015).</w:t>
      </w:r>
    </w:p>
    <w:p w14:paraId="48891EA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9. </w:t>
      </w:r>
      <w:r w:rsidRPr="00961490">
        <w:rPr>
          <w:rFonts w:ascii="Arial" w:hAnsi="Arial" w:cs="Arial"/>
          <w:sz w:val="20"/>
          <w:szCs w:val="20"/>
        </w:rPr>
        <w:tab/>
        <w:t xml:space="preserve">C. Mora, </w:t>
      </w:r>
      <w:r w:rsidRPr="00961490">
        <w:rPr>
          <w:rFonts w:ascii="Arial" w:hAnsi="Arial" w:cs="Arial"/>
          <w:i/>
          <w:sz w:val="20"/>
          <w:szCs w:val="20"/>
        </w:rPr>
        <w:t>et al.</w:t>
      </w:r>
      <w:r w:rsidRPr="00961490">
        <w:rPr>
          <w:rFonts w:ascii="Arial" w:hAnsi="Arial" w:cs="Arial"/>
          <w:sz w:val="20"/>
          <w:szCs w:val="20"/>
        </w:rPr>
        <w:t xml:space="preserve">, Over half of known human pathogenic diseases can be aggravated by climate change. </w:t>
      </w:r>
      <w:r w:rsidRPr="00961490">
        <w:rPr>
          <w:rFonts w:ascii="Arial" w:hAnsi="Arial" w:cs="Arial"/>
          <w:i/>
          <w:sz w:val="20"/>
          <w:szCs w:val="20"/>
        </w:rPr>
        <w:t xml:space="preserve">Nat. Clim. Change </w:t>
      </w:r>
      <w:r w:rsidRPr="00961490">
        <w:rPr>
          <w:rFonts w:ascii="Arial" w:hAnsi="Arial" w:cs="Arial"/>
          <w:sz w:val="20"/>
          <w:szCs w:val="20"/>
        </w:rPr>
        <w:t>12, 869–875 (2022).</w:t>
      </w:r>
    </w:p>
    <w:p w14:paraId="4F6A5C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10. </w:t>
      </w:r>
      <w:r w:rsidRPr="00961490">
        <w:rPr>
          <w:rFonts w:ascii="Arial" w:hAnsi="Arial" w:cs="Arial"/>
          <w:sz w:val="20"/>
          <w:szCs w:val="20"/>
        </w:rPr>
        <w:tab/>
        <w:t xml:space="preserve">B. J. Parker, S. M. Barribeau, A. M. Laughton, L. H. Griffin, N. M. Gerardo, Life-history strategy determines constraints on immune function. </w:t>
      </w:r>
      <w:r w:rsidRPr="00961490">
        <w:rPr>
          <w:rFonts w:ascii="Arial" w:hAnsi="Arial" w:cs="Arial"/>
          <w:i/>
          <w:sz w:val="20"/>
          <w:szCs w:val="20"/>
        </w:rPr>
        <w:t xml:space="preserve">J. Anim. Ecol. </w:t>
      </w:r>
      <w:r w:rsidRPr="00961490">
        <w:rPr>
          <w:rFonts w:ascii="Arial" w:hAnsi="Arial" w:cs="Arial"/>
          <w:sz w:val="20"/>
          <w:szCs w:val="20"/>
        </w:rPr>
        <w:t>86, 473–483 (2017).</w:t>
      </w:r>
    </w:p>
    <w:p w14:paraId="3E5DA4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11. </w:t>
      </w:r>
      <w:r w:rsidRPr="00961490">
        <w:rPr>
          <w:rFonts w:ascii="Arial" w:hAnsi="Arial" w:cs="Arial"/>
          <w:sz w:val="20"/>
          <w:szCs w:val="20"/>
        </w:rPr>
        <w:tab/>
        <w:t xml:space="preserve">L. Baldassarre, H. Ying, A. M. Reitzel, S. Franzenburg, S. Fraune, Microbiota mediated plasticity promotes thermal adaptation in the sea anemone </w:t>
      </w:r>
      <w:r w:rsidRPr="00961490">
        <w:rPr>
          <w:rFonts w:ascii="Arial" w:hAnsi="Arial" w:cs="Arial"/>
          <w:i/>
          <w:iCs/>
          <w:sz w:val="20"/>
          <w:szCs w:val="20"/>
        </w:rPr>
        <w:t>Nematostella vectensis</w:t>
      </w:r>
      <w:r w:rsidRPr="00961490">
        <w:rPr>
          <w:rFonts w:ascii="Arial" w:hAnsi="Arial" w:cs="Arial"/>
          <w:sz w:val="20"/>
          <w:szCs w:val="20"/>
        </w:rPr>
        <w:t xml:space="preserve">. </w:t>
      </w:r>
      <w:r w:rsidRPr="00961490">
        <w:rPr>
          <w:rFonts w:ascii="Arial" w:hAnsi="Arial" w:cs="Arial"/>
          <w:i/>
          <w:sz w:val="20"/>
          <w:szCs w:val="20"/>
        </w:rPr>
        <w:t xml:space="preserve">Nat. Commun. </w:t>
      </w:r>
      <w:r w:rsidRPr="00961490">
        <w:rPr>
          <w:rFonts w:ascii="Arial" w:hAnsi="Arial" w:cs="Arial"/>
          <w:sz w:val="20"/>
          <w:szCs w:val="20"/>
        </w:rPr>
        <w:t>13, 3804 (2022).</w:t>
      </w:r>
    </w:p>
    <w:p w14:paraId="296D36D0" w14:textId="3FB425E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12. </w:t>
      </w:r>
      <w:r w:rsidRPr="00961490">
        <w:rPr>
          <w:rFonts w:ascii="Arial" w:hAnsi="Arial" w:cs="Arial"/>
          <w:sz w:val="20"/>
          <w:szCs w:val="20"/>
        </w:rPr>
        <w:tab/>
        <w:t xml:space="preserve">V. O. Ezenwa, N. M. Gerardo, D. W. Inouye, M. Medina, J. B. Xavier, Animal behavior and the microbiome. </w:t>
      </w:r>
      <w:r w:rsidRPr="00961490">
        <w:rPr>
          <w:rFonts w:ascii="Arial" w:hAnsi="Arial" w:cs="Arial"/>
          <w:i/>
          <w:sz w:val="20"/>
          <w:szCs w:val="20"/>
        </w:rPr>
        <w:t xml:space="preserve">Science </w:t>
      </w:r>
      <w:r w:rsidRPr="00961490">
        <w:rPr>
          <w:rFonts w:ascii="Arial" w:hAnsi="Arial" w:cs="Arial"/>
          <w:sz w:val="20"/>
          <w:szCs w:val="20"/>
        </w:rPr>
        <w:t>338, 198–199 (2012).</w:t>
      </w:r>
    </w:p>
    <w:p w14:paraId="5DDC9A5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13. </w:t>
      </w:r>
      <w:r w:rsidRPr="00961490">
        <w:rPr>
          <w:rFonts w:ascii="Arial" w:hAnsi="Arial" w:cs="Arial"/>
          <w:sz w:val="20"/>
          <w:szCs w:val="20"/>
        </w:rPr>
        <w:tab/>
        <w:t xml:space="preserve">A. W. Walters, </w:t>
      </w:r>
      <w:r w:rsidRPr="00961490">
        <w:rPr>
          <w:rFonts w:ascii="Arial" w:hAnsi="Arial" w:cs="Arial"/>
          <w:i/>
          <w:sz w:val="20"/>
          <w:szCs w:val="20"/>
        </w:rPr>
        <w:t>et al.</w:t>
      </w:r>
      <w:r w:rsidRPr="00961490">
        <w:rPr>
          <w:rFonts w:ascii="Arial" w:hAnsi="Arial" w:cs="Arial"/>
          <w:sz w:val="20"/>
          <w:szCs w:val="20"/>
        </w:rPr>
        <w:t xml:space="preserve">, The microbiota influences the </w:t>
      </w:r>
      <w:r w:rsidRPr="00961490">
        <w:rPr>
          <w:rFonts w:ascii="Arial" w:hAnsi="Arial" w:cs="Arial"/>
          <w:i/>
          <w:iCs/>
          <w:sz w:val="20"/>
          <w:szCs w:val="20"/>
        </w:rPr>
        <w:t>Drosophila melanogaster</w:t>
      </w:r>
      <w:r w:rsidRPr="00961490">
        <w:rPr>
          <w:rFonts w:ascii="Arial" w:hAnsi="Arial" w:cs="Arial"/>
          <w:sz w:val="20"/>
          <w:szCs w:val="20"/>
        </w:rPr>
        <w:t xml:space="preserve"> life history strategy. </w:t>
      </w:r>
      <w:r w:rsidRPr="00961490">
        <w:rPr>
          <w:rFonts w:ascii="Arial" w:hAnsi="Arial" w:cs="Arial"/>
          <w:i/>
          <w:sz w:val="20"/>
          <w:szCs w:val="20"/>
        </w:rPr>
        <w:t xml:space="preserve">Mol. Ecol. </w:t>
      </w:r>
      <w:r w:rsidRPr="00961490">
        <w:rPr>
          <w:rFonts w:ascii="Arial" w:hAnsi="Arial" w:cs="Arial"/>
          <w:sz w:val="20"/>
          <w:szCs w:val="20"/>
        </w:rPr>
        <w:t>29, 639–653 (2020).</w:t>
      </w:r>
    </w:p>
    <w:p w14:paraId="7319A7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14. </w:t>
      </w:r>
      <w:r w:rsidRPr="00961490">
        <w:rPr>
          <w:rFonts w:ascii="Arial" w:hAnsi="Arial" w:cs="Arial"/>
          <w:sz w:val="20"/>
          <w:szCs w:val="20"/>
        </w:rPr>
        <w:tab/>
        <w:t xml:space="preserve">P. M. Rosado, </w:t>
      </w:r>
      <w:r w:rsidRPr="00961490">
        <w:rPr>
          <w:rFonts w:ascii="Arial" w:hAnsi="Arial" w:cs="Arial"/>
          <w:i/>
          <w:sz w:val="20"/>
          <w:szCs w:val="20"/>
        </w:rPr>
        <w:t>et al.</w:t>
      </w:r>
      <w:r w:rsidRPr="00961490">
        <w:rPr>
          <w:rFonts w:ascii="Arial" w:hAnsi="Arial" w:cs="Arial"/>
          <w:sz w:val="20"/>
          <w:szCs w:val="20"/>
        </w:rPr>
        <w:t xml:space="preserve">, Marine probiotics: increasing coral resistance to bleaching through microbiome manipulation. </w:t>
      </w:r>
      <w:r w:rsidRPr="00961490">
        <w:rPr>
          <w:rFonts w:ascii="Arial" w:hAnsi="Arial" w:cs="Arial"/>
          <w:i/>
          <w:sz w:val="20"/>
          <w:szCs w:val="20"/>
        </w:rPr>
        <w:t xml:space="preserve">ISME J. </w:t>
      </w:r>
      <w:r w:rsidRPr="00961490">
        <w:rPr>
          <w:rFonts w:ascii="Arial" w:hAnsi="Arial" w:cs="Arial"/>
          <w:sz w:val="20"/>
          <w:szCs w:val="20"/>
        </w:rPr>
        <w:t>13, 921–936 (2019).</w:t>
      </w:r>
    </w:p>
    <w:p w14:paraId="3A44D6F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15. </w:t>
      </w:r>
      <w:r w:rsidRPr="00961490">
        <w:rPr>
          <w:rFonts w:ascii="Arial" w:hAnsi="Arial" w:cs="Arial"/>
          <w:sz w:val="20"/>
          <w:szCs w:val="20"/>
        </w:rPr>
        <w:tab/>
        <w:t>B. W. Hoeksema, Cairns, S., World list of Scleractinia (October 31, 2022).</w:t>
      </w:r>
    </w:p>
    <w:p w14:paraId="7DF7FC1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16. </w:t>
      </w:r>
      <w:r w:rsidRPr="00961490">
        <w:rPr>
          <w:rFonts w:ascii="Arial" w:hAnsi="Arial" w:cs="Arial"/>
          <w:sz w:val="20"/>
          <w:szCs w:val="20"/>
        </w:rPr>
        <w:tab/>
        <w:t xml:space="preserve">F. J. Pollock, </w:t>
      </w:r>
      <w:r w:rsidRPr="00961490">
        <w:rPr>
          <w:rFonts w:ascii="Arial" w:hAnsi="Arial" w:cs="Arial"/>
          <w:i/>
          <w:sz w:val="20"/>
          <w:szCs w:val="20"/>
        </w:rPr>
        <w:t>et al.</w:t>
      </w:r>
      <w:r w:rsidRPr="00961490">
        <w:rPr>
          <w:rFonts w:ascii="Arial" w:hAnsi="Arial" w:cs="Arial"/>
          <w:sz w:val="20"/>
          <w:szCs w:val="20"/>
        </w:rPr>
        <w:t xml:space="preserve">, Coral-associated bacteria demonstrate phylosymbiosis and cophylogeny. </w:t>
      </w:r>
      <w:r w:rsidRPr="00961490">
        <w:rPr>
          <w:rFonts w:ascii="Arial" w:hAnsi="Arial" w:cs="Arial"/>
          <w:i/>
          <w:sz w:val="20"/>
          <w:szCs w:val="20"/>
        </w:rPr>
        <w:t xml:space="preserve">Nat. Commun. </w:t>
      </w:r>
      <w:r w:rsidRPr="00961490">
        <w:rPr>
          <w:rFonts w:ascii="Arial" w:hAnsi="Arial" w:cs="Arial"/>
          <w:sz w:val="20"/>
          <w:szCs w:val="20"/>
        </w:rPr>
        <w:t>9, 1–13 (2018).</w:t>
      </w:r>
    </w:p>
    <w:p w14:paraId="2D8E5B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17. </w:t>
      </w:r>
      <w:r w:rsidRPr="00961490">
        <w:rPr>
          <w:rFonts w:ascii="Arial" w:hAnsi="Arial" w:cs="Arial"/>
          <w:sz w:val="20"/>
          <w:szCs w:val="20"/>
        </w:rPr>
        <w:tab/>
        <w:t xml:space="preserve">M. J. Huggett, A. Apprill, Coral microbiome database: Integration of sequences reveals high diversity and relatedness of coral-associated microbes. </w:t>
      </w:r>
      <w:r w:rsidRPr="00961490">
        <w:rPr>
          <w:rFonts w:ascii="Arial" w:hAnsi="Arial" w:cs="Arial"/>
          <w:i/>
          <w:sz w:val="20"/>
          <w:szCs w:val="20"/>
        </w:rPr>
        <w:t xml:space="preserve">Environ. Microbiol. Rep. </w:t>
      </w:r>
      <w:r w:rsidRPr="00961490">
        <w:rPr>
          <w:rFonts w:ascii="Arial" w:hAnsi="Arial" w:cs="Arial"/>
          <w:sz w:val="20"/>
          <w:szCs w:val="20"/>
        </w:rPr>
        <w:t>11, 372–385 (2019).</w:t>
      </w:r>
    </w:p>
    <w:p w14:paraId="494B3FD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18. </w:t>
      </w:r>
      <w:r w:rsidRPr="00961490">
        <w:rPr>
          <w:rFonts w:ascii="Arial" w:hAnsi="Arial" w:cs="Arial"/>
          <w:sz w:val="20"/>
          <w:szCs w:val="20"/>
        </w:rPr>
        <w:tab/>
        <w:t xml:space="preserve">C. M. Dunphy, T. C. Gouhier, N. D. Chu, S. V. Vollmer, Structure and stability of the coral microbiome in space and time. </w:t>
      </w:r>
      <w:r w:rsidRPr="00961490">
        <w:rPr>
          <w:rFonts w:ascii="Arial" w:hAnsi="Arial" w:cs="Arial"/>
          <w:i/>
          <w:sz w:val="20"/>
          <w:szCs w:val="20"/>
        </w:rPr>
        <w:t xml:space="preserve">Sci. Rep. </w:t>
      </w:r>
      <w:r w:rsidRPr="00961490">
        <w:rPr>
          <w:rFonts w:ascii="Arial" w:hAnsi="Arial" w:cs="Arial"/>
          <w:sz w:val="20"/>
          <w:szCs w:val="20"/>
        </w:rPr>
        <w:t>9, 6785 (2019).</w:t>
      </w:r>
    </w:p>
    <w:p w14:paraId="66DC9A5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19. </w:t>
      </w:r>
      <w:r w:rsidRPr="00961490">
        <w:rPr>
          <w:rFonts w:ascii="Arial" w:hAnsi="Arial" w:cs="Arial"/>
          <w:sz w:val="20"/>
          <w:szCs w:val="20"/>
        </w:rPr>
        <w:tab/>
        <w:t xml:space="preserve">F. Moberg, C. Folke, Ecological goods and services of coral reef ecosystems. </w:t>
      </w:r>
      <w:r w:rsidRPr="00961490">
        <w:rPr>
          <w:rFonts w:ascii="Arial" w:hAnsi="Arial" w:cs="Arial"/>
          <w:i/>
          <w:sz w:val="20"/>
          <w:szCs w:val="20"/>
        </w:rPr>
        <w:t xml:space="preserve">Ecol. Econ. </w:t>
      </w:r>
      <w:r w:rsidRPr="00961490">
        <w:rPr>
          <w:rFonts w:ascii="Arial" w:hAnsi="Arial" w:cs="Arial"/>
          <w:sz w:val="20"/>
          <w:szCs w:val="20"/>
        </w:rPr>
        <w:t>29, 215–233 (1999).</w:t>
      </w:r>
    </w:p>
    <w:p w14:paraId="381A75F1" w14:textId="0DC7012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20. </w:t>
      </w:r>
      <w:r w:rsidRPr="00961490">
        <w:rPr>
          <w:rFonts w:ascii="Arial" w:hAnsi="Arial" w:cs="Arial"/>
          <w:sz w:val="20"/>
          <w:szCs w:val="20"/>
        </w:rPr>
        <w:tab/>
        <w:t xml:space="preserve">R. Berkelmans, M. J. H. van Oppen, The role of zooxanthellae in the thermal tolerance of corals: A ‘nugget of hope’ for coral reefs in an era of climate change. </w:t>
      </w:r>
      <w:r w:rsidRPr="00961490">
        <w:rPr>
          <w:rFonts w:ascii="Arial" w:hAnsi="Arial" w:cs="Arial"/>
          <w:i/>
          <w:sz w:val="20"/>
          <w:szCs w:val="20"/>
        </w:rPr>
        <w:t xml:space="preserve">Proc. R. Soc. B Biol. Sci. </w:t>
      </w:r>
      <w:r w:rsidRPr="00961490">
        <w:rPr>
          <w:rFonts w:ascii="Arial" w:hAnsi="Arial" w:cs="Arial"/>
          <w:sz w:val="20"/>
          <w:szCs w:val="20"/>
        </w:rPr>
        <w:t>273, 2305–2312 (2006).</w:t>
      </w:r>
    </w:p>
    <w:p w14:paraId="6A2B731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21. </w:t>
      </w:r>
      <w:r w:rsidRPr="00961490">
        <w:rPr>
          <w:rFonts w:ascii="Arial" w:hAnsi="Arial" w:cs="Arial"/>
          <w:sz w:val="20"/>
          <w:szCs w:val="20"/>
        </w:rPr>
        <w:tab/>
        <w:t xml:space="preserve">R. N. Silverstein, R. Cunning, A. C. Baker, Tenacious D: </w:t>
      </w:r>
      <w:r w:rsidRPr="00961490">
        <w:rPr>
          <w:rFonts w:ascii="Arial" w:hAnsi="Arial" w:cs="Arial"/>
          <w:i/>
          <w:iCs/>
          <w:sz w:val="20"/>
          <w:szCs w:val="20"/>
        </w:rPr>
        <w:t>Symbiodinium</w:t>
      </w:r>
      <w:r w:rsidRPr="00961490">
        <w:rPr>
          <w:rFonts w:ascii="Arial" w:hAnsi="Arial" w:cs="Arial"/>
          <w:sz w:val="20"/>
          <w:szCs w:val="20"/>
        </w:rPr>
        <w:t xml:space="preserve"> in clade D remain in reef corals at both high and low temperature extremes despite impairment. </w:t>
      </w:r>
      <w:r w:rsidRPr="00961490">
        <w:rPr>
          <w:rFonts w:ascii="Arial" w:hAnsi="Arial" w:cs="Arial"/>
          <w:i/>
          <w:sz w:val="20"/>
          <w:szCs w:val="20"/>
        </w:rPr>
        <w:t xml:space="preserve">J. Exp. Biol. </w:t>
      </w:r>
      <w:r w:rsidRPr="00961490">
        <w:rPr>
          <w:rFonts w:ascii="Arial" w:hAnsi="Arial" w:cs="Arial"/>
          <w:sz w:val="20"/>
          <w:szCs w:val="20"/>
        </w:rPr>
        <w:t>220, 1192–1196 (2017).</w:t>
      </w:r>
    </w:p>
    <w:p w14:paraId="1FEA4F2F" w14:textId="7F9EE5EC"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22. </w:t>
      </w:r>
      <w:r w:rsidRPr="00961490">
        <w:rPr>
          <w:rFonts w:ascii="Arial" w:hAnsi="Arial" w:cs="Arial"/>
          <w:sz w:val="20"/>
          <w:szCs w:val="20"/>
        </w:rPr>
        <w:tab/>
        <w:t xml:space="preserve">A. C. Hartmann, A. H. Baird, N. Knowlton, D. Huang, The paradox of environmental symbiont acquisition in obligate mutualisms. </w:t>
      </w:r>
      <w:r w:rsidRPr="00961490">
        <w:rPr>
          <w:rFonts w:ascii="Arial" w:hAnsi="Arial" w:cs="Arial"/>
          <w:i/>
          <w:sz w:val="20"/>
          <w:szCs w:val="20"/>
        </w:rPr>
        <w:t xml:space="preserve">Curr. Biol. </w:t>
      </w:r>
      <w:r w:rsidRPr="00961490">
        <w:rPr>
          <w:rFonts w:ascii="Arial" w:hAnsi="Arial" w:cs="Arial"/>
          <w:sz w:val="20"/>
          <w:szCs w:val="20"/>
        </w:rPr>
        <w:t>27, 3711-3716.e3 (2017).</w:t>
      </w:r>
    </w:p>
    <w:p w14:paraId="7AEC8926"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23. </w:t>
      </w:r>
      <w:r w:rsidRPr="00961490">
        <w:rPr>
          <w:rFonts w:ascii="Arial" w:hAnsi="Arial" w:cs="Arial"/>
          <w:sz w:val="20"/>
          <w:szCs w:val="20"/>
        </w:rPr>
        <w:tab/>
        <w:t xml:space="preserve">J. M. Casey, T. D. Ainsworth, J. H. Choat, S. R. Connolly, Farming behaviour of reef fishes increases the prevalence of coral disease associated microbes and black band disease. </w:t>
      </w:r>
      <w:r w:rsidRPr="00961490">
        <w:rPr>
          <w:rFonts w:ascii="Arial" w:hAnsi="Arial" w:cs="Arial"/>
          <w:i/>
          <w:sz w:val="20"/>
          <w:szCs w:val="20"/>
        </w:rPr>
        <w:t xml:space="preserve">Proc. R. Soc. B Biol. Sci. </w:t>
      </w:r>
      <w:r w:rsidRPr="00961490">
        <w:rPr>
          <w:rFonts w:ascii="Arial" w:hAnsi="Arial" w:cs="Arial"/>
          <w:sz w:val="20"/>
          <w:szCs w:val="20"/>
        </w:rPr>
        <w:t>281, 20141032 (2014).</w:t>
      </w:r>
    </w:p>
    <w:p w14:paraId="5F56772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24. </w:t>
      </w:r>
      <w:r w:rsidRPr="00961490">
        <w:rPr>
          <w:rFonts w:ascii="Arial" w:hAnsi="Arial" w:cs="Arial"/>
          <w:sz w:val="20"/>
          <w:szCs w:val="20"/>
        </w:rPr>
        <w:tab/>
        <w:t xml:space="preserve">J. A. J. M. van de Water, </w:t>
      </w:r>
      <w:r w:rsidRPr="00961490">
        <w:rPr>
          <w:rFonts w:ascii="Arial" w:hAnsi="Arial" w:cs="Arial"/>
          <w:i/>
          <w:sz w:val="20"/>
          <w:szCs w:val="20"/>
        </w:rPr>
        <w:t>et al.</w:t>
      </w:r>
      <w:r w:rsidRPr="00961490">
        <w:rPr>
          <w:rFonts w:ascii="Arial" w:hAnsi="Arial" w:cs="Arial"/>
          <w:sz w:val="20"/>
          <w:szCs w:val="20"/>
        </w:rPr>
        <w:t xml:space="preserve">, Antimicrobial and stress responses to increased </w:t>
      </w:r>
      <w:r w:rsidRPr="00961490">
        <w:rPr>
          <w:rFonts w:ascii="Arial" w:hAnsi="Arial" w:cs="Arial"/>
          <w:sz w:val="20"/>
          <w:szCs w:val="20"/>
        </w:rPr>
        <w:lastRenderedPageBreak/>
        <w:t xml:space="preserve">temperature and bacterial pathogen challenge in the holobiont of a reef-building coral. </w:t>
      </w:r>
      <w:r w:rsidRPr="00961490">
        <w:rPr>
          <w:rFonts w:ascii="Arial" w:hAnsi="Arial" w:cs="Arial"/>
          <w:i/>
          <w:sz w:val="20"/>
          <w:szCs w:val="20"/>
        </w:rPr>
        <w:t xml:space="preserve">Mol. Ecol. </w:t>
      </w:r>
      <w:r w:rsidRPr="00961490">
        <w:rPr>
          <w:rFonts w:ascii="Arial" w:hAnsi="Arial" w:cs="Arial"/>
          <w:sz w:val="20"/>
          <w:szCs w:val="20"/>
        </w:rPr>
        <w:t>27, 1065–1080.</w:t>
      </w:r>
    </w:p>
    <w:p w14:paraId="1326193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25. </w:t>
      </w:r>
      <w:r w:rsidRPr="00961490">
        <w:rPr>
          <w:rFonts w:ascii="Arial" w:hAnsi="Arial" w:cs="Arial"/>
          <w:sz w:val="20"/>
          <w:szCs w:val="20"/>
        </w:rPr>
        <w:tab/>
        <w:t xml:space="preserve">R. M. Welsh, </w:t>
      </w:r>
      <w:r w:rsidRPr="00961490">
        <w:rPr>
          <w:rFonts w:ascii="Arial" w:hAnsi="Arial" w:cs="Arial"/>
          <w:i/>
          <w:sz w:val="20"/>
          <w:szCs w:val="20"/>
        </w:rPr>
        <w:t>et al.</w:t>
      </w:r>
      <w:r w:rsidRPr="00961490">
        <w:rPr>
          <w:rFonts w:ascii="Arial" w:hAnsi="Arial" w:cs="Arial"/>
          <w:sz w:val="20"/>
          <w:szCs w:val="20"/>
        </w:rPr>
        <w:t xml:space="preserve">, Bacterial predation in a marine host-associated microbiome. </w:t>
      </w:r>
      <w:r w:rsidRPr="00961490">
        <w:rPr>
          <w:rFonts w:ascii="Arial" w:hAnsi="Arial" w:cs="Arial"/>
          <w:i/>
          <w:sz w:val="20"/>
          <w:szCs w:val="20"/>
        </w:rPr>
        <w:t xml:space="preserve">ISME J. </w:t>
      </w:r>
      <w:r w:rsidRPr="00961490">
        <w:rPr>
          <w:rFonts w:ascii="Arial" w:hAnsi="Arial" w:cs="Arial"/>
          <w:sz w:val="20"/>
          <w:szCs w:val="20"/>
        </w:rPr>
        <w:t>10, 1540–1544 (2016).</w:t>
      </w:r>
    </w:p>
    <w:p w14:paraId="37A22B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26. </w:t>
      </w:r>
      <w:r w:rsidRPr="00961490">
        <w:rPr>
          <w:rFonts w:ascii="Arial" w:hAnsi="Arial" w:cs="Arial"/>
          <w:sz w:val="20"/>
          <w:szCs w:val="20"/>
        </w:rPr>
        <w:tab/>
        <w:t xml:space="preserve">J. Li, W. Kuang, L. Long, S. Zhang, Production of quorum-sensing signals by bacteria in the coral mucus layer. </w:t>
      </w:r>
      <w:r w:rsidRPr="00961490">
        <w:rPr>
          <w:rFonts w:ascii="Arial" w:hAnsi="Arial" w:cs="Arial"/>
          <w:i/>
          <w:sz w:val="20"/>
          <w:szCs w:val="20"/>
        </w:rPr>
        <w:t xml:space="preserve">Coral Reefs </w:t>
      </w:r>
      <w:r w:rsidRPr="00961490">
        <w:rPr>
          <w:rFonts w:ascii="Arial" w:hAnsi="Arial" w:cs="Arial"/>
          <w:sz w:val="20"/>
          <w:szCs w:val="20"/>
        </w:rPr>
        <w:t>36, 1235–1241 (2017).</w:t>
      </w:r>
    </w:p>
    <w:p w14:paraId="635C28EF"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27. </w:t>
      </w:r>
      <w:r w:rsidRPr="00961490">
        <w:rPr>
          <w:rFonts w:ascii="Arial" w:hAnsi="Arial" w:cs="Arial"/>
          <w:sz w:val="20"/>
          <w:szCs w:val="20"/>
        </w:rPr>
        <w:tab/>
        <w:t xml:space="preserve">S. M. Rosales, </w:t>
      </w:r>
      <w:r w:rsidRPr="00961490">
        <w:rPr>
          <w:rFonts w:ascii="Arial" w:hAnsi="Arial" w:cs="Arial"/>
          <w:i/>
          <w:sz w:val="20"/>
          <w:szCs w:val="20"/>
        </w:rPr>
        <w:t>et al.</w:t>
      </w:r>
      <w:r w:rsidRPr="00961490">
        <w:rPr>
          <w:rFonts w:ascii="Arial" w:hAnsi="Arial" w:cs="Arial"/>
          <w:sz w:val="20"/>
          <w:szCs w:val="20"/>
        </w:rPr>
        <w:t xml:space="preserve">, Microbiome differences in disease-resistant vs. susceptible </w:t>
      </w:r>
      <w:r w:rsidRPr="00961490">
        <w:rPr>
          <w:rFonts w:ascii="Arial" w:hAnsi="Arial" w:cs="Arial"/>
          <w:i/>
          <w:iCs/>
          <w:sz w:val="20"/>
          <w:szCs w:val="20"/>
        </w:rPr>
        <w:t xml:space="preserve">Acropora </w:t>
      </w:r>
      <w:r w:rsidRPr="00961490">
        <w:rPr>
          <w:rFonts w:ascii="Arial" w:hAnsi="Arial" w:cs="Arial"/>
          <w:sz w:val="20"/>
          <w:szCs w:val="20"/>
        </w:rPr>
        <w:t xml:space="preserve">corals subjected to disease challenge assays. </w:t>
      </w:r>
      <w:r w:rsidRPr="00961490">
        <w:rPr>
          <w:rFonts w:ascii="Arial" w:hAnsi="Arial" w:cs="Arial"/>
          <w:i/>
          <w:sz w:val="20"/>
          <w:szCs w:val="20"/>
        </w:rPr>
        <w:t xml:space="preserve">Sci. Rep. </w:t>
      </w:r>
      <w:r w:rsidRPr="00961490">
        <w:rPr>
          <w:rFonts w:ascii="Arial" w:hAnsi="Arial" w:cs="Arial"/>
          <w:sz w:val="20"/>
          <w:szCs w:val="20"/>
        </w:rPr>
        <w:t>9, 18279 (2019).</w:t>
      </w:r>
    </w:p>
    <w:p w14:paraId="619B444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28. </w:t>
      </w:r>
      <w:r w:rsidRPr="00961490">
        <w:rPr>
          <w:rFonts w:ascii="Arial" w:hAnsi="Arial" w:cs="Arial"/>
          <w:sz w:val="20"/>
          <w:szCs w:val="20"/>
        </w:rPr>
        <w:tab/>
        <w:t xml:space="preserve">J. S. Madin, </w:t>
      </w:r>
      <w:r w:rsidRPr="00961490">
        <w:rPr>
          <w:rFonts w:ascii="Arial" w:hAnsi="Arial" w:cs="Arial"/>
          <w:i/>
          <w:sz w:val="20"/>
          <w:szCs w:val="20"/>
        </w:rPr>
        <w:t>et al.</w:t>
      </w:r>
      <w:r w:rsidRPr="00961490">
        <w:rPr>
          <w:rFonts w:ascii="Arial" w:hAnsi="Arial" w:cs="Arial"/>
          <w:sz w:val="20"/>
          <w:szCs w:val="20"/>
        </w:rPr>
        <w:t xml:space="preserve">, The Coral Trait Database, a curated database of trait information for coral species from the global oceans. </w:t>
      </w:r>
      <w:r w:rsidRPr="00961490">
        <w:rPr>
          <w:rFonts w:ascii="Arial" w:hAnsi="Arial" w:cs="Arial"/>
          <w:i/>
          <w:sz w:val="20"/>
          <w:szCs w:val="20"/>
        </w:rPr>
        <w:t xml:space="preserve">Sci. Data </w:t>
      </w:r>
      <w:r w:rsidRPr="00961490">
        <w:rPr>
          <w:rFonts w:ascii="Arial" w:hAnsi="Arial" w:cs="Arial"/>
          <w:sz w:val="20"/>
          <w:szCs w:val="20"/>
        </w:rPr>
        <w:t>3, sdata201617 (2016).</w:t>
      </w:r>
    </w:p>
    <w:p w14:paraId="1C96F70A" w14:textId="046C811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29. </w:t>
      </w:r>
      <w:r w:rsidRPr="00961490">
        <w:rPr>
          <w:rFonts w:ascii="Arial" w:hAnsi="Arial" w:cs="Arial"/>
          <w:sz w:val="20"/>
          <w:szCs w:val="20"/>
        </w:rPr>
        <w:tab/>
        <w:t xml:space="preserve">J. M. Caldwell, </w:t>
      </w:r>
      <w:r w:rsidRPr="00961490">
        <w:rPr>
          <w:rFonts w:ascii="Arial" w:hAnsi="Arial" w:cs="Arial"/>
          <w:i/>
          <w:sz w:val="20"/>
          <w:szCs w:val="20"/>
        </w:rPr>
        <w:t>et al.</w:t>
      </w:r>
      <w:r w:rsidRPr="00961490">
        <w:rPr>
          <w:rFonts w:ascii="Arial" w:hAnsi="Arial" w:cs="Arial"/>
          <w:sz w:val="20"/>
          <w:szCs w:val="20"/>
        </w:rPr>
        <w:t xml:space="preserve">, Hawai'i Coral Disease database (HICORDIS): species-specific coral health data from across the Hawaiian archipelago. </w:t>
      </w:r>
      <w:r w:rsidRPr="00961490">
        <w:rPr>
          <w:rFonts w:ascii="Arial" w:hAnsi="Arial" w:cs="Arial"/>
          <w:i/>
          <w:sz w:val="20"/>
          <w:szCs w:val="20"/>
        </w:rPr>
        <w:t xml:space="preserve">Data Brief </w:t>
      </w:r>
      <w:r w:rsidRPr="00961490">
        <w:rPr>
          <w:rFonts w:ascii="Arial" w:hAnsi="Arial" w:cs="Arial"/>
          <w:sz w:val="20"/>
          <w:szCs w:val="20"/>
        </w:rPr>
        <w:t>8, 1054–1058 (2016).</w:t>
      </w:r>
    </w:p>
    <w:p w14:paraId="66900AA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30. </w:t>
      </w:r>
      <w:r w:rsidRPr="00961490">
        <w:rPr>
          <w:rFonts w:ascii="Arial" w:hAnsi="Arial" w:cs="Arial"/>
          <w:sz w:val="20"/>
          <w:szCs w:val="20"/>
        </w:rPr>
        <w:tab/>
        <w:t xml:space="preserve">D. Huang, K. Roy, The future of evolutionary diversity in reef corals. </w:t>
      </w:r>
      <w:r w:rsidRPr="00961490">
        <w:rPr>
          <w:rFonts w:ascii="Arial" w:hAnsi="Arial" w:cs="Arial"/>
          <w:i/>
          <w:sz w:val="20"/>
          <w:szCs w:val="20"/>
        </w:rPr>
        <w:t xml:space="preserve">Philos. Trans. R. Soc. B Biol. Sci. </w:t>
      </w:r>
      <w:r w:rsidRPr="00961490">
        <w:rPr>
          <w:rFonts w:ascii="Arial" w:hAnsi="Arial" w:cs="Arial"/>
          <w:sz w:val="20"/>
          <w:szCs w:val="20"/>
        </w:rPr>
        <w:t>370, 20140010 (2015).</w:t>
      </w:r>
    </w:p>
    <w:p w14:paraId="3EF5A8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31.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Characterization of coral-associated microbial aggregates (CAMAs) within tissues of the coral </w:t>
      </w:r>
      <w:r w:rsidRPr="00961490">
        <w:rPr>
          <w:rFonts w:ascii="Arial" w:hAnsi="Arial" w:cs="Arial"/>
          <w:i/>
          <w:iCs/>
          <w:sz w:val="20"/>
          <w:szCs w:val="20"/>
        </w:rPr>
        <w:t>Acropora hyacinthus</w:t>
      </w:r>
      <w:r w:rsidRPr="00961490">
        <w:rPr>
          <w:rFonts w:ascii="Arial" w:hAnsi="Arial" w:cs="Arial"/>
          <w:sz w:val="20"/>
          <w:szCs w:val="20"/>
        </w:rPr>
        <w:t xml:space="preserve">. </w:t>
      </w:r>
      <w:r w:rsidRPr="00961490">
        <w:rPr>
          <w:rFonts w:ascii="Arial" w:hAnsi="Arial" w:cs="Arial"/>
          <w:i/>
          <w:sz w:val="20"/>
          <w:szCs w:val="20"/>
        </w:rPr>
        <w:t xml:space="preserve">Sci. Rep. </w:t>
      </w:r>
      <w:r w:rsidRPr="00961490">
        <w:rPr>
          <w:rFonts w:ascii="Arial" w:hAnsi="Arial" w:cs="Arial"/>
          <w:sz w:val="20"/>
          <w:szCs w:val="20"/>
        </w:rPr>
        <w:t>9, 14662 (2019).</w:t>
      </w:r>
    </w:p>
    <w:p w14:paraId="7150C533" w14:textId="1E37A92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32. </w:t>
      </w:r>
      <w:r w:rsidRPr="00961490">
        <w:rPr>
          <w:rFonts w:ascii="Arial" w:hAnsi="Arial" w:cs="Arial"/>
          <w:sz w:val="20"/>
          <w:szCs w:val="20"/>
        </w:rPr>
        <w:tab/>
        <w:t xml:space="preserve">J. J. Stachowicz, R. B. Whitlatch, R. W. Osman, Species diversity and invasion resistance in a marine ecosystem. </w:t>
      </w:r>
      <w:r w:rsidRPr="00961490">
        <w:rPr>
          <w:rFonts w:ascii="Arial" w:hAnsi="Arial" w:cs="Arial"/>
          <w:i/>
          <w:sz w:val="20"/>
          <w:szCs w:val="20"/>
        </w:rPr>
        <w:t xml:space="preserve">Science </w:t>
      </w:r>
      <w:r w:rsidRPr="00961490">
        <w:rPr>
          <w:rFonts w:ascii="Arial" w:hAnsi="Arial" w:cs="Arial"/>
          <w:sz w:val="20"/>
          <w:szCs w:val="20"/>
        </w:rPr>
        <w:t>286, 1577–1579 (1999).</w:t>
      </w:r>
    </w:p>
    <w:p w14:paraId="42AA1F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33. </w:t>
      </w:r>
      <w:r w:rsidRPr="00961490">
        <w:rPr>
          <w:rFonts w:ascii="Arial" w:hAnsi="Arial" w:cs="Arial"/>
          <w:sz w:val="20"/>
          <w:szCs w:val="20"/>
        </w:rPr>
        <w:tab/>
        <w:t xml:space="preserve">J. Morais, A. P. L. R. Cardoso, B. A. Santos, A global synthesis of the current knowledge on the taxonomic and geographic distribution of major coral diseases. </w:t>
      </w:r>
      <w:r w:rsidRPr="00961490">
        <w:rPr>
          <w:rFonts w:ascii="Arial" w:hAnsi="Arial" w:cs="Arial"/>
          <w:i/>
          <w:sz w:val="20"/>
          <w:szCs w:val="20"/>
        </w:rPr>
        <w:t xml:space="preserve">Environ. Adv. </w:t>
      </w:r>
      <w:r w:rsidRPr="00961490">
        <w:rPr>
          <w:rFonts w:ascii="Arial" w:hAnsi="Arial" w:cs="Arial"/>
          <w:sz w:val="20"/>
          <w:szCs w:val="20"/>
        </w:rPr>
        <w:t>8, 100231 (2022).</w:t>
      </w:r>
    </w:p>
    <w:p w14:paraId="13837F3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34. </w:t>
      </w:r>
      <w:r w:rsidRPr="00961490">
        <w:rPr>
          <w:rFonts w:ascii="Arial" w:hAnsi="Arial" w:cs="Arial"/>
          <w:sz w:val="20"/>
          <w:szCs w:val="20"/>
        </w:rPr>
        <w:tab/>
        <w:t>G. Klinges, R. L. Maher, R. L. Vega Thurber, E. M. Muller, Parasitic ‘</w:t>
      </w:r>
      <w:r w:rsidRPr="00961490">
        <w:rPr>
          <w:rFonts w:ascii="Arial" w:hAnsi="Arial" w:cs="Arial"/>
          <w:i/>
          <w:iCs/>
          <w:sz w:val="20"/>
          <w:szCs w:val="20"/>
        </w:rPr>
        <w:t>Candidatus</w:t>
      </w:r>
      <w:r w:rsidRPr="00961490">
        <w:rPr>
          <w:rFonts w:ascii="Arial" w:hAnsi="Arial" w:cs="Arial"/>
          <w:sz w:val="20"/>
          <w:szCs w:val="20"/>
        </w:rPr>
        <w:t xml:space="preserve"> Aquarickettsia rohweri’ is a marker of disease susceptibility in </w:t>
      </w:r>
      <w:r w:rsidRPr="00961490">
        <w:rPr>
          <w:rFonts w:ascii="Arial" w:hAnsi="Arial" w:cs="Arial"/>
          <w:i/>
          <w:iCs/>
          <w:sz w:val="20"/>
          <w:szCs w:val="20"/>
        </w:rPr>
        <w:t>Acropora cervicornis</w:t>
      </w:r>
      <w:r w:rsidRPr="00961490">
        <w:rPr>
          <w:rFonts w:ascii="Arial" w:hAnsi="Arial" w:cs="Arial"/>
          <w:sz w:val="20"/>
          <w:szCs w:val="20"/>
        </w:rPr>
        <w:t xml:space="preserve"> but is lost during thermal stress. </w:t>
      </w:r>
      <w:r w:rsidRPr="00961490">
        <w:rPr>
          <w:rFonts w:ascii="Arial" w:hAnsi="Arial" w:cs="Arial"/>
          <w:i/>
          <w:sz w:val="20"/>
          <w:szCs w:val="20"/>
        </w:rPr>
        <w:t xml:space="preserve">Environ. Microbiol. </w:t>
      </w:r>
      <w:r w:rsidRPr="00961490">
        <w:rPr>
          <w:rFonts w:ascii="Arial" w:hAnsi="Arial" w:cs="Arial"/>
          <w:sz w:val="20"/>
          <w:szCs w:val="20"/>
        </w:rPr>
        <w:t>22, 5341–5355 (2020).</w:t>
      </w:r>
    </w:p>
    <w:p w14:paraId="36B4682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35. </w:t>
      </w:r>
      <w:r w:rsidRPr="00961490">
        <w:rPr>
          <w:rFonts w:ascii="Arial" w:hAnsi="Arial" w:cs="Arial"/>
          <w:sz w:val="20"/>
          <w:szCs w:val="20"/>
        </w:rPr>
        <w:tab/>
        <w:t xml:space="preserve">L. J. Baker, </w:t>
      </w:r>
      <w:r w:rsidRPr="00961490">
        <w:rPr>
          <w:rFonts w:ascii="Arial" w:hAnsi="Arial" w:cs="Arial"/>
          <w:i/>
          <w:sz w:val="20"/>
          <w:szCs w:val="20"/>
        </w:rPr>
        <w:t>et al.</w:t>
      </w:r>
      <w:r w:rsidRPr="00961490">
        <w:rPr>
          <w:rFonts w:ascii="Arial" w:hAnsi="Arial" w:cs="Arial"/>
          <w:sz w:val="20"/>
          <w:szCs w:val="20"/>
        </w:rPr>
        <w:t xml:space="preserve">, The coral symbiont </w:t>
      </w:r>
      <w:r w:rsidRPr="00961490">
        <w:rPr>
          <w:rFonts w:ascii="Arial" w:hAnsi="Arial" w:cs="Arial"/>
          <w:i/>
          <w:iCs/>
          <w:sz w:val="20"/>
          <w:szCs w:val="20"/>
        </w:rPr>
        <w:t xml:space="preserve">Candidatus </w:t>
      </w:r>
      <w:r w:rsidRPr="00961490">
        <w:rPr>
          <w:rFonts w:ascii="Arial" w:hAnsi="Arial" w:cs="Arial"/>
          <w:sz w:val="20"/>
          <w:szCs w:val="20"/>
        </w:rPr>
        <w:t xml:space="preserve">Aquarickettsia is variably abundant in threatened Caribbean acroporids and transmitted horizontally. </w:t>
      </w:r>
      <w:r w:rsidRPr="00961490">
        <w:rPr>
          <w:rFonts w:ascii="Arial" w:hAnsi="Arial" w:cs="Arial"/>
          <w:i/>
          <w:sz w:val="20"/>
          <w:szCs w:val="20"/>
        </w:rPr>
        <w:t xml:space="preserve">ISME J. </w:t>
      </w:r>
      <w:r w:rsidRPr="00961490">
        <w:rPr>
          <w:rFonts w:ascii="Arial" w:hAnsi="Arial" w:cs="Arial"/>
          <w:sz w:val="20"/>
          <w:szCs w:val="20"/>
        </w:rPr>
        <w:t>16, 400–411 (2022).</w:t>
      </w:r>
    </w:p>
    <w:p w14:paraId="420C6D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36. </w:t>
      </w:r>
      <w:r w:rsidRPr="00961490">
        <w:rPr>
          <w:rFonts w:ascii="Arial" w:hAnsi="Arial" w:cs="Arial"/>
          <w:sz w:val="20"/>
          <w:szCs w:val="20"/>
        </w:rPr>
        <w:tab/>
        <w:t xml:space="preserve">O. Pantos, </w:t>
      </w:r>
      <w:r w:rsidRPr="00961490">
        <w:rPr>
          <w:rFonts w:ascii="Arial" w:hAnsi="Arial" w:cs="Arial"/>
          <w:i/>
          <w:sz w:val="20"/>
          <w:szCs w:val="20"/>
        </w:rPr>
        <w:t>et al.</w:t>
      </w:r>
      <w:r w:rsidRPr="00961490">
        <w:rPr>
          <w:rFonts w:ascii="Arial" w:hAnsi="Arial" w:cs="Arial"/>
          <w:sz w:val="20"/>
          <w:szCs w:val="20"/>
        </w:rPr>
        <w:t xml:space="preserve">, The bacterial ecology of a plague-like disease affecting the Caribbean coral </w:t>
      </w:r>
      <w:r w:rsidRPr="00961490">
        <w:rPr>
          <w:rFonts w:ascii="Arial" w:hAnsi="Arial" w:cs="Arial"/>
          <w:i/>
          <w:iCs/>
          <w:sz w:val="20"/>
          <w:szCs w:val="20"/>
        </w:rPr>
        <w:t>Montastrea annularis</w:t>
      </w:r>
      <w:r w:rsidRPr="00961490">
        <w:rPr>
          <w:rFonts w:ascii="Arial" w:hAnsi="Arial" w:cs="Arial"/>
          <w:sz w:val="20"/>
          <w:szCs w:val="20"/>
        </w:rPr>
        <w:t xml:space="preserve">. </w:t>
      </w:r>
      <w:r w:rsidRPr="00961490">
        <w:rPr>
          <w:rFonts w:ascii="Arial" w:hAnsi="Arial" w:cs="Arial"/>
          <w:i/>
          <w:sz w:val="20"/>
          <w:szCs w:val="20"/>
        </w:rPr>
        <w:t xml:space="preserve">Environ. Microbiol. </w:t>
      </w:r>
      <w:r w:rsidRPr="00961490">
        <w:rPr>
          <w:rFonts w:ascii="Arial" w:hAnsi="Arial" w:cs="Arial"/>
          <w:sz w:val="20"/>
          <w:szCs w:val="20"/>
        </w:rPr>
        <w:t>5, 370–382 (2003).</w:t>
      </w:r>
    </w:p>
    <w:p w14:paraId="71DA059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37. </w:t>
      </w:r>
      <w:r w:rsidRPr="00961490">
        <w:rPr>
          <w:rFonts w:ascii="Arial" w:hAnsi="Arial" w:cs="Arial"/>
          <w:sz w:val="20"/>
          <w:szCs w:val="20"/>
        </w:rPr>
        <w:tab/>
        <w:t xml:space="preserve">D. Bourne, Y. Iida, S. Uthicke, C. Smith-Keune, Changes in coral-associated microbial communities during a bleaching event. </w:t>
      </w:r>
      <w:r w:rsidRPr="00961490">
        <w:rPr>
          <w:rFonts w:ascii="Arial" w:hAnsi="Arial" w:cs="Arial"/>
          <w:i/>
          <w:sz w:val="20"/>
          <w:szCs w:val="20"/>
        </w:rPr>
        <w:t xml:space="preserve">ISME J. </w:t>
      </w:r>
      <w:r w:rsidRPr="00961490">
        <w:rPr>
          <w:rFonts w:ascii="Arial" w:hAnsi="Arial" w:cs="Arial"/>
          <w:sz w:val="20"/>
          <w:szCs w:val="20"/>
        </w:rPr>
        <w:t>2, 350–363 (2008).</w:t>
      </w:r>
    </w:p>
    <w:p w14:paraId="5415FC60" w14:textId="4166B52F"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38. </w:t>
      </w:r>
      <w:r w:rsidRPr="00961490">
        <w:rPr>
          <w:rFonts w:ascii="Arial" w:hAnsi="Arial" w:cs="Arial"/>
          <w:sz w:val="20"/>
          <w:szCs w:val="20"/>
        </w:rPr>
        <w:tab/>
        <w:t xml:space="preserve">R. Vega Thurber, </w:t>
      </w:r>
      <w:r w:rsidRPr="00961490">
        <w:rPr>
          <w:rFonts w:ascii="Arial" w:hAnsi="Arial" w:cs="Arial"/>
          <w:i/>
          <w:sz w:val="20"/>
          <w:szCs w:val="20"/>
        </w:rPr>
        <w:t>et al.</w:t>
      </w:r>
      <w:r w:rsidRPr="00961490">
        <w:rPr>
          <w:rFonts w:ascii="Arial" w:hAnsi="Arial" w:cs="Arial"/>
          <w:sz w:val="20"/>
          <w:szCs w:val="20"/>
        </w:rPr>
        <w:t xml:space="preserve">, Deciphering coral disease dynamics: Integrating host, microbiome, and the changing environment. </w:t>
      </w:r>
      <w:r w:rsidRPr="00961490">
        <w:rPr>
          <w:rFonts w:ascii="Arial" w:hAnsi="Arial" w:cs="Arial"/>
          <w:i/>
          <w:sz w:val="20"/>
          <w:szCs w:val="20"/>
        </w:rPr>
        <w:t xml:space="preserve">Front. Ecol. Evol. </w:t>
      </w:r>
      <w:r w:rsidRPr="00961490">
        <w:rPr>
          <w:rFonts w:ascii="Arial" w:hAnsi="Arial" w:cs="Arial"/>
          <w:sz w:val="20"/>
          <w:szCs w:val="20"/>
        </w:rPr>
        <w:t>8 (2020).</w:t>
      </w:r>
    </w:p>
    <w:p w14:paraId="6A7FCC7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39. </w:t>
      </w:r>
      <w:r w:rsidRPr="00961490">
        <w:rPr>
          <w:rFonts w:ascii="Arial" w:hAnsi="Arial" w:cs="Arial"/>
          <w:sz w:val="20"/>
          <w:szCs w:val="20"/>
        </w:rPr>
        <w:tab/>
        <w:t xml:space="preserve">M. J. Neave, C. T. Michell, A. Apprill, C. R. Voolstra, </w:t>
      </w:r>
      <w:r w:rsidRPr="00961490">
        <w:rPr>
          <w:rFonts w:ascii="Arial" w:hAnsi="Arial" w:cs="Arial"/>
          <w:i/>
          <w:iCs/>
          <w:sz w:val="20"/>
          <w:szCs w:val="20"/>
        </w:rPr>
        <w:t>Endozoicomonas</w:t>
      </w:r>
      <w:r w:rsidRPr="00961490">
        <w:rPr>
          <w:rFonts w:ascii="Arial" w:hAnsi="Arial" w:cs="Arial"/>
          <w:sz w:val="20"/>
          <w:szCs w:val="20"/>
        </w:rPr>
        <w:t xml:space="preserve"> genomes reveal functional adaptation and plasticity in bacterial strains symbiotically associated with diverse marine hosts. </w:t>
      </w:r>
      <w:r w:rsidRPr="00961490">
        <w:rPr>
          <w:rFonts w:ascii="Arial" w:hAnsi="Arial" w:cs="Arial"/>
          <w:i/>
          <w:sz w:val="20"/>
          <w:szCs w:val="20"/>
        </w:rPr>
        <w:t xml:space="preserve">Sci. Rep. </w:t>
      </w:r>
      <w:r w:rsidRPr="00961490">
        <w:rPr>
          <w:rFonts w:ascii="Arial" w:hAnsi="Arial" w:cs="Arial"/>
          <w:sz w:val="20"/>
          <w:szCs w:val="20"/>
        </w:rPr>
        <w:t>7, 40579 (2017).</w:t>
      </w:r>
    </w:p>
    <w:p w14:paraId="43D39FB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40. </w:t>
      </w:r>
      <w:r w:rsidRPr="00961490">
        <w:rPr>
          <w:rFonts w:ascii="Arial" w:hAnsi="Arial" w:cs="Arial"/>
          <w:sz w:val="20"/>
          <w:szCs w:val="20"/>
        </w:rPr>
        <w:tab/>
        <w:t xml:space="preserve">K. Tandon, </w:t>
      </w:r>
      <w:r w:rsidRPr="00961490">
        <w:rPr>
          <w:rFonts w:ascii="Arial" w:hAnsi="Arial" w:cs="Arial"/>
          <w:i/>
          <w:sz w:val="20"/>
          <w:szCs w:val="20"/>
        </w:rPr>
        <w:t>et al.</w:t>
      </w:r>
      <w:r w:rsidRPr="00961490">
        <w:rPr>
          <w:rFonts w:ascii="Arial" w:hAnsi="Arial" w:cs="Arial"/>
          <w:sz w:val="20"/>
          <w:szCs w:val="20"/>
        </w:rPr>
        <w:t xml:space="preserve">, Comparative genomics: Dominant coral-bacterium </w:t>
      </w:r>
      <w:r w:rsidRPr="00961490">
        <w:rPr>
          <w:rFonts w:ascii="Arial" w:hAnsi="Arial" w:cs="Arial"/>
          <w:i/>
          <w:iCs/>
          <w:sz w:val="20"/>
          <w:szCs w:val="20"/>
        </w:rPr>
        <w:t>Endozoicomonas acroporae</w:t>
      </w:r>
      <w:r w:rsidRPr="00961490">
        <w:rPr>
          <w:rFonts w:ascii="Arial" w:hAnsi="Arial" w:cs="Arial"/>
          <w:sz w:val="20"/>
          <w:szCs w:val="20"/>
        </w:rPr>
        <w:t xml:space="preserve"> metabolizes dimethylsulfoniopropionate (DMSP). </w:t>
      </w:r>
      <w:r w:rsidRPr="00961490">
        <w:rPr>
          <w:rFonts w:ascii="Arial" w:hAnsi="Arial" w:cs="Arial"/>
          <w:i/>
          <w:sz w:val="20"/>
          <w:szCs w:val="20"/>
        </w:rPr>
        <w:t xml:space="preserve">ISME J. </w:t>
      </w:r>
      <w:r w:rsidRPr="00961490">
        <w:rPr>
          <w:rFonts w:ascii="Arial" w:hAnsi="Arial" w:cs="Arial"/>
          <w:sz w:val="20"/>
          <w:szCs w:val="20"/>
        </w:rPr>
        <w:t>14, 1290–1303 (2020).</w:t>
      </w:r>
    </w:p>
    <w:p w14:paraId="28A1EE18" w14:textId="02B46CC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41. </w:t>
      </w:r>
      <w:r w:rsidRPr="00961490">
        <w:rPr>
          <w:rFonts w:ascii="Arial" w:hAnsi="Arial" w:cs="Arial"/>
          <w:sz w:val="20"/>
          <w:szCs w:val="20"/>
        </w:rPr>
        <w:tab/>
        <w:t xml:space="preserve">S. Gignoux-Wolfsohn, S. V. Vollmer, F. M. Aronson, Complex interactions between potentially pathogenic, opportunistic, and resident bacteria emerge during infection on a </w:t>
      </w:r>
      <w:r w:rsidRPr="00961490">
        <w:rPr>
          <w:rFonts w:ascii="Arial" w:hAnsi="Arial" w:cs="Arial"/>
          <w:sz w:val="20"/>
          <w:szCs w:val="20"/>
        </w:rPr>
        <w:lastRenderedPageBreak/>
        <w:t xml:space="preserve">reef-building coral. </w:t>
      </w:r>
      <w:r w:rsidRPr="00961490">
        <w:rPr>
          <w:rFonts w:ascii="Arial" w:hAnsi="Arial" w:cs="Arial"/>
          <w:i/>
          <w:iCs/>
          <w:sz w:val="20"/>
          <w:szCs w:val="20"/>
        </w:rPr>
        <w:t>FEMS Microbiol. Ecol</w:t>
      </w:r>
      <w:r w:rsidRPr="00961490">
        <w:rPr>
          <w:rFonts w:ascii="Arial" w:hAnsi="Arial" w:cs="Arial"/>
          <w:sz w:val="20"/>
          <w:szCs w:val="20"/>
        </w:rPr>
        <w:t>. 93</w:t>
      </w:r>
      <w:r w:rsidRPr="00961490">
        <w:rPr>
          <w:rFonts w:ascii="Arial" w:hAnsi="Arial" w:cs="Arial"/>
          <w:i/>
          <w:iCs/>
          <w:sz w:val="20"/>
          <w:szCs w:val="20"/>
        </w:rPr>
        <w:t xml:space="preserve">, </w:t>
      </w:r>
      <w:r w:rsidRPr="00961490">
        <w:rPr>
          <w:rFonts w:ascii="Arial" w:hAnsi="Arial" w:cs="Arial"/>
          <w:sz w:val="20"/>
          <w:szCs w:val="20"/>
        </w:rPr>
        <w:t>fix080 (2017).</w:t>
      </w:r>
    </w:p>
    <w:p w14:paraId="6737C950" w14:textId="5AA97CC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42. </w:t>
      </w:r>
      <w:r w:rsidRPr="00961490">
        <w:rPr>
          <w:rFonts w:ascii="Arial" w:hAnsi="Arial" w:cs="Arial"/>
          <w:sz w:val="20"/>
          <w:szCs w:val="20"/>
        </w:rPr>
        <w:tab/>
        <w:t xml:space="preserve">J. L. Meyer, V. J. Paul, M. Teplitski, Community shifts in the surface microbiomes of the coral </w:t>
      </w:r>
      <w:r w:rsidRPr="00961490">
        <w:rPr>
          <w:rFonts w:ascii="Arial" w:hAnsi="Arial" w:cs="Arial"/>
          <w:i/>
          <w:iCs/>
          <w:sz w:val="20"/>
          <w:szCs w:val="20"/>
        </w:rPr>
        <w:t>Porites astreoides</w:t>
      </w:r>
      <w:r w:rsidRPr="00961490">
        <w:rPr>
          <w:rFonts w:ascii="Arial" w:hAnsi="Arial" w:cs="Arial"/>
          <w:sz w:val="20"/>
          <w:szCs w:val="20"/>
        </w:rPr>
        <w:t xml:space="preserve"> with unusual lesions. </w:t>
      </w:r>
      <w:r w:rsidRPr="00961490">
        <w:rPr>
          <w:rFonts w:ascii="Arial" w:hAnsi="Arial" w:cs="Arial"/>
          <w:i/>
          <w:sz w:val="20"/>
          <w:szCs w:val="20"/>
        </w:rPr>
        <w:t xml:space="preserve">PLOS ONE </w:t>
      </w:r>
      <w:r w:rsidRPr="00961490">
        <w:rPr>
          <w:rFonts w:ascii="Arial" w:hAnsi="Arial" w:cs="Arial"/>
          <w:sz w:val="20"/>
          <w:szCs w:val="20"/>
        </w:rPr>
        <w:t>9, e100316 (2014).</w:t>
      </w:r>
    </w:p>
    <w:p w14:paraId="6232DD8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43.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High-resolution spatial and genomic characterization of coral-associated microbial aggregates in the coral </w:t>
      </w:r>
      <w:r w:rsidRPr="00961490">
        <w:rPr>
          <w:rFonts w:ascii="Arial" w:hAnsi="Arial" w:cs="Arial"/>
          <w:i/>
          <w:iCs/>
          <w:sz w:val="20"/>
          <w:szCs w:val="20"/>
        </w:rPr>
        <w:t>Stylophora pistillata</w:t>
      </w:r>
      <w:r w:rsidRPr="00961490">
        <w:rPr>
          <w:rFonts w:ascii="Arial" w:hAnsi="Arial" w:cs="Arial"/>
          <w:sz w:val="20"/>
          <w:szCs w:val="20"/>
        </w:rPr>
        <w:t xml:space="preserve">. </w:t>
      </w:r>
      <w:r w:rsidRPr="00961490">
        <w:rPr>
          <w:rFonts w:ascii="Arial" w:hAnsi="Arial" w:cs="Arial"/>
          <w:i/>
          <w:sz w:val="20"/>
          <w:szCs w:val="20"/>
        </w:rPr>
        <w:t xml:space="preserve">Sci. Adv. </w:t>
      </w:r>
      <w:r w:rsidRPr="00961490">
        <w:rPr>
          <w:rFonts w:ascii="Arial" w:hAnsi="Arial" w:cs="Arial"/>
          <w:sz w:val="20"/>
          <w:szCs w:val="20"/>
        </w:rPr>
        <w:t>8, eabo2431 (2022).</w:t>
      </w:r>
    </w:p>
    <w:p w14:paraId="546A3BB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44. </w:t>
      </w:r>
      <w:r w:rsidRPr="00961490">
        <w:rPr>
          <w:rFonts w:ascii="Arial" w:hAnsi="Arial" w:cs="Arial"/>
          <w:sz w:val="20"/>
          <w:szCs w:val="20"/>
        </w:rPr>
        <w:tab/>
        <w:t xml:space="preserve">M. Sabrina Pankey, </w:t>
      </w:r>
      <w:r w:rsidRPr="00961490">
        <w:rPr>
          <w:rFonts w:ascii="Arial" w:hAnsi="Arial" w:cs="Arial"/>
          <w:i/>
          <w:sz w:val="20"/>
          <w:szCs w:val="20"/>
        </w:rPr>
        <w:t>et al.</w:t>
      </w:r>
      <w:r w:rsidRPr="00961490">
        <w:rPr>
          <w:rFonts w:ascii="Arial" w:hAnsi="Arial" w:cs="Arial"/>
          <w:sz w:val="20"/>
          <w:szCs w:val="20"/>
        </w:rPr>
        <w:t xml:space="preserve">, Cophylogeny and convergence shape holobiont evolution in sponge–microbe symbioses. </w:t>
      </w:r>
      <w:r w:rsidRPr="00961490">
        <w:rPr>
          <w:rFonts w:ascii="Arial" w:hAnsi="Arial" w:cs="Arial"/>
          <w:i/>
          <w:sz w:val="20"/>
          <w:szCs w:val="20"/>
        </w:rPr>
        <w:t xml:space="preserve">Nat. Ecol. Evol. </w:t>
      </w:r>
      <w:r w:rsidRPr="00961490">
        <w:rPr>
          <w:rFonts w:ascii="Arial" w:hAnsi="Arial" w:cs="Arial"/>
          <w:sz w:val="20"/>
          <w:szCs w:val="20"/>
        </w:rPr>
        <w:t>6, 750–762 (2022).</w:t>
      </w:r>
    </w:p>
    <w:p w14:paraId="0A82D9D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45. </w:t>
      </w:r>
      <w:r w:rsidRPr="00961490">
        <w:rPr>
          <w:rFonts w:ascii="Arial" w:hAnsi="Arial" w:cs="Arial"/>
          <w:sz w:val="20"/>
          <w:szCs w:val="20"/>
        </w:rPr>
        <w:tab/>
        <w:t xml:space="preserve">P. Ganot, </w:t>
      </w:r>
      <w:r w:rsidRPr="00961490">
        <w:rPr>
          <w:rFonts w:ascii="Arial" w:hAnsi="Arial" w:cs="Arial"/>
          <w:i/>
          <w:sz w:val="20"/>
          <w:szCs w:val="20"/>
        </w:rPr>
        <w:t>et al.</w:t>
      </w:r>
      <w:r w:rsidRPr="00961490">
        <w:rPr>
          <w:rFonts w:ascii="Arial" w:hAnsi="Arial" w:cs="Arial"/>
          <w:sz w:val="20"/>
          <w:szCs w:val="20"/>
        </w:rPr>
        <w:t xml:space="preserve">, Structural molecular components of septate junctions in cnidarians point to the origin of epithelial junctions in eukaryotes. </w:t>
      </w:r>
      <w:r w:rsidRPr="00961490">
        <w:rPr>
          <w:rFonts w:ascii="Arial" w:hAnsi="Arial" w:cs="Arial"/>
          <w:i/>
          <w:sz w:val="20"/>
          <w:szCs w:val="20"/>
        </w:rPr>
        <w:t xml:space="preserve">Mol. Biol. Evol. </w:t>
      </w:r>
      <w:r w:rsidRPr="00961490">
        <w:rPr>
          <w:rFonts w:ascii="Arial" w:hAnsi="Arial" w:cs="Arial"/>
          <w:sz w:val="20"/>
          <w:szCs w:val="20"/>
        </w:rPr>
        <w:t>32, 44–62 (2015).</w:t>
      </w:r>
    </w:p>
    <w:p w14:paraId="58EBE3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46. </w:t>
      </w:r>
      <w:r w:rsidRPr="00961490">
        <w:rPr>
          <w:rFonts w:ascii="Arial" w:hAnsi="Arial" w:cs="Arial"/>
          <w:sz w:val="20"/>
          <w:szCs w:val="20"/>
        </w:rPr>
        <w:tab/>
        <w:t xml:space="preserve">C. V. Palmer, J. C. Bythell, B. L. Willis, Levels of immunity parameters underpin bleaching and disease susceptibility of reef corals. </w:t>
      </w:r>
      <w:r w:rsidRPr="00961490">
        <w:rPr>
          <w:rFonts w:ascii="Arial" w:hAnsi="Arial" w:cs="Arial"/>
          <w:i/>
          <w:sz w:val="20"/>
          <w:szCs w:val="20"/>
        </w:rPr>
        <w:t xml:space="preserve">FASEB J. Off. Publ. Fed. Am. Soc. Exp. Biol. </w:t>
      </w:r>
      <w:r w:rsidRPr="00961490">
        <w:rPr>
          <w:rFonts w:ascii="Arial" w:hAnsi="Arial" w:cs="Arial"/>
          <w:sz w:val="20"/>
          <w:szCs w:val="20"/>
        </w:rPr>
        <w:t>24, 1935–1946 (2010).</w:t>
      </w:r>
    </w:p>
    <w:p w14:paraId="6C8649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47. </w:t>
      </w:r>
      <w:r w:rsidRPr="00961490">
        <w:rPr>
          <w:rFonts w:ascii="Arial" w:hAnsi="Arial" w:cs="Arial"/>
          <w:sz w:val="20"/>
          <w:szCs w:val="20"/>
        </w:rPr>
        <w:tab/>
        <w:t xml:space="preserve">C. J. E. Metcalf, B. Koskella, Protective microbiomes can limit the evolution of host pathogen defense. </w:t>
      </w:r>
      <w:r w:rsidRPr="00961490">
        <w:rPr>
          <w:rFonts w:ascii="Arial" w:hAnsi="Arial" w:cs="Arial"/>
          <w:i/>
          <w:sz w:val="20"/>
          <w:szCs w:val="20"/>
        </w:rPr>
        <w:t xml:space="preserve">Evol. Lett. </w:t>
      </w:r>
      <w:r w:rsidRPr="00961490">
        <w:rPr>
          <w:rFonts w:ascii="Arial" w:hAnsi="Arial" w:cs="Arial"/>
          <w:sz w:val="20"/>
          <w:szCs w:val="20"/>
        </w:rPr>
        <w:t>3, 534–543 (2019).</w:t>
      </w:r>
    </w:p>
    <w:p w14:paraId="76BAEDC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48. </w:t>
      </w:r>
      <w:r w:rsidRPr="00961490">
        <w:rPr>
          <w:rFonts w:ascii="Arial" w:hAnsi="Arial" w:cs="Arial"/>
          <w:sz w:val="20"/>
          <w:szCs w:val="20"/>
        </w:rPr>
        <w:tab/>
        <w:t xml:space="preserve">A. Z. Poole, V. M. Weis, TIR-domain-containing protein repertoire of nine anthozoan species reveals coral–specific expansions and uncharacterized proteins. </w:t>
      </w:r>
      <w:r w:rsidRPr="00961490">
        <w:rPr>
          <w:rFonts w:ascii="Arial" w:hAnsi="Arial" w:cs="Arial"/>
          <w:i/>
          <w:sz w:val="20"/>
          <w:szCs w:val="20"/>
        </w:rPr>
        <w:t xml:space="preserve">Dev. Comp. Immunol. </w:t>
      </w:r>
      <w:r w:rsidRPr="00961490">
        <w:rPr>
          <w:rFonts w:ascii="Arial" w:hAnsi="Arial" w:cs="Arial"/>
          <w:sz w:val="20"/>
          <w:szCs w:val="20"/>
        </w:rPr>
        <w:t>46, 480–488 (2014).</w:t>
      </w:r>
    </w:p>
    <w:p w14:paraId="7C41B533" w14:textId="0D6BA77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49. </w:t>
      </w:r>
      <w:r w:rsidRPr="00961490">
        <w:rPr>
          <w:rFonts w:ascii="Arial" w:hAnsi="Arial" w:cs="Arial"/>
          <w:sz w:val="20"/>
          <w:szCs w:val="20"/>
        </w:rPr>
        <w:tab/>
        <w:t xml:space="preserve">T. Brown, </w:t>
      </w:r>
      <w:r w:rsidRPr="00961490">
        <w:rPr>
          <w:rFonts w:ascii="Arial" w:hAnsi="Arial" w:cs="Arial"/>
          <w:i/>
          <w:sz w:val="20"/>
          <w:szCs w:val="20"/>
        </w:rPr>
        <w:t>et al.</w:t>
      </w:r>
      <w:r w:rsidRPr="00961490">
        <w:rPr>
          <w:rFonts w:ascii="Arial" w:hAnsi="Arial" w:cs="Arial"/>
          <w:sz w:val="20"/>
          <w:szCs w:val="20"/>
        </w:rPr>
        <w:t xml:space="preserve">, Anatomically-specific coupling between innate immune gene repertoire and microbiome structure during coral evolution. </w:t>
      </w:r>
      <w:r w:rsidRPr="00961490">
        <w:rPr>
          <w:rFonts w:ascii="Arial" w:hAnsi="Arial" w:cs="Arial"/>
          <w:i/>
          <w:iCs/>
          <w:sz w:val="20"/>
          <w:szCs w:val="20"/>
        </w:rPr>
        <w:t>bioRxiv</w:t>
      </w:r>
      <w:r w:rsidRPr="00961490">
        <w:rPr>
          <w:rFonts w:ascii="Arial" w:hAnsi="Arial" w:cs="Arial"/>
          <w:sz w:val="20"/>
          <w:szCs w:val="20"/>
        </w:rPr>
        <w:t xml:space="preserve"> 2023.04.26.538298 (2023). </w:t>
      </w:r>
      <w:hyperlink r:id="rId15" w:history="1">
        <w:r w:rsidRPr="00961490">
          <w:rPr>
            <w:rStyle w:val="Hyperlink"/>
            <w:rFonts w:ascii="Arial" w:hAnsi="Arial" w:cs="Arial"/>
            <w:sz w:val="20"/>
            <w:szCs w:val="20"/>
            <w:shd w:val="clear" w:color="auto" w:fill="FFFFFF"/>
          </w:rPr>
          <w:t>https://doi.org/10.1101/2023.04.26.538298</w:t>
        </w:r>
      </w:hyperlink>
      <w:r w:rsidRPr="00961490">
        <w:rPr>
          <w:rFonts w:ascii="Arial" w:hAnsi="Arial" w:cs="Arial"/>
          <w:color w:val="333333"/>
          <w:sz w:val="20"/>
          <w:szCs w:val="20"/>
          <w:shd w:val="clear" w:color="auto" w:fill="FFFFFF"/>
        </w:rPr>
        <w:t xml:space="preserve"> (accessed 1 May 2023).</w:t>
      </w:r>
    </w:p>
    <w:p w14:paraId="7FD15C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50. </w:t>
      </w:r>
      <w:r w:rsidRPr="00961490">
        <w:rPr>
          <w:rFonts w:ascii="Arial" w:hAnsi="Arial" w:cs="Arial"/>
          <w:sz w:val="20"/>
          <w:szCs w:val="20"/>
        </w:rPr>
        <w:tab/>
        <w:t xml:space="preserve">K. Ide, </w:t>
      </w:r>
      <w:r w:rsidRPr="00961490">
        <w:rPr>
          <w:rFonts w:ascii="Arial" w:hAnsi="Arial" w:cs="Arial"/>
          <w:i/>
          <w:sz w:val="20"/>
          <w:szCs w:val="20"/>
        </w:rPr>
        <w:t>et al.</w:t>
      </w:r>
      <w:r w:rsidRPr="00961490">
        <w:rPr>
          <w:rFonts w:ascii="Arial" w:hAnsi="Arial" w:cs="Arial"/>
          <w:sz w:val="20"/>
          <w:szCs w:val="20"/>
        </w:rPr>
        <w:t xml:space="preserve">, Targeted single-cell genomics reveals novel host adaptation strategies of the symbiotic bacteria </w:t>
      </w:r>
      <w:r w:rsidRPr="00961490">
        <w:rPr>
          <w:rFonts w:ascii="Arial" w:hAnsi="Arial" w:cs="Arial"/>
          <w:i/>
          <w:iCs/>
          <w:sz w:val="20"/>
          <w:szCs w:val="20"/>
        </w:rPr>
        <w:t>Endozoicomonas</w:t>
      </w:r>
      <w:r w:rsidRPr="00961490">
        <w:rPr>
          <w:rFonts w:ascii="Arial" w:hAnsi="Arial" w:cs="Arial"/>
          <w:sz w:val="20"/>
          <w:szCs w:val="20"/>
        </w:rPr>
        <w:t xml:space="preserve"> in </w:t>
      </w:r>
      <w:r w:rsidRPr="00961490">
        <w:rPr>
          <w:rFonts w:ascii="Arial" w:hAnsi="Arial" w:cs="Arial"/>
          <w:i/>
          <w:iCs/>
          <w:sz w:val="20"/>
          <w:szCs w:val="20"/>
        </w:rPr>
        <w:t>Acropora tenuis</w:t>
      </w:r>
      <w:r w:rsidRPr="00961490">
        <w:rPr>
          <w:rFonts w:ascii="Arial" w:hAnsi="Arial" w:cs="Arial"/>
          <w:sz w:val="20"/>
          <w:szCs w:val="20"/>
        </w:rPr>
        <w:t xml:space="preserve"> coral. </w:t>
      </w:r>
      <w:r w:rsidRPr="00961490">
        <w:rPr>
          <w:rFonts w:ascii="Arial" w:hAnsi="Arial" w:cs="Arial"/>
          <w:i/>
          <w:sz w:val="20"/>
          <w:szCs w:val="20"/>
        </w:rPr>
        <w:t xml:space="preserve">Microbiome </w:t>
      </w:r>
      <w:r w:rsidRPr="00961490">
        <w:rPr>
          <w:rFonts w:ascii="Arial" w:hAnsi="Arial" w:cs="Arial"/>
          <w:sz w:val="20"/>
          <w:szCs w:val="20"/>
        </w:rPr>
        <w:t>10, 220 (2022).</w:t>
      </w:r>
    </w:p>
    <w:p w14:paraId="1DDF983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51. </w:t>
      </w:r>
      <w:r w:rsidRPr="00961490">
        <w:rPr>
          <w:rFonts w:ascii="Arial" w:hAnsi="Arial" w:cs="Arial"/>
          <w:sz w:val="20"/>
          <w:szCs w:val="20"/>
        </w:rPr>
        <w:tab/>
        <w:t xml:space="preserve">B. Glasl, N. S. Webster, D. G. Bourne, Microbial indicators as a diagnostic tool for assessing water quality and climate stress in coral reef ecosystems. </w:t>
      </w:r>
      <w:r w:rsidRPr="00961490">
        <w:rPr>
          <w:rFonts w:ascii="Arial" w:hAnsi="Arial" w:cs="Arial"/>
          <w:i/>
          <w:sz w:val="20"/>
          <w:szCs w:val="20"/>
        </w:rPr>
        <w:t xml:space="preserve">Mar. Biol. </w:t>
      </w:r>
      <w:r w:rsidRPr="00961490">
        <w:rPr>
          <w:rFonts w:ascii="Arial" w:hAnsi="Arial" w:cs="Arial"/>
          <w:sz w:val="20"/>
          <w:szCs w:val="20"/>
        </w:rPr>
        <w:t>164, 1–18 (2017).</w:t>
      </w:r>
    </w:p>
    <w:p w14:paraId="25DEB8C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52. </w:t>
      </w:r>
      <w:r w:rsidRPr="00961490">
        <w:rPr>
          <w:rFonts w:ascii="Arial" w:hAnsi="Arial" w:cs="Arial"/>
          <w:sz w:val="20"/>
          <w:szCs w:val="20"/>
        </w:rPr>
        <w:tab/>
        <w:t xml:space="preserve">H. E. Epstein, H. A. Smith, G. Torda, M. J. Oppen, Microbiome engineering: enhancing climate resilience in corals. </w:t>
      </w:r>
      <w:r w:rsidRPr="00961490">
        <w:rPr>
          <w:rFonts w:ascii="Arial" w:hAnsi="Arial" w:cs="Arial"/>
          <w:i/>
          <w:sz w:val="20"/>
          <w:szCs w:val="20"/>
        </w:rPr>
        <w:t xml:space="preserve">Front. Ecol. Environ. </w:t>
      </w:r>
      <w:r w:rsidRPr="00961490">
        <w:rPr>
          <w:rFonts w:ascii="Arial" w:hAnsi="Arial" w:cs="Arial"/>
          <w:sz w:val="20"/>
          <w:szCs w:val="20"/>
        </w:rPr>
        <w:t>17, 100–108 (2019).</w:t>
      </w:r>
    </w:p>
    <w:p w14:paraId="6C6301A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53. </w:t>
      </w:r>
      <w:r w:rsidRPr="00961490">
        <w:rPr>
          <w:rFonts w:ascii="Arial" w:hAnsi="Arial" w:cs="Arial"/>
          <w:sz w:val="20"/>
          <w:szCs w:val="20"/>
        </w:rPr>
        <w:tab/>
        <w:t xml:space="preserve">L. Reshef, O. Koren, Y. Loya, I. Zilber-Rosenberg, E. Rosenberg, The Coral Probiotic Hypothesis. </w:t>
      </w:r>
      <w:r w:rsidRPr="00961490">
        <w:rPr>
          <w:rFonts w:ascii="Arial" w:hAnsi="Arial" w:cs="Arial"/>
          <w:i/>
          <w:sz w:val="20"/>
          <w:szCs w:val="20"/>
        </w:rPr>
        <w:t xml:space="preserve">Environ. Microbiol. </w:t>
      </w:r>
      <w:r w:rsidRPr="00961490">
        <w:rPr>
          <w:rFonts w:ascii="Arial" w:hAnsi="Arial" w:cs="Arial"/>
          <w:sz w:val="20"/>
          <w:szCs w:val="20"/>
        </w:rPr>
        <w:t>8, 2068–2073 (2006).</w:t>
      </w:r>
    </w:p>
    <w:p w14:paraId="2D445F2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54. </w:t>
      </w:r>
      <w:r w:rsidRPr="00961490">
        <w:rPr>
          <w:rFonts w:ascii="Arial" w:hAnsi="Arial" w:cs="Arial"/>
          <w:sz w:val="20"/>
          <w:szCs w:val="20"/>
        </w:rPr>
        <w:tab/>
        <w:t xml:space="preserve">The Earth Microbiome Project Consortium, </w:t>
      </w:r>
      <w:r w:rsidRPr="00961490">
        <w:rPr>
          <w:rFonts w:ascii="Arial" w:hAnsi="Arial" w:cs="Arial"/>
          <w:i/>
          <w:sz w:val="20"/>
          <w:szCs w:val="20"/>
        </w:rPr>
        <w:t>et al.</w:t>
      </w:r>
      <w:r w:rsidRPr="00961490">
        <w:rPr>
          <w:rFonts w:ascii="Arial" w:hAnsi="Arial" w:cs="Arial"/>
          <w:sz w:val="20"/>
          <w:szCs w:val="20"/>
        </w:rPr>
        <w:t xml:space="preserve">, A communal catalogue reveals Earth’s multiscale microbial diversity. </w:t>
      </w:r>
      <w:r w:rsidRPr="00961490">
        <w:rPr>
          <w:rFonts w:ascii="Arial" w:hAnsi="Arial" w:cs="Arial"/>
          <w:i/>
          <w:sz w:val="20"/>
          <w:szCs w:val="20"/>
        </w:rPr>
        <w:t xml:space="preserve">Nature </w:t>
      </w:r>
      <w:r w:rsidRPr="00961490">
        <w:rPr>
          <w:rFonts w:ascii="Arial" w:hAnsi="Arial" w:cs="Arial"/>
          <w:sz w:val="20"/>
          <w:szCs w:val="20"/>
        </w:rPr>
        <w:t>551, 457–463 (2017).</w:t>
      </w:r>
    </w:p>
    <w:p w14:paraId="3304420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55. </w:t>
      </w:r>
      <w:r w:rsidRPr="00961490">
        <w:rPr>
          <w:rFonts w:ascii="Arial" w:hAnsi="Arial" w:cs="Arial"/>
          <w:sz w:val="20"/>
          <w:szCs w:val="20"/>
        </w:rPr>
        <w:tab/>
        <w:t xml:space="preserve">A. E. Parada, D. M. Needham, J. A. Fuhrman, Every base matters: assessing small subunit rRNA primers for marine microbiomes with mock communities, time series and global field samples. </w:t>
      </w:r>
      <w:r w:rsidRPr="00961490">
        <w:rPr>
          <w:rFonts w:ascii="Arial" w:hAnsi="Arial" w:cs="Arial"/>
          <w:i/>
          <w:sz w:val="20"/>
          <w:szCs w:val="20"/>
        </w:rPr>
        <w:t xml:space="preserve">Environ. Microbiol. </w:t>
      </w:r>
      <w:r w:rsidRPr="00961490">
        <w:rPr>
          <w:rFonts w:ascii="Arial" w:hAnsi="Arial" w:cs="Arial"/>
          <w:sz w:val="20"/>
          <w:szCs w:val="20"/>
        </w:rPr>
        <w:t>18, 1403–1414 (2016).</w:t>
      </w:r>
    </w:p>
    <w:p w14:paraId="4564CF1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56. </w:t>
      </w:r>
      <w:r w:rsidRPr="00961490">
        <w:rPr>
          <w:rFonts w:ascii="Arial" w:hAnsi="Arial" w:cs="Arial"/>
          <w:sz w:val="20"/>
          <w:szCs w:val="20"/>
        </w:rPr>
        <w:tab/>
        <w:t xml:space="preserve">A. Apprill, S. McNally, R. Parsons, L. Weber, Minor revision to V4 region SSU rRNA 806R gene primer greatly increases detection of SAR11 bacterioplankton. </w:t>
      </w:r>
      <w:r w:rsidRPr="00961490">
        <w:rPr>
          <w:rFonts w:ascii="Arial" w:hAnsi="Arial" w:cs="Arial"/>
          <w:i/>
          <w:sz w:val="20"/>
          <w:szCs w:val="20"/>
        </w:rPr>
        <w:t xml:space="preserve">Aquat. Microb. Ecol. </w:t>
      </w:r>
      <w:r w:rsidRPr="00961490">
        <w:rPr>
          <w:rFonts w:ascii="Arial" w:hAnsi="Arial" w:cs="Arial"/>
          <w:sz w:val="20"/>
          <w:szCs w:val="20"/>
        </w:rPr>
        <w:t>75, 129–137 (2015).</w:t>
      </w:r>
    </w:p>
    <w:p w14:paraId="476A98E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57. </w:t>
      </w:r>
      <w:r w:rsidRPr="00961490">
        <w:rPr>
          <w:rFonts w:ascii="Arial" w:hAnsi="Arial" w:cs="Arial"/>
          <w:sz w:val="20"/>
          <w:szCs w:val="20"/>
        </w:rPr>
        <w:tab/>
        <w:t xml:space="preserve">A. Gonzalez, </w:t>
      </w:r>
      <w:r w:rsidRPr="00961490">
        <w:rPr>
          <w:rFonts w:ascii="Arial" w:hAnsi="Arial" w:cs="Arial"/>
          <w:i/>
          <w:sz w:val="20"/>
          <w:szCs w:val="20"/>
        </w:rPr>
        <w:t>et al.</w:t>
      </w:r>
      <w:r w:rsidRPr="00961490">
        <w:rPr>
          <w:rFonts w:ascii="Arial" w:hAnsi="Arial" w:cs="Arial"/>
          <w:sz w:val="20"/>
          <w:szCs w:val="20"/>
        </w:rPr>
        <w:t xml:space="preserve">, Qiita: rapid, web-enabled microbiome meta-analysis. </w:t>
      </w:r>
      <w:r w:rsidRPr="00961490">
        <w:rPr>
          <w:rFonts w:ascii="Arial" w:hAnsi="Arial" w:cs="Arial"/>
          <w:i/>
          <w:sz w:val="20"/>
          <w:szCs w:val="20"/>
        </w:rPr>
        <w:t xml:space="preserve">Nat. Methods </w:t>
      </w:r>
      <w:r w:rsidRPr="00961490">
        <w:rPr>
          <w:rFonts w:ascii="Arial" w:hAnsi="Arial" w:cs="Arial"/>
          <w:sz w:val="20"/>
          <w:szCs w:val="20"/>
        </w:rPr>
        <w:t>15, 796–798 (2018).</w:t>
      </w:r>
    </w:p>
    <w:p w14:paraId="5F798C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58. </w:t>
      </w:r>
      <w:r w:rsidRPr="00961490">
        <w:rPr>
          <w:rFonts w:ascii="Arial" w:hAnsi="Arial" w:cs="Arial"/>
          <w:sz w:val="20"/>
          <w:szCs w:val="20"/>
        </w:rPr>
        <w:tab/>
        <w:t xml:space="preserve">J. G. Caporaso, </w:t>
      </w:r>
      <w:r w:rsidRPr="00961490">
        <w:rPr>
          <w:rFonts w:ascii="Arial" w:hAnsi="Arial" w:cs="Arial"/>
          <w:i/>
          <w:sz w:val="20"/>
          <w:szCs w:val="20"/>
        </w:rPr>
        <w:t>et al.</w:t>
      </w:r>
      <w:r w:rsidRPr="00961490">
        <w:rPr>
          <w:rFonts w:ascii="Arial" w:hAnsi="Arial" w:cs="Arial"/>
          <w:sz w:val="20"/>
          <w:szCs w:val="20"/>
        </w:rPr>
        <w:t xml:space="preserve">, QIIME allows analysis of high-throughput community sequencing data. </w:t>
      </w:r>
      <w:r w:rsidRPr="00961490">
        <w:rPr>
          <w:rFonts w:ascii="Arial" w:hAnsi="Arial" w:cs="Arial"/>
          <w:i/>
          <w:sz w:val="20"/>
          <w:szCs w:val="20"/>
        </w:rPr>
        <w:t xml:space="preserve">Nat. Methods </w:t>
      </w:r>
      <w:r w:rsidRPr="00961490">
        <w:rPr>
          <w:rFonts w:ascii="Arial" w:hAnsi="Arial" w:cs="Arial"/>
          <w:sz w:val="20"/>
          <w:szCs w:val="20"/>
        </w:rPr>
        <w:t>7, 335–336 (2010).</w:t>
      </w:r>
    </w:p>
    <w:p w14:paraId="55129A06" w14:textId="4C2CF71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59. </w:t>
      </w:r>
      <w:r w:rsidRPr="00961490">
        <w:rPr>
          <w:rFonts w:ascii="Arial" w:hAnsi="Arial" w:cs="Arial"/>
          <w:sz w:val="20"/>
          <w:szCs w:val="20"/>
        </w:rPr>
        <w:tab/>
        <w:t xml:space="preserve">A. Amir, </w:t>
      </w:r>
      <w:r w:rsidRPr="00961490">
        <w:rPr>
          <w:rFonts w:ascii="Arial" w:hAnsi="Arial" w:cs="Arial"/>
          <w:i/>
          <w:sz w:val="20"/>
          <w:szCs w:val="20"/>
        </w:rPr>
        <w:t>et al.</w:t>
      </w:r>
      <w:r w:rsidRPr="00961490">
        <w:rPr>
          <w:rFonts w:ascii="Arial" w:hAnsi="Arial" w:cs="Arial"/>
          <w:sz w:val="20"/>
          <w:szCs w:val="20"/>
        </w:rPr>
        <w:t xml:space="preserve">, Deblur rapidly resolves single-nucleotide community sequence patterns. </w:t>
      </w:r>
      <w:r w:rsidRPr="00961490">
        <w:rPr>
          <w:rFonts w:ascii="Arial" w:hAnsi="Arial" w:cs="Arial"/>
          <w:i/>
          <w:sz w:val="20"/>
          <w:szCs w:val="20"/>
        </w:rPr>
        <w:t xml:space="preserve">mSystems </w:t>
      </w:r>
      <w:r w:rsidRPr="00961490">
        <w:rPr>
          <w:rFonts w:ascii="Arial" w:hAnsi="Arial" w:cs="Arial"/>
          <w:sz w:val="20"/>
          <w:szCs w:val="20"/>
        </w:rPr>
        <w:t>2, e00191-16 (2017).</w:t>
      </w:r>
    </w:p>
    <w:p w14:paraId="45ABC1FA" w14:textId="5B9D210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60. </w:t>
      </w:r>
      <w:r w:rsidRPr="00961490">
        <w:rPr>
          <w:rFonts w:ascii="Arial" w:hAnsi="Arial" w:cs="Arial"/>
          <w:sz w:val="20"/>
          <w:szCs w:val="20"/>
        </w:rPr>
        <w:tab/>
        <w:t xml:space="preserve">E. Bolyen, </w:t>
      </w:r>
      <w:r w:rsidRPr="00961490">
        <w:rPr>
          <w:rFonts w:ascii="Arial" w:hAnsi="Arial" w:cs="Arial"/>
          <w:i/>
          <w:sz w:val="20"/>
          <w:szCs w:val="20"/>
        </w:rPr>
        <w:t>et al.</w:t>
      </w:r>
      <w:r w:rsidRPr="00961490">
        <w:rPr>
          <w:rFonts w:ascii="Arial" w:hAnsi="Arial" w:cs="Arial"/>
          <w:sz w:val="20"/>
          <w:szCs w:val="20"/>
        </w:rPr>
        <w:t xml:space="preserve">, QIIME 2: Reproducible, interactive, scalable, and extensible microbiome data science, </w:t>
      </w:r>
      <w:r w:rsidRPr="00961490">
        <w:rPr>
          <w:rFonts w:ascii="Arial" w:hAnsi="Arial" w:cs="Arial"/>
          <w:i/>
          <w:iCs/>
          <w:sz w:val="20"/>
          <w:szCs w:val="20"/>
        </w:rPr>
        <w:t xml:space="preserve">Nature Biotechnol. </w:t>
      </w:r>
      <w:r w:rsidRPr="00961490">
        <w:rPr>
          <w:rFonts w:ascii="Arial" w:hAnsi="Arial" w:cs="Arial"/>
          <w:sz w:val="20"/>
          <w:szCs w:val="20"/>
        </w:rPr>
        <w:t xml:space="preserve">37, 852-857 (2019). </w:t>
      </w:r>
    </w:p>
    <w:p w14:paraId="693D7F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61. </w:t>
      </w:r>
      <w:r w:rsidRPr="00961490">
        <w:rPr>
          <w:rFonts w:ascii="Arial" w:hAnsi="Arial" w:cs="Arial"/>
          <w:sz w:val="20"/>
          <w:szCs w:val="20"/>
        </w:rPr>
        <w:tab/>
        <w:t xml:space="preserve">T. Rognes, T. Flouri, B. Nichols, C. Quince, F. Mahé, VSEARCH: a versatile open source tool for metagenomics. </w:t>
      </w:r>
      <w:r w:rsidRPr="00961490">
        <w:rPr>
          <w:rFonts w:ascii="Arial" w:hAnsi="Arial" w:cs="Arial"/>
          <w:i/>
          <w:sz w:val="20"/>
          <w:szCs w:val="20"/>
        </w:rPr>
        <w:t xml:space="preserve">PeerJ </w:t>
      </w:r>
      <w:r w:rsidRPr="00961490">
        <w:rPr>
          <w:rFonts w:ascii="Arial" w:hAnsi="Arial" w:cs="Arial"/>
          <w:sz w:val="20"/>
          <w:szCs w:val="20"/>
        </w:rPr>
        <w:t>4, e2584 (2016).</w:t>
      </w:r>
    </w:p>
    <w:p w14:paraId="77621E8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62. </w:t>
      </w:r>
      <w:r w:rsidRPr="00961490">
        <w:rPr>
          <w:rFonts w:ascii="Arial" w:hAnsi="Arial" w:cs="Arial"/>
          <w:sz w:val="20"/>
          <w:szCs w:val="20"/>
        </w:rPr>
        <w:tab/>
        <w:t xml:space="preserve">C. Quast, </w:t>
      </w:r>
      <w:r w:rsidRPr="00961490">
        <w:rPr>
          <w:rFonts w:ascii="Arial" w:hAnsi="Arial" w:cs="Arial"/>
          <w:i/>
          <w:sz w:val="20"/>
          <w:szCs w:val="20"/>
        </w:rPr>
        <w:t>et al.</w:t>
      </w:r>
      <w:r w:rsidRPr="00961490">
        <w:rPr>
          <w:rFonts w:ascii="Arial" w:hAnsi="Arial" w:cs="Arial"/>
          <w:sz w:val="20"/>
          <w:szCs w:val="20"/>
        </w:rPr>
        <w:t xml:space="preserve">, The SILVA ribosomal RNA gene database project: improved data processing and web-based tools. </w:t>
      </w:r>
      <w:r w:rsidRPr="00961490">
        <w:rPr>
          <w:rFonts w:ascii="Arial" w:hAnsi="Arial" w:cs="Arial"/>
          <w:i/>
          <w:sz w:val="20"/>
          <w:szCs w:val="20"/>
        </w:rPr>
        <w:t xml:space="preserve">Nucleic Acids Res. </w:t>
      </w:r>
      <w:r w:rsidRPr="00961490">
        <w:rPr>
          <w:rFonts w:ascii="Arial" w:hAnsi="Arial" w:cs="Arial"/>
          <w:sz w:val="20"/>
          <w:szCs w:val="20"/>
        </w:rPr>
        <w:t>41, D590–D596 (2013).</w:t>
      </w:r>
    </w:p>
    <w:p w14:paraId="0A3958E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63. </w:t>
      </w:r>
      <w:r w:rsidRPr="00961490">
        <w:rPr>
          <w:rFonts w:ascii="Arial" w:hAnsi="Arial" w:cs="Arial"/>
          <w:sz w:val="20"/>
          <w:szCs w:val="20"/>
        </w:rPr>
        <w:tab/>
        <w:t xml:space="preserve">J. Bengtsson-Palme, </w:t>
      </w:r>
      <w:r w:rsidRPr="00961490">
        <w:rPr>
          <w:rFonts w:ascii="Arial" w:hAnsi="Arial" w:cs="Arial"/>
          <w:i/>
          <w:sz w:val="20"/>
          <w:szCs w:val="20"/>
        </w:rPr>
        <w:t>et al.</w:t>
      </w:r>
      <w:r w:rsidRPr="00961490">
        <w:rPr>
          <w:rFonts w:ascii="Arial" w:hAnsi="Arial" w:cs="Arial"/>
          <w:sz w:val="20"/>
          <w:szCs w:val="20"/>
        </w:rPr>
        <w:t xml:space="preserve">, METAXA2: improved identification and taxonomic classification of small and large subunit rRNA in metagenomic data. </w:t>
      </w:r>
      <w:r w:rsidRPr="00961490">
        <w:rPr>
          <w:rFonts w:ascii="Arial" w:hAnsi="Arial" w:cs="Arial"/>
          <w:i/>
          <w:sz w:val="20"/>
          <w:szCs w:val="20"/>
        </w:rPr>
        <w:t xml:space="preserve">Mol. Ecol. Resour. </w:t>
      </w:r>
      <w:r w:rsidRPr="00961490">
        <w:rPr>
          <w:rFonts w:ascii="Arial" w:hAnsi="Arial" w:cs="Arial"/>
          <w:sz w:val="20"/>
          <w:szCs w:val="20"/>
        </w:rPr>
        <w:t>15, 1403–1414 (2015).</w:t>
      </w:r>
    </w:p>
    <w:p w14:paraId="5513D973" w14:textId="3BEF6C8F" w:rsidR="00961490" w:rsidRPr="00961490" w:rsidRDefault="00961490" w:rsidP="00961490">
      <w:pPr>
        <w:widowControl w:val="0"/>
        <w:pBdr>
          <w:top w:val="nil"/>
          <w:left w:val="nil"/>
          <w:bottom w:val="nil"/>
          <w:right w:val="nil"/>
          <w:between w:val="nil"/>
        </w:pBdr>
        <w:ind w:left="504" w:hanging="504"/>
        <w:rPr>
          <w:rFonts w:ascii="Times New Roman" w:eastAsia="Times New Roman" w:hAnsi="Times New Roman" w:cs="Times New Roman"/>
        </w:rPr>
      </w:pPr>
      <w:r w:rsidRPr="00961490">
        <w:rPr>
          <w:rFonts w:ascii="Arial" w:hAnsi="Arial" w:cs="Arial"/>
          <w:sz w:val="20"/>
          <w:szCs w:val="20"/>
        </w:rPr>
        <w:t xml:space="preserve">64. </w:t>
      </w:r>
      <w:r w:rsidRPr="00961490">
        <w:rPr>
          <w:rFonts w:ascii="Arial" w:hAnsi="Arial" w:cs="Arial"/>
          <w:sz w:val="20"/>
          <w:szCs w:val="20"/>
        </w:rPr>
        <w:tab/>
        <w:t xml:space="preserve">D. Sonett, T. Brown, J. Bengtsson-Palme, J. L. Padilla-Gamiño, J. R. Zaneveld, The organelle in the room: Under-annotated mitochondrial reads bias coral microbiome analysis, </w:t>
      </w:r>
      <w:r w:rsidRPr="00961490">
        <w:rPr>
          <w:rFonts w:ascii="Arial" w:hAnsi="Arial" w:cs="Arial"/>
          <w:i/>
          <w:iCs/>
          <w:sz w:val="20"/>
          <w:szCs w:val="20"/>
        </w:rPr>
        <w:t xml:space="preserve">bioRxiv </w:t>
      </w:r>
      <w:r w:rsidRPr="00961490">
        <w:rPr>
          <w:rFonts w:ascii="Arial" w:hAnsi="Arial" w:cs="Arial"/>
          <w:sz w:val="20"/>
          <w:szCs w:val="20"/>
        </w:rPr>
        <w:t>2021.02.23.431501 (2021).</w:t>
      </w:r>
      <w:r w:rsidRPr="00961490">
        <w:t xml:space="preserve"> </w:t>
      </w:r>
      <w:r w:rsidRPr="00961490">
        <w:rPr>
          <w:rFonts w:ascii="Arial" w:hAnsi="Arial" w:cs="Arial"/>
          <w:sz w:val="20"/>
          <w:szCs w:val="20"/>
        </w:rPr>
        <w:t xml:space="preserve"> </w:t>
      </w:r>
      <w:hyperlink r:id="rId16" w:history="1">
        <w:r w:rsidRPr="00961490">
          <w:rPr>
            <w:rStyle w:val="Hyperlink"/>
            <w:rFonts w:ascii="Arial" w:hAnsi="Arial" w:cs="Arial"/>
            <w:sz w:val="20"/>
            <w:szCs w:val="20"/>
          </w:rPr>
          <w:t>https://doi.org/10.1101/2021.02.23.431501</w:t>
        </w:r>
      </w:hyperlink>
      <w:r w:rsidRPr="00961490">
        <w:rPr>
          <w:rFonts w:ascii="Arial" w:hAnsi="Arial" w:cs="Arial"/>
          <w:sz w:val="20"/>
          <w:szCs w:val="20"/>
        </w:rPr>
        <w:t xml:space="preserve"> (accessed 11 July 2022).</w:t>
      </w:r>
    </w:p>
    <w:p w14:paraId="7589FA9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65. </w:t>
      </w:r>
      <w:r w:rsidRPr="00961490">
        <w:rPr>
          <w:rFonts w:ascii="Arial" w:hAnsi="Arial" w:cs="Arial"/>
          <w:sz w:val="20"/>
          <w:szCs w:val="20"/>
        </w:rPr>
        <w:tab/>
        <w:t xml:space="preserve">S. Janssen, </w:t>
      </w:r>
      <w:r w:rsidRPr="00961490">
        <w:rPr>
          <w:rFonts w:ascii="Arial" w:hAnsi="Arial" w:cs="Arial"/>
          <w:i/>
          <w:sz w:val="20"/>
          <w:szCs w:val="20"/>
        </w:rPr>
        <w:t>et al.</w:t>
      </w:r>
      <w:r w:rsidRPr="00961490">
        <w:rPr>
          <w:rFonts w:ascii="Arial" w:hAnsi="Arial" w:cs="Arial"/>
          <w:sz w:val="20"/>
          <w:szCs w:val="20"/>
        </w:rPr>
        <w:t xml:space="preserve">, Phylogenetic Placement of Exact Amplicon Sequences Improves Associations with Clinical Information. </w:t>
      </w:r>
      <w:r w:rsidRPr="00961490">
        <w:rPr>
          <w:rFonts w:ascii="Arial" w:hAnsi="Arial" w:cs="Arial"/>
          <w:i/>
          <w:sz w:val="20"/>
          <w:szCs w:val="20"/>
        </w:rPr>
        <w:t xml:space="preserve">mSystems </w:t>
      </w:r>
      <w:r w:rsidRPr="00961490">
        <w:rPr>
          <w:rFonts w:ascii="Arial" w:hAnsi="Arial" w:cs="Arial"/>
          <w:sz w:val="20"/>
          <w:szCs w:val="20"/>
        </w:rPr>
        <w:t>3 (2018).</w:t>
      </w:r>
    </w:p>
    <w:p w14:paraId="495EC586" w14:textId="711F3C1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66. </w:t>
      </w:r>
      <w:r w:rsidRPr="00961490">
        <w:rPr>
          <w:rFonts w:ascii="Arial" w:hAnsi="Arial" w:cs="Arial"/>
          <w:sz w:val="20"/>
          <w:szCs w:val="20"/>
        </w:rPr>
        <w:tab/>
        <w:t xml:space="preserve">N. M. Davis, D. Proctor, S. P. Holmes, D.A. Relman, B.J. Callahan, Simple statistical identification and removal of contaminant sequences in marker-gene and metagenomics data. </w:t>
      </w:r>
      <w:r w:rsidRPr="00961490">
        <w:rPr>
          <w:rFonts w:ascii="Arial" w:hAnsi="Arial" w:cs="Arial"/>
          <w:i/>
          <w:iCs/>
          <w:sz w:val="20"/>
          <w:szCs w:val="20"/>
        </w:rPr>
        <w:t xml:space="preserve">Microbiome </w:t>
      </w:r>
      <w:r w:rsidRPr="00961490">
        <w:rPr>
          <w:rFonts w:ascii="Arial" w:hAnsi="Arial" w:cs="Arial"/>
          <w:sz w:val="20"/>
          <w:szCs w:val="20"/>
        </w:rPr>
        <w:t>6, 226 (2018).</w:t>
      </w:r>
    </w:p>
    <w:p w14:paraId="53CC83B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67. </w:t>
      </w:r>
      <w:r w:rsidRPr="00961490">
        <w:rPr>
          <w:rFonts w:ascii="Arial" w:hAnsi="Arial" w:cs="Arial"/>
          <w:sz w:val="20"/>
          <w:szCs w:val="20"/>
        </w:rPr>
        <w:tab/>
        <w:t>R Core Team, R: A language and environment for statistical computing (2021).</w:t>
      </w:r>
    </w:p>
    <w:p w14:paraId="67E5DBBE" w14:textId="35725B3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68. </w:t>
      </w:r>
      <w:r w:rsidRPr="00961490">
        <w:rPr>
          <w:rFonts w:ascii="Arial" w:hAnsi="Arial" w:cs="Arial"/>
          <w:sz w:val="20"/>
          <w:szCs w:val="20"/>
        </w:rPr>
        <w:tab/>
        <w:t>L. Raymundo, T. M. Work, A. W. Bruckner, B. Willis, A coral disease handbook: Guidelines for assessment, monitoring, and management (Coral Reef Targeted Research and Capacity Building for Management Program, 2008), pp. 17-32.</w:t>
      </w:r>
    </w:p>
    <w:p w14:paraId="782C072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69. </w:t>
      </w:r>
      <w:r w:rsidRPr="00961490">
        <w:rPr>
          <w:rFonts w:ascii="Arial" w:hAnsi="Arial" w:cs="Arial"/>
          <w:sz w:val="20"/>
          <w:szCs w:val="20"/>
        </w:rPr>
        <w:tab/>
        <w:t xml:space="preserve">J. B. Lamb, </w:t>
      </w:r>
      <w:r w:rsidRPr="00961490">
        <w:rPr>
          <w:rFonts w:ascii="Arial" w:hAnsi="Arial" w:cs="Arial"/>
          <w:i/>
          <w:sz w:val="20"/>
          <w:szCs w:val="20"/>
        </w:rPr>
        <w:t>et al.</w:t>
      </w:r>
      <w:r w:rsidRPr="00961490">
        <w:rPr>
          <w:rFonts w:ascii="Arial" w:hAnsi="Arial" w:cs="Arial"/>
          <w:sz w:val="20"/>
          <w:szCs w:val="20"/>
        </w:rPr>
        <w:t xml:space="preserve">, Plastic waste associated with disease on coral reefs. </w:t>
      </w:r>
      <w:r w:rsidRPr="00961490">
        <w:rPr>
          <w:rFonts w:ascii="Arial" w:hAnsi="Arial" w:cs="Arial"/>
          <w:i/>
          <w:sz w:val="20"/>
          <w:szCs w:val="20"/>
        </w:rPr>
        <w:t xml:space="preserve">Science </w:t>
      </w:r>
      <w:r w:rsidRPr="00961490">
        <w:rPr>
          <w:rFonts w:ascii="Arial" w:hAnsi="Arial" w:cs="Arial"/>
          <w:sz w:val="20"/>
          <w:szCs w:val="20"/>
        </w:rPr>
        <w:t>359, 460–462 (2018).</w:t>
      </w:r>
    </w:p>
    <w:p w14:paraId="4C1C2C8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70. </w:t>
      </w:r>
      <w:r w:rsidRPr="00961490">
        <w:rPr>
          <w:rFonts w:ascii="Arial" w:hAnsi="Arial" w:cs="Arial"/>
          <w:sz w:val="20"/>
          <w:szCs w:val="20"/>
        </w:rPr>
        <w:tab/>
        <w:t xml:space="preserve">Revell, Liam J., phytools: An R package for phylogenetic comparative biology (and other things). </w:t>
      </w:r>
      <w:r w:rsidRPr="00961490">
        <w:rPr>
          <w:rFonts w:ascii="Arial" w:hAnsi="Arial" w:cs="Arial"/>
          <w:i/>
          <w:sz w:val="20"/>
          <w:szCs w:val="20"/>
        </w:rPr>
        <w:t xml:space="preserve">Methods Ecol. Evol. </w:t>
      </w:r>
      <w:r w:rsidRPr="00961490">
        <w:rPr>
          <w:rFonts w:ascii="Arial" w:hAnsi="Arial" w:cs="Arial"/>
          <w:sz w:val="20"/>
          <w:szCs w:val="20"/>
        </w:rPr>
        <w:t>3, 217–223 (2012).</w:t>
      </w:r>
    </w:p>
    <w:p w14:paraId="6FE609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71. </w:t>
      </w:r>
      <w:r w:rsidRPr="00961490">
        <w:rPr>
          <w:rFonts w:ascii="Arial" w:hAnsi="Arial" w:cs="Arial"/>
          <w:sz w:val="20"/>
          <w:szCs w:val="20"/>
        </w:rPr>
        <w:tab/>
        <w:t xml:space="preserve">David Orme, </w:t>
      </w:r>
      <w:r w:rsidRPr="00961490">
        <w:rPr>
          <w:rFonts w:ascii="Arial" w:hAnsi="Arial" w:cs="Arial"/>
          <w:i/>
          <w:sz w:val="20"/>
          <w:szCs w:val="20"/>
        </w:rPr>
        <w:t>et al.</w:t>
      </w:r>
      <w:r w:rsidRPr="00961490">
        <w:rPr>
          <w:rFonts w:ascii="Arial" w:hAnsi="Arial" w:cs="Arial"/>
          <w:sz w:val="20"/>
          <w:szCs w:val="20"/>
        </w:rPr>
        <w:t>, caper: Comparative Analyses of Phylogenetics and Evolution in R (2018).</w:t>
      </w:r>
    </w:p>
    <w:p w14:paraId="043C8449" w14:textId="4A3EC851"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72. </w:t>
      </w:r>
      <w:r w:rsidRPr="00961490">
        <w:rPr>
          <w:rFonts w:ascii="Arial" w:hAnsi="Arial" w:cs="Arial"/>
          <w:sz w:val="20"/>
          <w:szCs w:val="20"/>
        </w:rPr>
        <w:tab/>
        <w:t xml:space="preserve">W. van der Bijl, phylopath: Easy phylogenetic path analysis in R. </w:t>
      </w:r>
      <w:r w:rsidRPr="00961490">
        <w:rPr>
          <w:rFonts w:ascii="Arial" w:hAnsi="Arial" w:cs="Arial"/>
          <w:i/>
          <w:sz w:val="20"/>
          <w:szCs w:val="20"/>
        </w:rPr>
        <w:t xml:space="preserve">PeerJ </w:t>
      </w:r>
      <w:r w:rsidRPr="00961490">
        <w:rPr>
          <w:rFonts w:ascii="Arial" w:hAnsi="Arial" w:cs="Arial"/>
          <w:sz w:val="20"/>
          <w:szCs w:val="20"/>
        </w:rPr>
        <w:t>6, e4718 (2018).</w:t>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39DCD2B5">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50100C82"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Schematic representation of data integration for the project. Coral microbiome data (as shown in A) were combined with long-term disease prevalence data from 3 projects (the Florida Reef Resilience Program (FFRP), the Hawai</w:t>
      </w:r>
      <w:r w:rsidR="00961490" w:rsidRPr="00961490">
        <w:rPr>
          <w:rFonts w:ascii="Tahoma" w:eastAsia="Tahoma" w:hAnsi="Tahoma" w:cs="Tahoma"/>
          <w:sz w:val="20"/>
          <w:szCs w:val="20"/>
        </w:rPr>
        <w:t>՛</w:t>
      </w:r>
      <w:r w:rsidR="00961490" w:rsidRPr="00961490">
        <w:rPr>
          <w:rFonts w:ascii="Arial" w:eastAsia="Tahoma" w:hAnsi="Arial" w:cs="Arial"/>
          <w:sz w:val="20"/>
          <w:szCs w:val="20"/>
        </w:rPr>
        <w:t xml:space="preserve">i 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end product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7E6516BE" w:rsidR="00980C22" w:rsidRPr="00F649EE" w:rsidRDefault="00A84FF9"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072661CD" wp14:editId="42E5AFA2">
            <wp:extent cx="5486400" cy="693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w:t>
      </w:r>
      <w:r w:rsidR="00961490" w:rsidRPr="00961490">
        <w:rPr>
          <w:rFonts w:ascii="Arial" w:eastAsia="Times New Roman" w:hAnsi="Arial" w:cs="Arial"/>
          <w:sz w:val="20"/>
          <w:szCs w:val="20"/>
        </w:rPr>
        <w:lastRenderedPageBreak/>
        <w:t xml:space="preserve">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UniFrac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5612D7E4">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27FD410"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contrasts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 against </w:t>
      </w:r>
      <w:r w:rsidRPr="00961490">
        <w:rPr>
          <w:rFonts w:ascii="Arial" w:eastAsia="Times New Roman" w:hAnsi="Arial" w:cs="Arial"/>
          <w:b/>
          <w:sz w:val="20"/>
          <w:szCs w:val="20"/>
        </w:rPr>
        <w:t>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microbial dominance,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integrated estimate of coral disease prevalence 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coral traits database. Dotted red lines in panels B and C indicate the null expectation that if traits are uncorrelated, change in the x-axis trait will not correlate with changes in the y-axis trait, with contrasts distributed equally above or below the dotted line. Statistics reflect phylogenetic generalized least squares (PGLS) regression (Supplemental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 xml:space="preserve">Modeled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disease susceptibility and growth rate using both Brownian Motion (blue) and Pagel’s Lambda (green, dotted) evolutionary models. The thickness of the lines represents the averaged standardized path coefficients of the top competing models based on CICc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78B8F4F2" w:rsidR="00980C22"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C18C8FD" wp14:editId="6CEDC55A">
            <wp:extent cx="38735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3500" cy="3886200"/>
                    </a:xfrm>
                    <a:prstGeom prst="rect">
                      <a:avLst/>
                    </a:prstGeom>
                  </pic:spPr>
                </pic:pic>
              </a:graphicData>
            </a:graphic>
          </wp:inline>
        </w:drawing>
      </w:r>
    </w:p>
    <w:p w14:paraId="589E42DB" w14:textId="4A77C10C" w:rsidR="00961490" w:rsidRPr="00961490"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62B3AC33" w:rsidR="00270945" w:rsidRPr="00961490"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teal) plays in the tradeoff between growth and defense (disease susceptibility)</w:t>
      </w:r>
      <w:r>
        <w:rPr>
          <w:rFonts w:ascii="Arial" w:eastAsia="Times New Roman" w:hAnsi="Arial" w:cs="Arial"/>
          <w:sz w:val="20"/>
          <w:szCs w:val="20"/>
        </w:rPr>
        <w:t xml:space="preserve"> under varying environmental conditions</w:t>
      </w:r>
      <w:r w:rsidRPr="00961490">
        <w:rPr>
          <w:rFonts w:ascii="Arial" w:eastAsia="Times New Roman" w:hAnsi="Arial" w:cs="Arial"/>
          <w:sz w:val="20"/>
          <w:szCs w:val="20"/>
        </w:rPr>
        <w:t xml:space="preserve">. </w:t>
      </w:r>
    </w:p>
    <w:sectPr w:rsidR="00270945" w:rsidRPr="00961490" w:rsidSect="00961490">
      <w:headerReference w:type="default" r:id="rId21"/>
      <w:footerReference w:type="default" r:id="rId22"/>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Microsoft Office User" w:date="2023-07-10T11:37:00Z" w:initials="MOU">
    <w:p w14:paraId="1D1EECC3" w14:textId="77777777" w:rsidR="007141C2" w:rsidRDefault="007141C2">
      <w:pPr>
        <w:pStyle w:val="CommentText"/>
      </w:pPr>
      <w:r>
        <w:rPr>
          <w:rStyle w:val="CommentReference"/>
        </w:rPr>
        <w:annotationRef/>
      </w:r>
      <w:r>
        <w:t>Nature Eco Evo word limit 3500</w:t>
      </w:r>
    </w:p>
    <w:p w14:paraId="1AACB836" w14:textId="77777777" w:rsidR="007141C2" w:rsidRDefault="007141C2">
      <w:pPr>
        <w:pStyle w:val="CommentText"/>
      </w:pPr>
    </w:p>
    <w:p w14:paraId="41D320A3"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Main text – up to 3,500 words, excluding abstract, Methods, references and figure legends.</w:t>
      </w:r>
    </w:p>
    <w:p w14:paraId="5B97EA59"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Abstract – up to 200 words, unreferenced. </w:t>
      </w:r>
    </w:p>
    <w:p w14:paraId="6E065011"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Display items – up to 6 items (figures and/or tables). </w:t>
      </w:r>
    </w:p>
    <w:p w14:paraId="033A800F"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Extended Data – up to 10 items (figures and/or tables, linked from the main text in the html version of the paper).</w:t>
      </w:r>
    </w:p>
    <w:p w14:paraId="764F77DE"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 should be divided as follows: </w:t>
      </w:r>
    </w:p>
    <w:p w14:paraId="61B6773C"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Introduction (without heading, up to 500 words of referenced text on the background of the work) </w:t>
      </w:r>
    </w:p>
    <w:p w14:paraId="300925D2"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(concise, focused account of the findings)</w:t>
      </w:r>
    </w:p>
    <w:p w14:paraId="69FCA7C7"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Discussion</w:t>
      </w:r>
    </w:p>
    <w:p w14:paraId="1CBD69DE"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Online Methods. ​</w:t>
      </w:r>
    </w:p>
    <w:p w14:paraId="299324B2"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and Methods should be divided by topical subheadings; the Discussion does not contain subheadings.</w:t>
      </w:r>
    </w:p>
    <w:p w14:paraId="0CF3793D"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References – as a guideline, we typically recommend up to 50.</w:t>
      </w:r>
    </w:p>
    <w:p w14:paraId="737ED1F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include received/accepted dates. </w:t>
      </w:r>
    </w:p>
    <w:p w14:paraId="634971B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may be accompanied by supplementary information. </w:t>
      </w:r>
    </w:p>
    <w:p w14:paraId="139BEE2B"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are peer reviewed.</w:t>
      </w:r>
    </w:p>
    <w:p w14:paraId="57A8A092" w14:textId="4170930D" w:rsidR="007141C2" w:rsidRDefault="007141C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A8A0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66BF5" w16cex:dateUtc="2023-07-10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8A092" w16cid:durableId="28566B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56C5A" w14:textId="77777777" w:rsidR="00F7786C" w:rsidRDefault="00F7786C">
      <w:pPr>
        <w:spacing w:after="0"/>
      </w:pPr>
      <w:r>
        <w:separator/>
      </w:r>
    </w:p>
  </w:endnote>
  <w:endnote w:type="continuationSeparator" w:id="0">
    <w:p w14:paraId="03842949" w14:textId="77777777" w:rsidR="00F7786C" w:rsidRDefault="00F778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9B72C" w14:textId="77777777" w:rsidR="00F7786C" w:rsidRDefault="00F7786C">
      <w:pPr>
        <w:spacing w:after="0"/>
      </w:pPr>
      <w:r>
        <w:separator/>
      </w:r>
    </w:p>
  </w:footnote>
  <w:footnote w:type="continuationSeparator" w:id="0">
    <w:p w14:paraId="53EA59D9" w14:textId="77777777" w:rsidR="00F7786C" w:rsidRDefault="00F7786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C3044"/>
    <w:rsid w:val="000E3957"/>
    <w:rsid w:val="001918C4"/>
    <w:rsid w:val="001E011D"/>
    <w:rsid w:val="0023358D"/>
    <w:rsid w:val="00246861"/>
    <w:rsid w:val="00270945"/>
    <w:rsid w:val="002A7053"/>
    <w:rsid w:val="002B2848"/>
    <w:rsid w:val="00333F4D"/>
    <w:rsid w:val="003343E2"/>
    <w:rsid w:val="003830A5"/>
    <w:rsid w:val="00474D11"/>
    <w:rsid w:val="004768C8"/>
    <w:rsid w:val="00483D1D"/>
    <w:rsid w:val="004B135C"/>
    <w:rsid w:val="005A78D5"/>
    <w:rsid w:val="005C7DD7"/>
    <w:rsid w:val="00623869"/>
    <w:rsid w:val="006B5D26"/>
    <w:rsid w:val="007141C2"/>
    <w:rsid w:val="007527BE"/>
    <w:rsid w:val="007B22A3"/>
    <w:rsid w:val="00831F35"/>
    <w:rsid w:val="008E6DB8"/>
    <w:rsid w:val="00904FBD"/>
    <w:rsid w:val="00961490"/>
    <w:rsid w:val="00980C22"/>
    <w:rsid w:val="009F66BE"/>
    <w:rsid w:val="00A1401C"/>
    <w:rsid w:val="00A53343"/>
    <w:rsid w:val="00A635A9"/>
    <w:rsid w:val="00A84FF9"/>
    <w:rsid w:val="00A85CC3"/>
    <w:rsid w:val="00AE60EF"/>
    <w:rsid w:val="00B30924"/>
    <w:rsid w:val="00B4169B"/>
    <w:rsid w:val="00B9147E"/>
    <w:rsid w:val="00BB6DA8"/>
    <w:rsid w:val="00C059B3"/>
    <w:rsid w:val="00C97AF8"/>
    <w:rsid w:val="00CB5B28"/>
    <w:rsid w:val="00DB72A3"/>
    <w:rsid w:val="00DC6835"/>
    <w:rsid w:val="00DF48AE"/>
    <w:rsid w:val="00E01958"/>
    <w:rsid w:val="00E6133D"/>
    <w:rsid w:val="00EB02BE"/>
    <w:rsid w:val="00EF39F7"/>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8/08/relationships/commentsExtensible" Target="commentsExtensible.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1/2021.02.23.431501"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oi.org/10.1101/2023.04.26.538298" TargetMode="External"/><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xxxxx@xxxx.xxx" TargetMode="External"/><Relationship Id="rId14" Type="http://schemas.openxmlformats.org/officeDocument/2006/relationships/hyperlink" Target="https://frrp.or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21</Pages>
  <Words>11744</Words>
  <Characters>66945</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78532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4</cp:revision>
  <dcterms:created xsi:type="dcterms:W3CDTF">2023-07-10T18:37:00Z</dcterms:created>
  <dcterms:modified xsi:type="dcterms:W3CDTF">2023-07-10T19:39:00Z</dcterms:modified>
</cp:coreProperties>
</file>