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BF16" w14:textId="77777777" w:rsidR="00AC15B4" w:rsidRPr="00DC623A" w:rsidRDefault="00AC15B4" w:rsidP="001C0520">
      <w:pPr>
        <w:rPr>
          <w:rFonts w:ascii="Arial" w:hAnsi="Arial" w:cs="Arial"/>
          <w:sz w:val="20"/>
        </w:rPr>
        <w:sectPr w:rsidR="00AC15B4" w:rsidRPr="00DC623A" w:rsidSect="00F125EE">
          <w:headerReference w:type="default" r:id="rId8"/>
          <w:footerReference w:type="default" r:id="rId9"/>
          <w:pgSz w:w="12240" w:h="15840"/>
          <w:pgMar w:top="1440" w:right="1800" w:bottom="1440" w:left="1800" w:header="720" w:footer="720" w:gutter="0"/>
          <w:pgNumType w:start="1"/>
          <w:cols w:space="720"/>
          <w:docGrid w:linePitch="360"/>
        </w:sectPr>
      </w:pPr>
    </w:p>
    <w:p w14:paraId="2E4AD808" w14:textId="334A6701" w:rsidR="00F125EE" w:rsidRPr="00DC623A" w:rsidRDefault="00F125EE" w:rsidP="00D04CB7">
      <w:pPr>
        <w:rPr>
          <w:rFonts w:ascii="Arial" w:hAnsi="Arial" w:cs="Arial"/>
          <w:sz w:val="20"/>
        </w:rPr>
      </w:pPr>
    </w:p>
    <w:p w14:paraId="084E8220" w14:textId="094DF2AA" w:rsidR="007B5946" w:rsidRPr="00DC623A" w:rsidRDefault="005609E9" w:rsidP="00DB0B1D">
      <w:pPr>
        <w:rPr>
          <w:rFonts w:ascii="Arial" w:hAnsi="Arial" w:cs="Arial"/>
          <w:sz w:val="20"/>
        </w:rPr>
      </w:pPr>
      <w:r>
        <w:rPr>
          <w:rFonts w:ascii="Arial" w:hAnsi="Arial" w:cs="Arial"/>
          <w:noProof/>
          <w:sz w:val="20"/>
        </w:rPr>
        <w:drawing>
          <wp:inline distT="0" distB="0" distL="0" distR="0" wp14:anchorId="35BBE77C" wp14:editId="04AC4E6D">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9F0868A" w14:textId="77777777" w:rsidR="009A670E" w:rsidRPr="00DC623A" w:rsidRDefault="009A670E" w:rsidP="007B5946">
      <w:pPr>
        <w:rPr>
          <w:rFonts w:ascii="Arial" w:hAnsi="Arial" w:cs="Arial"/>
          <w:sz w:val="20"/>
        </w:rPr>
      </w:pPr>
    </w:p>
    <w:p w14:paraId="162ED58C" w14:textId="77777777" w:rsidR="009A670E" w:rsidRPr="00DC623A" w:rsidRDefault="009A670E" w:rsidP="007B5946">
      <w:pPr>
        <w:rPr>
          <w:rFonts w:ascii="Arial" w:hAnsi="Arial" w:cs="Arial"/>
          <w:sz w:val="20"/>
        </w:rPr>
      </w:pPr>
    </w:p>
    <w:p w14:paraId="1DC30AB1" w14:textId="77777777" w:rsidR="009A670E" w:rsidRPr="00DC623A" w:rsidRDefault="009A670E" w:rsidP="007B5946">
      <w:pPr>
        <w:rPr>
          <w:rFonts w:ascii="Arial" w:hAnsi="Arial" w:cs="Arial"/>
          <w:sz w:val="20"/>
        </w:rPr>
      </w:pPr>
    </w:p>
    <w:p w14:paraId="5E7DEFEE" w14:textId="77777777" w:rsidR="009A670E" w:rsidRPr="00DC623A" w:rsidRDefault="009A670E" w:rsidP="007B5946">
      <w:pPr>
        <w:rPr>
          <w:rFonts w:ascii="Arial" w:hAnsi="Arial" w:cs="Arial"/>
          <w:sz w:val="20"/>
        </w:rPr>
      </w:pPr>
    </w:p>
    <w:p w14:paraId="46F72BDF" w14:textId="5BB644BA" w:rsidR="00B16F99" w:rsidRPr="00DC623A" w:rsidRDefault="00B16F99" w:rsidP="00B16F99">
      <w:pPr>
        <w:rPr>
          <w:rFonts w:ascii="Arial" w:hAnsi="Arial" w:cs="Arial"/>
          <w:b/>
          <w:sz w:val="28"/>
          <w:szCs w:val="28"/>
        </w:rPr>
      </w:pPr>
      <w:r w:rsidRPr="00DC623A">
        <w:rPr>
          <w:rFonts w:ascii="Arial" w:hAnsi="Arial" w:cs="Arial"/>
          <w:b/>
          <w:sz w:val="28"/>
          <w:szCs w:val="28"/>
        </w:rPr>
        <w:t>Supp</w:t>
      </w:r>
      <w:r w:rsidR="00B73A1C">
        <w:rPr>
          <w:rFonts w:ascii="Arial" w:hAnsi="Arial" w:cs="Arial"/>
          <w:b/>
          <w:sz w:val="28"/>
          <w:szCs w:val="28"/>
        </w:rPr>
        <w:t>orting</w:t>
      </w:r>
      <w:r w:rsidRPr="00DC623A">
        <w:rPr>
          <w:rFonts w:ascii="Arial" w:hAnsi="Arial" w:cs="Arial"/>
          <w:b/>
          <w:sz w:val="28"/>
          <w:szCs w:val="28"/>
        </w:rPr>
        <w:t xml:space="preserve"> Information for</w:t>
      </w:r>
    </w:p>
    <w:p w14:paraId="39C1C52A" w14:textId="77777777" w:rsidR="00D04CB7" w:rsidRDefault="00D04CB7" w:rsidP="00D04CB7">
      <w:pPr>
        <w:rPr>
          <w:rFonts w:ascii="Arial" w:hAnsi="Arial" w:cs="Arial"/>
          <w:b/>
        </w:rPr>
      </w:pPr>
    </w:p>
    <w:p w14:paraId="3E1B051A" w14:textId="0902569F" w:rsidR="00D04CB7" w:rsidRPr="00961490" w:rsidRDefault="00D04CB7" w:rsidP="00D04CB7">
      <w:pPr>
        <w:rPr>
          <w:rFonts w:ascii="Arial" w:hAnsi="Arial" w:cs="Arial"/>
          <w:b/>
        </w:rPr>
      </w:pPr>
      <w:r w:rsidRPr="00961490">
        <w:rPr>
          <w:rFonts w:ascii="Arial" w:hAnsi="Arial" w:cs="Arial"/>
          <w:b/>
        </w:rPr>
        <w:t>Evidence for microbially-mediated tradeoffs between growth and defense throughout coral evolution</w:t>
      </w:r>
    </w:p>
    <w:p w14:paraId="773A15B7" w14:textId="7A0C1F55" w:rsidR="00015F74" w:rsidRPr="00D04CB7" w:rsidRDefault="00015F74" w:rsidP="007B5946">
      <w:pPr>
        <w:rPr>
          <w:rFonts w:ascii="Arial" w:hAnsi="Arial" w:cs="Arial"/>
          <w:szCs w:val="24"/>
        </w:rPr>
      </w:pPr>
    </w:p>
    <w:p w14:paraId="6985025A" w14:textId="77777777" w:rsidR="00B16F99" w:rsidRPr="00DC623A" w:rsidRDefault="00B16F99" w:rsidP="007B5946">
      <w:pPr>
        <w:rPr>
          <w:rFonts w:ascii="Arial" w:hAnsi="Arial" w:cs="Arial"/>
          <w:sz w:val="20"/>
        </w:rPr>
      </w:pPr>
    </w:p>
    <w:p w14:paraId="5D7A1ACF" w14:textId="77777777" w:rsidR="00D04CB7" w:rsidRPr="00246861" w:rsidRDefault="00D04CB7" w:rsidP="00D04CB7">
      <w:pPr>
        <w:rPr>
          <w:rFonts w:ascii="Arial" w:hAnsi="Arial" w:cs="Arial"/>
          <w:color w:val="000000"/>
          <w:sz w:val="20"/>
          <w:vertAlign w:val="superscript"/>
        </w:rPr>
      </w:pPr>
      <w:r w:rsidRPr="00246861">
        <w:rPr>
          <w:rFonts w:ascii="Arial" w:hAnsi="Arial" w:cs="Arial"/>
          <w:color w:val="000000"/>
          <w:sz w:val="20"/>
        </w:rPr>
        <w:t>Hannah E. Epstein</w:t>
      </w:r>
      <w:r w:rsidRPr="00246861">
        <w:rPr>
          <w:rFonts w:ascii="Arial" w:hAnsi="Arial" w:cs="Arial"/>
          <w:color w:val="000000"/>
          <w:sz w:val="20"/>
          <w:vertAlign w:val="superscript"/>
        </w:rPr>
        <w:t>1</w:t>
      </w:r>
      <w:r w:rsidRPr="00246861">
        <w:rPr>
          <w:rFonts w:ascii="Arial" w:hAnsi="Arial" w:cs="Arial"/>
          <w:color w:val="000000"/>
          <w:sz w:val="20"/>
        </w:rPr>
        <w:t>, Tanya Brown</w:t>
      </w:r>
      <w:r w:rsidRPr="00246861">
        <w:rPr>
          <w:rFonts w:ascii="Arial" w:hAnsi="Arial" w:cs="Arial"/>
          <w:sz w:val="20"/>
          <w:vertAlign w:val="superscript"/>
        </w:rPr>
        <w:t>2</w:t>
      </w:r>
      <w:r w:rsidRPr="00246861">
        <w:rPr>
          <w:rFonts w:ascii="Arial" w:hAnsi="Arial" w:cs="Arial"/>
          <w:sz w:val="20"/>
        </w:rPr>
        <w:t xml:space="preserve">, </w:t>
      </w:r>
      <w:proofErr w:type="spellStart"/>
      <w:r w:rsidRPr="00246861">
        <w:rPr>
          <w:rFonts w:ascii="Arial" w:hAnsi="Arial" w:cs="Arial"/>
          <w:color w:val="000000"/>
          <w:sz w:val="20"/>
        </w:rPr>
        <w:t>Ayọmikun</w:t>
      </w:r>
      <w:proofErr w:type="spellEnd"/>
      <w:r w:rsidRPr="00246861">
        <w:rPr>
          <w:rFonts w:ascii="Arial" w:hAnsi="Arial" w:cs="Arial"/>
          <w:color w:val="000000"/>
          <w:sz w:val="20"/>
        </w:rPr>
        <w:t xml:space="preserve"> O. Akinrinade</w:t>
      </w:r>
      <w:r w:rsidRPr="00246861">
        <w:rPr>
          <w:rFonts w:ascii="Arial" w:hAnsi="Arial" w:cs="Arial"/>
          <w:sz w:val="20"/>
          <w:vertAlign w:val="superscript"/>
        </w:rPr>
        <w:t>2,3</w:t>
      </w:r>
      <w:r w:rsidRPr="00246861">
        <w:rPr>
          <w:rFonts w:ascii="Arial" w:hAnsi="Arial" w:cs="Arial"/>
          <w:sz w:val="20"/>
        </w:rPr>
        <w:t>, Ryan McMinds</w:t>
      </w:r>
      <w:r w:rsidRPr="00246861">
        <w:rPr>
          <w:rFonts w:ascii="Arial" w:hAnsi="Arial" w:cs="Arial"/>
          <w:sz w:val="20"/>
          <w:vertAlign w:val="superscript"/>
        </w:rPr>
        <w:t>1,4</w:t>
      </w:r>
      <w:r w:rsidRPr="00246861">
        <w:rPr>
          <w:rFonts w:ascii="Arial" w:hAnsi="Arial" w:cs="Arial"/>
          <w:sz w:val="20"/>
        </w:rPr>
        <w:t xml:space="preserve">, </w:t>
      </w:r>
      <w:r w:rsidRPr="00246861">
        <w:rPr>
          <w:rFonts w:ascii="Arial" w:hAnsi="Arial" w:cs="Arial"/>
          <w:color w:val="000000"/>
          <w:sz w:val="20"/>
        </w:rPr>
        <w:t>F. Joseph</w:t>
      </w:r>
      <w:r w:rsidRPr="00246861">
        <w:rPr>
          <w:rFonts w:ascii="Arial" w:hAnsi="Arial" w:cs="Arial"/>
          <w:sz w:val="20"/>
        </w:rPr>
        <w:t xml:space="preserve"> </w:t>
      </w:r>
      <w:r w:rsidRPr="00246861">
        <w:rPr>
          <w:rFonts w:ascii="Arial" w:hAnsi="Arial" w:cs="Arial"/>
          <w:color w:val="000000"/>
          <w:sz w:val="20"/>
        </w:rPr>
        <w:t>Pollock</w:t>
      </w:r>
      <w:r w:rsidRPr="00246861">
        <w:rPr>
          <w:rFonts w:ascii="Arial" w:hAnsi="Arial" w:cs="Arial"/>
          <w:sz w:val="20"/>
          <w:vertAlign w:val="superscript"/>
        </w:rPr>
        <w:t>5,6</w:t>
      </w:r>
      <w:r w:rsidRPr="00246861">
        <w:rPr>
          <w:rFonts w:ascii="Arial" w:hAnsi="Arial" w:cs="Arial"/>
          <w:sz w:val="20"/>
        </w:rPr>
        <w:t>, Dylan Sonett</w:t>
      </w:r>
      <w:r w:rsidRPr="00246861">
        <w:rPr>
          <w:rFonts w:ascii="Arial" w:hAnsi="Arial" w:cs="Arial"/>
          <w:sz w:val="20"/>
          <w:vertAlign w:val="superscript"/>
        </w:rPr>
        <w:t>7</w:t>
      </w:r>
      <w:r w:rsidRPr="00246861">
        <w:rPr>
          <w:rFonts w:ascii="Arial" w:hAnsi="Arial" w:cs="Arial"/>
          <w:sz w:val="20"/>
        </w:rPr>
        <w:t xml:space="preserve">, </w:t>
      </w:r>
      <w:r w:rsidRPr="00246861">
        <w:rPr>
          <w:rFonts w:ascii="Arial" w:hAnsi="Arial" w:cs="Arial"/>
          <w:color w:val="000000"/>
          <w:sz w:val="20"/>
        </w:rPr>
        <w:t>Styles Smith</w:t>
      </w:r>
      <w:r w:rsidRPr="00246861">
        <w:rPr>
          <w:rFonts w:ascii="Arial" w:hAnsi="Arial" w:cs="Arial"/>
          <w:sz w:val="20"/>
          <w:vertAlign w:val="superscript"/>
        </w:rPr>
        <w:t>5</w:t>
      </w:r>
      <w:r w:rsidRPr="00246861">
        <w:rPr>
          <w:rFonts w:ascii="Arial" w:hAnsi="Arial" w:cs="Arial"/>
          <w:sz w:val="20"/>
        </w:rPr>
        <w:t xml:space="preserve">, </w:t>
      </w:r>
      <w:r w:rsidRPr="00246861">
        <w:rPr>
          <w:rFonts w:ascii="Arial" w:hAnsi="Arial" w:cs="Arial"/>
          <w:color w:val="000000"/>
          <w:sz w:val="20"/>
        </w:rPr>
        <w:t>David G. Bourne</w:t>
      </w:r>
      <w:r w:rsidRPr="00246861">
        <w:rPr>
          <w:rFonts w:ascii="Arial" w:hAnsi="Arial" w:cs="Arial"/>
          <w:sz w:val="20"/>
          <w:vertAlign w:val="superscript"/>
        </w:rPr>
        <w:t>8,9</w:t>
      </w:r>
      <w:r w:rsidRPr="00246861">
        <w:rPr>
          <w:rFonts w:ascii="Arial" w:hAnsi="Arial" w:cs="Arial"/>
          <w:sz w:val="20"/>
        </w:rPr>
        <w:t>, Carolina S. Carpenter</w:t>
      </w:r>
      <w:r w:rsidRPr="00246861">
        <w:rPr>
          <w:rFonts w:ascii="Arial" w:hAnsi="Arial" w:cs="Arial"/>
          <w:sz w:val="20"/>
          <w:vertAlign w:val="superscript"/>
        </w:rPr>
        <w:t>10,11</w:t>
      </w:r>
      <w:r w:rsidRPr="00246861">
        <w:rPr>
          <w:rFonts w:ascii="Arial" w:hAnsi="Arial" w:cs="Arial"/>
          <w:sz w:val="20"/>
        </w:rPr>
        <w:t>, Rob Knight</w:t>
      </w:r>
      <w:r w:rsidRPr="00246861">
        <w:rPr>
          <w:rFonts w:ascii="Arial" w:hAnsi="Arial" w:cs="Arial"/>
          <w:sz w:val="20"/>
          <w:vertAlign w:val="superscript"/>
        </w:rPr>
        <w:t>11-14</w:t>
      </w:r>
      <w:r w:rsidRPr="00246861">
        <w:rPr>
          <w:rFonts w:ascii="Arial" w:hAnsi="Arial" w:cs="Arial"/>
          <w:sz w:val="20"/>
        </w:rPr>
        <w:t xml:space="preserve">, </w:t>
      </w:r>
      <w:r w:rsidRPr="00246861">
        <w:rPr>
          <w:rFonts w:ascii="Arial" w:hAnsi="Arial" w:cs="Arial"/>
          <w:color w:val="000000"/>
          <w:sz w:val="20"/>
        </w:rPr>
        <w:t>Bette L. Willis</w:t>
      </w:r>
      <w:r w:rsidRPr="00246861">
        <w:rPr>
          <w:rFonts w:ascii="Arial" w:hAnsi="Arial" w:cs="Arial"/>
          <w:sz w:val="20"/>
          <w:vertAlign w:val="superscript"/>
        </w:rPr>
        <w:t>8</w:t>
      </w:r>
      <w:r w:rsidRPr="00246861">
        <w:rPr>
          <w:rFonts w:ascii="Arial" w:hAnsi="Arial" w:cs="Arial"/>
          <w:color w:val="000000"/>
          <w:sz w:val="20"/>
          <w:vertAlign w:val="superscript"/>
        </w:rPr>
        <w:t>,</w:t>
      </w:r>
      <w:r w:rsidRPr="00246861">
        <w:rPr>
          <w:rFonts w:ascii="Arial" w:hAnsi="Arial" w:cs="Arial"/>
          <w:sz w:val="20"/>
          <w:vertAlign w:val="superscript"/>
        </w:rPr>
        <w:t>15</w:t>
      </w:r>
      <w:r w:rsidRPr="00246861">
        <w:rPr>
          <w:rFonts w:ascii="Arial" w:hAnsi="Arial" w:cs="Arial"/>
          <w:sz w:val="20"/>
        </w:rPr>
        <w:t xml:space="preserve">, </w:t>
      </w:r>
      <w:r w:rsidRPr="00246861">
        <w:rPr>
          <w:rFonts w:ascii="Arial" w:hAnsi="Arial" w:cs="Arial"/>
          <w:color w:val="000000"/>
          <w:sz w:val="20"/>
        </w:rPr>
        <w:t>Mónica Medina</w:t>
      </w:r>
      <w:r w:rsidRPr="00246861">
        <w:rPr>
          <w:rFonts w:ascii="Arial" w:hAnsi="Arial" w:cs="Arial"/>
          <w:sz w:val="20"/>
          <w:vertAlign w:val="superscript"/>
        </w:rPr>
        <w:t>5</w:t>
      </w:r>
      <w:r w:rsidRPr="00246861">
        <w:rPr>
          <w:rFonts w:ascii="Arial" w:hAnsi="Arial" w:cs="Arial"/>
          <w:sz w:val="20"/>
        </w:rPr>
        <w:t xml:space="preserve">, </w:t>
      </w:r>
      <w:proofErr w:type="spellStart"/>
      <w:r w:rsidRPr="00246861">
        <w:rPr>
          <w:rFonts w:ascii="Arial" w:hAnsi="Arial" w:cs="Arial"/>
          <w:color w:val="000000"/>
          <w:sz w:val="20"/>
        </w:rPr>
        <w:t>Joleah</w:t>
      </w:r>
      <w:proofErr w:type="spellEnd"/>
      <w:r w:rsidRPr="00246861">
        <w:rPr>
          <w:rFonts w:ascii="Arial" w:hAnsi="Arial" w:cs="Arial"/>
          <w:color w:val="000000"/>
          <w:sz w:val="20"/>
        </w:rPr>
        <w:t xml:space="preserve"> B. Lamb</w:t>
      </w:r>
      <w:r w:rsidRPr="00246861">
        <w:rPr>
          <w:rFonts w:ascii="Arial" w:hAnsi="Arial" w:cs="Arial"/>
          <w:sz w:val="20"/>
          <w:vertAlign w:val="superscript"/>
        </w:rPr>
        <w:t>3</w:t>
      </w:r>
      <w:r w:rsidRPr="00246861">
        <w:rPr>
          <w:rFonts w:ascii="Arial" w:hAnsi="Arial" w:cs="Arial"/>
          <w:sz w:val="20"/>
        </w:rPr>
        <w:t xml:space="preserve">, </w:t>
      </w:r>
      <w:r w:rsidRPr="00246861">
        <w:rPr>
          <w:rFonts w:ascii="Arial" w:hAnsi="Arial" w:cs="Arial"/>
          <w:color w:val="000000"/>
          <w:sz w:val="20"/>
        </w:rPr>
        <w:t>Rebecca Vega Thurber</w:t>
      </w:r>
      <w:r w:rsidRPr="00246861">
        <w:rPr>
          <w:rFonts w:ascii="Arial" w:hAnsi="Arial" w:cs="Arial"/>
          <w:color w:val="000000"/>
          <w:sz w:val="20"/>
          <w:vertAlign w:val="superscript"/>
        </w:rPr>
        <w:t>1</w:t>
      </w:r>
      <w:r w:rsidRPr="00246861">
        <w:rPr>
          <w:rFonts w:ascii="Arial" w:hAnsi="Arial" w:cs="Arial"/>
          <w:sz w:val="20"/>
        </w:rPr>
        <w:t xml:space="preserve">, </w:t>
      </w:r>
      <w:r w:rsidRPr="00246861">
        <w:rPr>
          <w:rFonts w:ascii="Arial" w:hAnsi="Arial" w:cs="Arial"/>
          <w:color w:val="000000"/>
          <w:sz w:val="20"/>
        </w:rPr>
        <w:t>Jesse R. Zaneveld</w:t>
      </w:r>
      <w:r w:rsidRPr="00246861">
        <w:rPr>
          <w:rFonts w:ascii="Arial" w:hAnsi="Arial" w:cs="Arial"/>
          <w:sz w:val="20"/>
          <w:vertAlign w:val="superscript"/>
        </w:rPr>
        <w:t>2*</w:t>
      </w:r>
      <w:r w:rsidRPr="00246861">
        <w:rPr>
          <w:rFonts w:ascii="Arial" w:hAnsi="Arial" w:cs="Arial"/>
          <w:color w:val="000000"/>
          <w:sz w:val="20"/>
          <w:vertAlign w:val="superscript"/>
        </w:rPr>
        <w:t xml:space="preserve"> </w:t>
      </w:r>
    </w:p>
    <w:p w14:paraId="30636D10" w14:textId="77777777" w:rsidR="00D04CB7" w:rsidRPr="00961490" w:rsidRDefault="00D04CB7" w:rsidP="00D04CB7">
      <w:pPr>
        <w:contextualSpacing/>
        <w:jc w:val="both"/>
        <w:rPr>
          <w:rFonts w:ascii="Arial" w:hAnsi="Arial" w:cs="Arial"/>
          <w:i/>
          <w:color w:val="000000"/>
          <w:sz w:val="19"/>
          <w:szCs w:val="19"/>
        </w:rPr>
      </w:pPr>
      <w:r w:rsidRPr="00961490">
        <w:rPr>
          <w:rFonts w:ascii="Arial" w:hAnsi="Arial" w:cs="Arial"/>
          <w:i/>
          <w:color w:val="000000"/>
          <w:sz w:val="19"/>
          <w:szCs w:val="19"/>
          <w:vertAlign w:val="superscript"/>
        </w:rPr>
        <w:t>1</w:t>
      </w:r>
      <w:r w:rsidRPr="00961490">
        <w:rPr>
          <w:rFonts w:ascii="Arial" w:hAnsi="Arial" w:cs="Arial"/>
          <w:i/>
          <w:sz w:val="19"/>
          <w:szCs w:val="19"/>
        </w:rPr>
        <w:t xml:space="preserve">Department of Microbiology, Oregon State University, </w:t>
      </w:r>
      <w:r w:rsidRPr="00961490">
        <w:rPr>
          <w:rFonts w:ascii="Arial" w:hAnsi="Arial" w:cs="Arial"/>
          <w:i/>
          <w:color w:val="000000"/>
          <w:sz w:val="19"/>
          <w:szCs w:val="19"/>
        </w:rPr>
        <w:t>226 Nash Hall, Corvallis, OR 97331, USA</w:t>
      </w:r>
    </w:p>
    <w:p w14:paraId="715BCDEF" w14:textId="77777777" w:rsidR="00D04CB7" w:rsidRPr="00961490" w:rsidRDefault="00D04CB7" w:rsidP="00D04CB7">
      <w:pPr>
        <w:ind w:left="720" w:hanging="720"/>
        <w:contextualSpacing/>
        <w:jc w:val="both"/>
        <w:rPr>
          <w:rFonts w:ascii="Arial" w:hAnsi="Arial" w:cs="Arial"/>
          <w:i/>
          <w:color w:val="000000"/>
          <w:sz w:val="19"/>
          <w:szCs w:val="19"/>
        </w:rPr>
      </w:pPr>
      <w:r w:rsidRPr="00961490">
        <w:rPr>
          <w:rFonts w:ascii="Arial" w:hAnsi="Arial" w:cs="Arial"/>
          <w:i/>
          <w:sz w:val="19"/>
          <w:szCs w:val="19"/>
          <w:vertAlign w:val="superscript"/>
        </w:rPr>
        <w:t>2</w:t>
      </w:r>
      <w:r w:rsidRPr="00961490">
        <w:rPr>
          <w:rFonts w:ascii="Arial" w:hAnsi="Arial" w:cs="Arial"/>
          <w:i/>
          <w:sz w:val="19"/>
          <w:szCs w:val="19"/>
        </w:rPr>
        <w:t>School of Science, Technology, Engineering, and Mathematics, Division of Biological Sciences, U</w:t>
      </w:r>
      <w:r w:rsidRPr="00961490">
        <w:rPr>
          <w:rFonts w:ascii="Arial" w:hAnsi="Arial" w:cs="Arial"/>
          <w:i/>
          <w:color w:val="000000"/>
          <w:sz w:val="19"/>
          <w:szCs w:val="19"/>
        </w:rPr>
        <w:t>niversity of Washington</w:t>
      </w:r>
      <w:r w:rsidRPr="00961490">
        <w:rPr>
          <w:rFonts w:ascii="Arial" w:hAnsi="Arial" w:cs="Arial"/>
          <w:i/>
          <w:sz w:val="19"/>
          <w:szCs w:val="19"/>
        </w:rPr>
        <w:t xml:space="preserve"> </w:t>
      </w:r>
      <w:r w:rsidRPr="00961490">
        <w:rPr>
          <w:rFonts w:ascii="Arial" w:hAnsi="Arial" w:cs="Arial"/>
          <w:i/>
          <w:color w:val="000000"/>
          <w:sz w:val="19"/>
          <w:szCs w:val="19"/>
        </w:rPr>
        <w:t>Bothell, UWBB-277, Bothell, WA 98011, USA</w:t>
      </w:r>
    </w:p>
    <w:p w14:paraId="69F842D5"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3</w:t>
      </w:r>
      <w:r w:rsidRPr="00961490">
        <w:rPr>
          <w:rFonts w:ascii="Arial" w:hAnsi="Arial" w:cs="Arial"/>
          <w:i/>
          <w:sz w:val="19"/>
          <w:szCs w:val="19"/>
        </w:rPr>
        <w:t>Department of Ecology and Evolutionary Biology, University of California, Irvine, CA 92697, USA</w:t>
      </w:r>
    </w:p>
    <w:p w14:paraId="7428CCB4"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4</w:t>
      </w:r>
      <w:r w:rsidRPr="00961490">
        <w:rPr>
          <w:rFonts w:ascii="Arial" w:hAnsi="Arial" w:cs="Arial"/>
          <w:i/>
          <w:sz w:val="19"/>
          <w:szCs w:val="19"/>
        </w:rPr>
        <w:t>Center for Global Health and Infectious Diseases Research, University of South Florida, 13201 Bruce B. Downs Blvd, MDC 56, Tampa, FL 33612, USA</w:t>
      </w:r>
    </w:p>
    <w:p w14:paraId="5C4201BC"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5</w:t>
      </w:r>
      <w:r w:rsidRPr="00961490">
        <w:rPr>
          <w:rFonts w:ascii="Arial" w:hAnsi="Arial" w:cs="Arial"/>
          <w:i/>
          <w:sz w:val="19"/>
          <w:szCs w:val="19"/>
        </w:rPr>
        <w:t>Department of Biology, Pennsylvania State University, 208 Mueller Lab, University Park, PA 16802, USA</w:t>
      </w:r>
    </w:p>
    <w:p w14:paraId="6B497C4F"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6</w:t>
      </w:r>
      <w:r w:rsidRPr="00961490">
        <w:rPr>
          <w:rFonts w:ascii="Arial" w:eastAsia="Tahoma" w:hAnsi="Arial" w:cs="Arial"/>
          <w:i/>
          <w:sz w:val="19"/>
          <w:szCs w:val="19"/>
        </w:rPr>
        <w:t>Hawai</w:t>
      </w:r>
      <w:r w:rsidRPr="00961490">
        <w:rPr>
          <w:rFonts w:ascii="Tahoma" w:eastAsia="Tahoma" w:hAnsi="Tahoma" w:cs="Tahoma"/>
          <w:sz w:val="20"/>
        </w:rPr>
        <w:t>՛</w:t>
      </w:r>
      <w:r w:rsidRPr="00961490">
        <w:rPr>
          <w:rFonts w:ascii="Arial" w:eastAsia="Tahoma" w:hAnsi="Arial" w:cs="Arial"/>
          <w:i/>
          <w:sz w:val="19"/>
          <w:szCs w:val="19"/>
        </w:rPr>
        <w:t>i &amp; Palmyra Program, T</w:t>
      </w:r>
      <w:r w:rsidRPr="00961490">
        <w:rPr>
          <w:rFonts w:ascii="Arial" w:hAnsi="Arial" w:cs="Arial"/>
          <w:i/>
          <w:sz w:val="19"/>
          <w:szCs w:val="19"/>
        </w:rPr>
        <w:t>he Nature Conservancy, Honolulu, HI, USA</w:t>
      </w:r>
    </w:p>
    <w:p w14:paraId="7D32DBEE"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7</w:t>
      </w:r>
      <w:r w:rsidRPr="00961490">
        <w:rPr>
          <w:rFonts w:ascii="Arial" w:hAnsi="Arial" w:cs="Arial"/>
          <w:i/>
          <w:sz w:val="19"/>
          <w:szCs w:val="19"/>
        </w:rPr>
        <w:t>School of Pharmacy, University of Washington, Seattle, WA 98195, USA</w:t>
      </w:r>
    </w:p>
    <w:p w14:paraId="232C35C5"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8</w:t>
      </w:r>
      <w:r w:rsidRPr="00961490">
        <w:rPr>
          <w:rFonts w:ascii="Arial" w:hAnsi="Arial" w:cs="Arial"/>
          <w:i/>
          <w:sz w:val="19"/>
          <w:szCs w:val="19"/>
        </w:rPr>
        <w:t>College of Science and Engineering, James Cook University, Townsville, Queensland 4811, Australia</w:t>
      </w:r>
    </w:p>
    <w:p w14:paraId="7217873A"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9</w:t>
      </w:r>
      <w:r w:rsidRPr="00961490">
        <w:rPr>
          <w:rFonts w:ascii="Arial" w:hAnsi="Arial" w:cs="Arial"/>
          <w:i/>
          <w:sz w:val="19"/>
          <w:szCs w:val="19"/>
        </w:rPr>
        <w:t>Australian Institute of Marine Science, Townsville, Queensland 4810, Australia</w:t>
      </w:r>
    </w:p>
    <w:p w14:paraId="0BABB2E9"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10</w:t>
      </w:r>
      <w:r w:rsidRPr="00961490">
        <w:rPr>
          <w:rFonts w:ascii="Arial" w:hAnsi="Arial" w:cs="Arial"/>
          <w:i/>
          <w:sz w:val="19"/>
          <w:szCs w:val="19"/>
        </w:rPr>
        <w:t>Scripps Institution of Oceanography, University of California, San Diego, La Jolla, CA 92093, USA</w:t>
      </w:r>
    </w:p>
    <w:p w14:paraId="54FB4B6B"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11</w:t>
      </w:r>
      <w:r w:rsidRPr="00961490">
        <w:rPr>
          <w:rFonts w:ascii="Arial" w:hAnsi="Arial" w:cs="Arial"/>
          <w:i/>
          <w:sz w:val="19"/>
          <w:szCs w:val="19"/>
        </w:rPr>
        <w:t>Center for Microbiome Innovation, University of California, San Diego, La Jolla, CA 92093, USA</w:t>
      </w:r>
    </w:p>
    <w:p w14:paraId="4789193E"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12</w:t>
      </w:r>
      <w:r w:rsidRPr="00961490">
        <w:rPr>
          <w:rFonts w:ascii="Arial" w:hAnsi="Arial" w:cs="Arial"/>
          <w:i/>
          <w:sz w:val="19"/>
          <w:szCs w:val="19"/>
        </w:rPr>
        <w:t>Department of Pediatrics, University of California, San Diego, La Jolla, CA 92093, USA</w:t>
      </w:r>
    </w:p>
    <w:p w14:paraId="719A4366"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13</w:t>
      </w:r>
      <w:r w:rsidRPr="00961490">
        <w:rPr>
          <w:rFonts w:ascii="Arial" w:hAnsi="Arial" w:cs="Arial"/>
          <w:i/>
          <w:sz w:val="19"/>
          <w:szCs w:val="19"/>
        </w:rPr>
        <w:t>Department of Computer Science &amp; Engineering, University of California, San Diego, La Jolla, CA 92093, USA</w:t>
      </w:r>
    </w:p>
    <w:p w14:paraId="4618A521" w14:textId="77777777" w:rsidR="00D04CB7" w:rsidRPr="00961490" w:rsidRDefault="00D04CB7" w:rsidP="00D04CB7">
      <w:pPr>
        <w:contextualSpacing/>
        <w:jc w:val="both"/>
        <w:rPr>
          <w:rFonts w:ascii="Arial" w:hAnsi="Arial" w:cs="Arial"/>
          <w:i/>
          <w:sz w:val="19"/>
          <w:szCs w:val="19"/>
        </w:rPr>
      </w:pPr>
      <w:r w:rsidRPr="00961490">
        <w:rPr>
          <w:rFonts w:ascii="Arial" w:hAnsi="Arial" w:cs="Arial"/>
          <w:i/>
          <w:sz w:val="19"/>
          <w:szCs w:val="19"/>
          <w:vertAlign w:val="superscript"/>
        </w:rPr>
        <w:t>14</w:t>
      </w:r>
      <w:r w:rsidRPr="00961490">
        <w:rPr>
          <w:rFonts w:ascii="Arial" w:hAnsi="Arial" w:cs="Arial"/>
          <w:i/>
          <w:sz w:val="19"/>
          <w:szCs w:val="19"/>
        </w:rPr>
        <w:t>Micronoma Inc., San Diego, La Jolla, CA 92121, USA</w:t>
      </w:r>
    </w:p>
    <w:p w14:paraId="3A83AD3E" w14:textId="77777777" w:rsidR="00D04CB7" w:rsidRPr="00961490" w:rsidRDefault="00D04CB7" w:rsidP="00D04CB7">
      <w:pPr>
        <w:ind w:left="720" w:hanging="720"/>
        <w:contextualSpacing/>
        <w:jc w:val="both"/>
        <w:rPr>
          <w:rFonts w:ascii="Arial" w:hAnsi="Arial" w:cs="Arial"/>
          <w:i/>
          <w:sz w:val="19"/>
          <w:szCs w:val="19"/>
        </w:rPr>
      </w:pPr>
      <w:r w:rsidRPr="00961490">
        <w:rPr>
          <w:rFonts w:ascii="Arial" w:hAnsi="Arial" w:cs="Arial"/>
          <w:i/>
          <w:sz w:val="19"/>
          <w:szCs w:val="19"/>
          <w:vertAlign w:val="superscript"/>
        </w:rPr>
        <w:t>15</w:t>
      </w:r>
      <w:r w:rsidRPr="00961490">
        <w:rPr>
          <w:rFonts w:ascii="Arial" w:hAnsi="Arial" w:cs="Arial"/>
          <w:i/>
          <w:sz w:val="19"/>
          <w:szCs w:val="19"/>
        </w:rPr>
        <w:t>ARC Centre of Excellence for Coral Reef Studies, James Cook University, Townsville, Queensland 4811, Australia</w:t>
      </w:r>
    </w:p>
    <w:p w14:paraId="6899FD96" w14:textId="77777777" w:rsidR="00D04CB7" w:rsidRDefault="00D04CB7" w:rsidP="00D04CB7">
      <w:pPr>
        <w:rPr>
          <w:rFonts w:ascii="Arial" w:hAnsi="Arial" w:cs="Arial"/>
          <w:sz w:val="20"/>
        </w:rPr>
      </w:pPr>
    </w:p>
    <w:p w14:paraId="76A24A11" w14:textId="77777777" w:rsidR="00D04CB7" w:rsidRPr="00F649EE" w:rsidRDefault="00D04CB7" w:rsidP="00D04CB7">
      <w:pPr>
        <w:rPr>
          <w:rFonts w:ascii="Arial" w:hAnsi="Arial" w:cs="Arial"/>
          <w:sz w:val="20"/>
        </w:rPr>
      </w:pPr>
      <w:r w:rsidRPr="00E6133D">
        <w:rPr>
          <w:rFonts w:ascii="Arial" w:hAnsi="Arial" w:cs="Arial"/>
          <w:sz w:val="20"/>
        </w:rPr>
        <w:t>*</w:t>
      </w:r>
      <w:r>
        <w:rPr>
          <w:rFonts w:ascii="Arial" w:hAnsi="Arial" w:cs="Arial"/>
          <w:sz w:val="20"/>
        </w:rPr>
        <w:t xml:space="preserve">Jesse R. </w:t>
      </w:r>
      <w:proofErr w:type="spellStart"/>
      <w:r>
        <w:rPr>
          <w:rFonts w:ascii="Arial" w:hAnsi="Arial" w:cs="Arial"/>
          <w:sz w:val="20"/>
        </w:rPr>
        <w:t>Zaneveld</w:t>
      </w:r>
      <w:proofErr w:type="spellEnd"/>
    </w:p>
    <w:p w14:paraId="4B006191" w14:textId="77777777" w:rsidR="00D04CB7" w:rsidRPr="00623869" w:rsidRDefault="00D04CB7" w:rsidP="00D04CB7">
      <w:pPr>
        <w:rPr>
          <w:rFonts w:ascii="Arial" w:hAnsi="Arial" w:cs="Arial"/>
          <w:sz w:val="20"/>
        </w:rPr>
      </w:pPr>
      <w:r w:rsidRPr="00623869">
        <w:rPr>
          <w:rFonts w:ascii="Arial" w:hAnsi="Arial" w:cs="Arial"/>
          <w:b/>
          <w:sz w:val="20"/>
        </w:rPr>
        <w:t xml:space="preserve">Email: </w:t>
      </w:r>
      <w:r w:rsidRPr="00623869">
        <w:rPr>
          <w:rFonts w:ascii="Arial" w:hAnsi="Arial" w:cs="Arial"/>
          <w:sz w:val="20"/>
        </w:rPr>
        <w:t xml:space="preserve"> </w:t>
      </w:r>
      <w:hyperlink r:id="rId11">
        <w:r>
          <w:rPr>
            <w:rFonts w:ascii="Arial" w:hAnsi="Arial" w:cs="Arial"/>
            <w:sz w:val="20"/>
          </w:rPr>
          <w:t>zaneveld@uw.edu</w:t>
        </w:r>
      </w:hyperlink>
    </w:p>
    <w:p w14:paraId="41FAE993" w14:textId="77777777" w:rsidR="002C030F" w:rsidRPr="00DC623A" w:rsidRDefault="002C030F">
      <w:pPr>
        <w:rPr>
          <w:rFonts w:ascii="Arial" w:hAnsi="Arial" w:cs="Arial"/>
          <w:sz w:val="20"/>
        </w:rPr>
      </w:pPr>
    </w:p>
    <w:p w14:paraId="51DF9633" w14:textId="77777777" w:rsidR="00015F74" w:rsidRPr="00DC623A" w:rsidRDefault="00015F74">
      <w:pPr>
        <w:rPr>
          <w:rFonts w:ascii="Arial" w:hAnsi="Arial" w:cs="Arial"/>
          <w:b/>
          <w:sz w:val="20"/>
        </w:rPr>
      </w:pPr>
    </w:p>
    <w:p w14:paraId="09920EA7" w14:textId="77777777" w:rsidR="002C030F" w:rsidRPr="00DC623A" w:rsidRDefault="009743A9">
      <w:pPr>
        <w:rPr>
          <w:rFonts w:ascii="Arial" w:hAnsi="Arial" w:cs="Arial"/>
          <w:b/>
          <w:sz w:val="20"/>
        </w:rPr>
      </w:pPr>
      <w:r w:rsidRPr="00DC623A">
        <w:rPr>
          <w:rFonts w:ascii="Arial" w:hAnsi="Arial" w:cs="Arial"/>
          <w:b/>
          <w:sz w:val="20"/>
        </w:rPr>
        <w:t xml:space="preserve">This PDF file </w:t>
      </w:r>
      <w:r w:rsidR="002C030F" w:rsidRPr="00DC623A">
        <w:rPr>
          <w:rFonts w:ascii="Arial" w:hAnsi="Arial" w:cs="Arial"/>
          <w:b/>
          <w:sz w:val="20"/>
        </w:rPr>
        <w:t>includes:</w:t>
      </w:r>
    </w:p>
    <w:p w14:paraId="4348D444" w14:textId="77777777" w:rsidR="002C030F" w:rsidRPr="00DC623A" w:rsidRDefault="002C030F">
      <w:pPr>
        <w:rPr>
          <w:rFonts w:ascii="Arial" w:hAnsi="Arial" w:cs="Arial"/>
          <w:sz w:val="20"/>
        </w:rPr>
      </w:pPr>
    </w:p>
    <w:p w14:paraId="21670AEA" w14:textId="57A773F5" w:rsidR="002C030F" w:rsidRPr="00DC623A" w:rsidRDefault="00DA59EA" w:rsidP="00262D72">
      <w:pPr>
        <w:ind w:left="720"/>
        <w:rPr>
          <w:rFonts w:ascii="Arial" w:hAnsi="Arial" w:cs="Arial"/>
          <w:sz w:val="20"/>
        </w:rPr>
      </w:pPr>
      <w:r w:rsidRPr="00DC623A">
        <w:rPr>
          <w:rFonts w:ascii="Arial" w:hAnsi="Arial" w:cs="Arial"/>
          <w:sz w:val="20"/>
        </w:rPr>
        <w:t>Figures</w:t>
      </w:r>
      <w:r w:rsidR="00A3403B" w:rsidRPr="00DC623A">
        <w:rPr>
          <w:rFonts w:ascii="Arial" w:hAnsi="Arial" w:cs="Arial"/>
          <w:sz w:val="20"/>
        </w:rPr>
        <w:t xml:space="preserve"> </w:t>
      </w:r>
      <w:r w:rsidR="002C030F" w:rsidRPr="00DC623A">
        <w:rPr>
          <w:rFonts w:ascii="Arial" w:hAnsi="Arial" w:cs="Arial"/>
          <w:sz w:val="20"/>
        </w:rPr>
        <w:t>S1</w:t>
      </w:r>
      <w:r w:rsidR="00A3403B" w:rsidRPr="00DC623A">
        <w:rPr>
          <w:rFonts w:ascii="Arial" w:hAnsi="Arial" w:cs="Arial"/>
          <w:sz w:val="20"/>
        </w:rPr>
        <w:t xml:space="preserve"> to </w:t>
      </w:r>
      <w:r w:rsidR="002C030F" w:rsidRPr="00DC623A">
        <w:rPr>
          <w:rFonts w:ascii="Arial" w:hAnsi="Arial" w:cs="Arial"/>
          <w:sz w:val="20"/>
        </w:rPr>
        <w:t>S</w:t>
      </w:r>
      <w:r w:rsidR="00D04CB7">
        <w:rPr>
          <w:rFonts w:ascii="Arial" w:hAnsi="Arial" w:cs="Arial"/>
          <w:sz w:val="20"/>
        </w:rPr>
        <w:t>4</w:t>
      </w:r>
    </w:p>
    <w:p w14:paraId="697D767A" w14:textId="5BBBF0FE" w:rsidR="00CF16C9" w:rsidRPr="00DC623A" w:rsidRDefault="00D04CB7" w:rsidP="00D269AB">
      <w:pPr>
        <w:pStyle w:val="SMHeading"/>
        <w:rPr>
          <w:rFonts w:ascii="Arial" w:hAnsi="Arial" w:cs="Arial"/>
          <w:sz w:val="20"/>
          <w:szCs w:val="20"/>
        </w:rPr>
      </w:pPr>
      <w:r>
        <w:rPr>
          <w:rFonts w:ascii="Arial" w:hAnsi="Arial" w:cs="Arial"/>
          <w:sz w:val="20"/>
          <w:szCs w:val="20"/>
        </w:rPr>
        <w:br w:type="page"/>
      </w:r>
      <w:bookmarkStart w:id="0" w:name="Tables"/>
      <w:bookmarkStart w:id="1" w:name="MaterialsMethods"/>
      <w:bookmarkEnd w:id="0"/>
      <w:bookmarkEnd w:id="1"/>
    </w:p>
    <w:p w14:paraId="7BD0029A" w14:textId="77777777" w:rsidR="00D04CB7" w:rsidRDefault="00D04CB7" w:rsidP="00D04CB7">
      <w:pPr>
        <w:pStyle w:val="SMText"/>
        <w:ind w:firstLine="0"/>
        <w:rPr>
          <w:rFonts w:ascii="Arial" w:hAnsi="Arial" w:cs="Arial"/>
          <w:b/>
          <w:bCs/>
          <w:sz w:val="20"/>
        </w:rPr>
      </w:pPr>
      <w:r>
        <w:rPr>
          <w:rFonts w:ascii="Arial" w:hAnsi="Arial" w:cs="Arial"/>
          <w:b/>
          <w:bCs/>
          <w:noProof/>
          <w:sz w:val="20"/>
        </w:rPr>
        <w:lastRenderedPageBreak/>
        <w:drawing>
          <wp:inline distT="0" distB="0" distL="0" distR="0" wp14:anchorId="2D3076D5" wp14:editId="7B953102">
            <wp:extent cx="4539288" cy="77467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3143" cy="7753376"/>
                    </a:xfrm>
                    <a:prstGeom prst="rect">
                      <a:avLst/>
                    </a:prstGeom>
                  </pic:spPr>
                </pic:pic>
              </a:graphicData>
            </a:graphic>
          </wp:inline>
        </w:drawing>
      </w:r>
    </w:p>
    <w:p w14:paraId="20DD7C68" w14:textId="19718F0A" w:rsidR="00D04CB7" w:rsidRDefault="007411A1" w:rsidP="00D04CB7">
      <w:pPr>
        <w:pStyle w:val="SMText"/>
        <w:ind w:firstLine="0"/>
        <w:rPr>
          <w:rFonts w:ascii="Arial" w:hAnsi="Arial" w:cs="Arial"/>
          <w:bCs/>
          <w:sz w:val="20"/>
        </w:rPr>
      </w:pPr>
      <w:r w:rsidRPr="00D04CB7">
        <w:rPr>
          <w:rFonts w:ascii="Arial" w:hAnsi="Arial" w:cs="Arial"/>
          <w:b/>
          <w:bCs/>
          <w:sz w:val="20"/>
        </w:rPr>
        <w:t>Fig. S1.</w:t>
      </w:r>
      <w:r w:rsidR="00B42F9C" w:rsidRPr="00DC623A">
        <w:rPr>
          <w:rFonts w:ascii="Arial" w:hAnsi="Arial" w:cs="Arial"/>
          <w:sz w:val="20"/>
        </w:rPr>
        <w:t xml:space="preserve"> </w:t>
      </w:r>
      <w:r w:rsidR="00D04CB7">
        <w:rPr>
          <w:rFonts w:ascii="Arial" w:hAnsi="Arial" w:cs="Arial"/>
          <w:b/>
          <w:sz w:val="20"/>
        </w:rPr>
        <w:t xml:space="preserve"> </w:t>
      </w:r>
      <w:r w:rsidR="00D04CB7" w:rsidRPr="00D04CB7">
        <w:rPr>
          <w:rFonts w:ascii="Arial" w:hAnsi="Arial" w:cs="Arial"/>
          <w:bCs/>
          <w:sz w:val="20"/>
        </w:rPr>
        <w:t>Ancestral state reconstructions mirroring disease susceptibility and microbial alpha diversity metrics, including A) species richness, B) evenness (Gini Index), and C) dominance (Simpson’s Index).</w:t>
      </w:r>
      <w:r w:rsidR="00D04CB7">
        <w:rPr>
          <w:rFonts w:ascii="Arial" w:hAnsi="Arial" w:cs="Arial"/>
          <w:bCs/>
          <w:sz w:val="20"/>
        </w:rPr>
        <w:br w:type="page"/>
      </w:r>
    </w:p>
    <w:p w14:paraId="34892AE8" w14:textId="4C57872C" w:rsidR="00D04CB7" w:rsidRPr="00D04CB7" w:rsidRDefault="00D04CB7" w:rsidP="00D04CB7">
      <w:pPr>
        <w:pStyle w:val="SMText"/>
        <w:ind w:firstLine="0"/>
        <w:rPr>
          <w:rFonts w:ascii="Arial" w:hAnsi="Arial" w:cs="Arial"/>
          <w:bCs/>
          <w:sz w:val="20"/>
        </w:rPr>
      </w:pPr>
      <w:r>
        <w:rPr>
          <w:rFonts w:ascii="Arial" w:hAnsi="Arial" w:cs="Arial"/>
          <w:bCs/>
          <w:noProof/>
          <w:sz w:val="20"/>
        </w:rPr>
        <w:lastRenderedPageBreak/>
        <w:drawing>
          <wp:inline distT="0" distB="0" distL="0" distR="0" wp14:anchorId="54E986F0" wp14:editId="6B68CF18">
            <wp:extent cx="5486400" cy="6366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6366510"/>
                    </a:xfrm>
                    <a:prstGeom prst="rect">
                      <a:avLst/>
                    </a:prstGeom>
                  </pic:spPr>
                </pic:pic>
              </a:graphicData>
            </a:graphic>
          </wp:inline>
        </w:drawing>
      </w:r>
    </w:p>
    <w:p w14:paraId="6888F658" w14:textId="2F7EC435" w:rsidR="00477182" w:rsidRPr="00DC623A" w:rsidRDefault="00112C5B" w:rsidP="00B42F9C">
      <w:pPr>
        <w:pStyle w:val="SMHeading"/>
        <w:rPr>
          <w:rFonts w:ascii="Arial" w:hAnsi="Arial" w:cs="Arial"/>
          <w:sz w:val="20"/>
          <w:szCs w:val="20"/>
        </w:rPr>
      </w:pPr>
      <w:r w:rsidRPr="00DC623A">
        <w:rPr>
          <w:rFonts w:ascii="Arial" w:hAnsi="Arial" w:cs="Arial"/>
          <w:sz w:val="20"/>
          <w:szCs w:val="20"/>
        </w:rPr>
        <w:t>Fig. S2</w:t>
      </w:r>
      <w:r w:rsidR="00B42F9C" w:rsidRPr="00DC623A">
        <w:rPr>
          <w:rFonts w:ascii="Arial" w:hAnsi="Arial" w:cs="Arial"/>
          <w:sz w:val="20"/>
          <w:szCs w:val="20"/>
        </w:rPr>
        <w:t xml:space="preserve">. </w:t>
      </w:r>
      <w:r w:rsidR="00D04CB7">
        <w:rPr>
          <w:rFonts w:ascii="Arial" w:hAnsi="Arial" w:cs="Arial"/>
          <w:b w:val="0"/>
          <w:sz w:val="20"/>
          <w:szCs w:val="20"/>
        </w:rPr>
        <w:t xml:space="preserve">Ancestral state reconstructions mirroring disease susceptibility and microbial dominance of A) Alphaproteobacteria only and B) </w:t>
      </w:r>
      <w:proofErr w:type="spellStart"/>
      <w:r w:rsidR="00D04CB7">
        <w:rPr>
          <w:rFonts w:ascii="Arial" w:hAnsi="Arial" w:cs="Arial"/>
          <w:b w:val="0"/>
          <w:sz w:val="20"/>
          <w:szCs w:val="20"/>
        </w:rPr>
        <w:t>Gammaproteobacteria</w:t>
      </w:r>
      <w:proofErr w:type="spellEnd"/>
      <w:r w:rsidR="00D04CB7">
        <w:rPr>
          <w:rFonts w:ascii="Arial" w:hAnsi="Arial" w:cs="Arial"/>
          <w:b w:val="0"/>
          <w:sz w:val="20"/>
          <w:szCs w:val="20"/>
        </w:rPr>
        <w:t xml:space="preserve"> only.</w:t>
      </w:r>
    </w:p>
    <w:p w14:paraId="695F73DE" w14:textId="0986C0DE" w:rsidR="00D04CB7" w:rsidRDefault="00D04CB7" w:rsidP="00670299">
      <w:pPr>
        <w:pStyle w:val="SMcaption"/>
        <w:rPr>
          <w:rFonts w:ascii="Arial" w:hAnsi="Arial" w:cs="Arial"/>
          <w:sz w:val="20"/>
        </w:rPr>
      </w:pPr>
      <w:r>
        <w:rPr>
          <w:rFonts w:ascii="Arial" w:hAnsi="Arial" w:cs="Arial"/>
          <w:sz w:val="20"/>
        </w:rPr>
        <w:br w:type="page"/>
      </w:r>
    </w:p>
    <w:p w14:paraId="5A1A79CC" w14:textId="010C3C07" w:rsidR="009A5287" w:rsidRPr="00D04CB7" w:rsidRDefault="00D04CB7" w:rsidP="00B42F9C">
      <w:pPr>
        <w:pStyle w:val="SMHeading"/>
        <w:rPr>
          <w:rFonts w:ascii="Arial" w:hAnsi="Arial" w:cs="Arial"/>
          <w:b w:val="0"/>
          <w:sz w:val="20"/>
          <w:szCs w:val="20"/>
        </w:rPr>
      </w:pPr>
      <w:r>
        <w:rPr>
          <w:rFonts w:ascii="Arial" w:hAnsi="Arial" w:cs="Arial"/>
          <w:noProof/>
          <w:sz w:val="20"/>
          <w:szCs w:val="20"/>
        </w:rPr>
        <w:lastRenderedPageBreak/>
        <w:drawing>
          <wp:inline distT="0" distB="0" distL="0" distR="0" wp14:anchorId="4D6778FD" wp14:editId="4AD33B53">
            <wp:extent cx="5486400" cy="2065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r>
        <w:rPr>
          <w:rFonts w:ascii="Arial" w:hAnsi="Arial" w:cs="Arial"/>
          <w:sz w:val="20"/>
          <w:szCs w:val="20"/>
        </w:rPr>
        <w:t>Fig. S3</w:t>
      </w:r>
      <w:r w:rsidR="00015F74" w:rsidRPr="00DC623A">
        <w:rPr>
          <w:rFonts w:ascii="Arial" w:hAnsi="Arial" w:cs="Arial"/>
          <w:sz w:val="20"/>
          <w:szCs w:val="20"/>
        </w:rPr>
        <w:t>.</w:t>
      </w:r>
      <w:r w:rsidR="00B42F9C" w:rsidRPr="00DC623A">
        <w:rPr>
          <w:rFonts w:ascii="Arial" w:hAnsi="Arial" w:cs="Arial"/>
          <w:sz w:val="20"/>
          <w:szCs w:val="20"/>
        </w:rPr>
        <w:t xml:space="preserve"> </w:t>
      </w:r>
      <w:r w:rsidRPr="00D04CB7">
        <w:rPr>
          <w:rFonts w:ascii="Arial" w:hAnsi="Arial" w:cs="Arial"/>
          <w:bCs w:val="0"/>
          <w:sz w:val="20"/>
          <w:szCs w:val="20"/>
        </w:rPr>
        <w:t>Growth rate vs. dominant taxon abundance (zeros excluded)</w:t>
      </w:r>
      <w:r>
        <w:rPr>
          <w:rFonts w:ascii="Arial" w:hAnsi="Arial" w:cs="Arial"/>
          <w:b w:val="0"/>
          <w:sz w:val="20"/>
          <w:szCs w:val="20"/>
        </w:rPr>
        <w:t>. R</w:t>
      </w:r>
      <w:r>
        <w:rPr>
          <w:rFonts w:ascii="Arial" w:hAnsi="Arial" w:cs="Arial"/>
          <w:b w:val="0"/>
          <w:sz w:val="20"/>
          <w:szCs w:val="20"/>
          <w:vertAlign w:val="superscript"/>
        </w:rPr>
        <w:t>2</w:t>
      </w:r>
      <w:r>
        <w:rPr>
          <w:rFonts w:ascii="Arial" w:hAnsi="Arial" w:cs="Arial"/>
          <w:b w:val="0"/>
          <w:sz w:val="20"/>
          <w:szCs w:val="20"/>
        </w:rPr>
        <w:t xml:space="preserve"> of the correlations between average coral host growth rate and dominant taxon relative abundance in corals only where each taxon is present (zero counts excluded). Arrow direction indicates a positive or negative correlation, filled arrows refer to significant correlations, striped arrows indicate nominally significant correlations (did not pass multiple comparisons) and open arrows indicate insignificant correlations. Size of the arrow represents R</w:t>
      </w:r>
      <w:r>
        <w:rPr>
          <w:rFonts w:ascii="Arial" w:hAnsi="Arial" w:cs="Arial"/>
          <w:b w:val="0"/>
          <w:sz w:val="20"/>
          <w:szCs w:val="20"/>
          <w:vertAlign w:val="superscript"/>
        </w:rPr>
        <w:t>2</w:t>
      </w:r>
      <w:r>
        <w:rPr>
          <w:rFonts w:ascii="Arial" w:hAnsi="Arial" w:cs="Arial"/>
          <w:b w:val="0"/>
          <w:sz w:val="20"/>
          <w:szCs w:val="20"/>
        </w:rPr>
        <w:t xml:space="preserve"> value (See Supplementary Data Table 9b for details). </w:t>
      </w:r>
    </w:p>
    <w:p w14:paraId="44BF6B4A" w14:textId="6ED6D4F5" w:rsidR="00D04CB7" w:rsidRDefault="00D04CB7" w:rsidP="00477182">
      <w:pPr>
        <w:pStyle w:val="SMcaption"/>
        <w:rPr>
          <w:rFonts w:ascii="Arial" w:hAnsi="Arial" w:cs="Arial"/>
          <w:sz w:val="20"/>
        </w:rPr>
      </w:pPr>
      <w:r>
        <w:rPr>
          <w:rFonts w:ascii="Arial" w:hAnsi="Arial" w:cs="Arial"/>
          <w:sz w:val="20"/>
        </w:rPr>
        <w:br w:type="page"/>
      </w:r>
    </w:p>
    <w:p w14:paraId="42B49F09" w14:textId="0D63756E" w:rsidR="001C0975" w:rsidRPr="00DC623A" w:rsidRDefault="00D04CB7" w:rsidP="00477182">
      <w:pPr>
        <w:pStyle w:val="SMcaption"/>
        <w:rPr>
          <w:rFonts w:ascii="Arial" w:hAnsi="Arial" w:cs="Arial"/>
          <w:sz w:val="20"/>
        </w:rPr>
      </w:pPr>
      <w:r>
        <w:rPr>
          <w:rFonts w:ascii="Arial" w:hAnsi="Arial" w:cs="Arial"/>
          <w:noProof/>
          <w:sz w:val="20"/>
        </w:rPr>
        <w:lastRenderedPageBreak/>
        <w:drawing>
          <wp:inline distT="0" distB="0" distL="0" distR="0" wp14:anchorId="3B9CC39E" wp14:editId="6C17A8D2">
            <wp:extent cx="5334000" cy="642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4000" cy="6426200"/>
                    </a:xfrm>
                    <a:prstGeom prst="rect">
                      <a:avLst/>
                    </a:prstGeom>
                  </pic:spPr>
                </pic:pic>
              </a:graphicData>
            </a:graphic>
          </wp:inline>
        </w:drawing>
      </w:r>
    </w:p>
    <w:p w14:paraId="20ED2795" w14:textId="650585CB" w:rsidR="009A5287" w:rsidRPr="00D04CB7" w:rsidRDefault="00D04CB7" w:rsidP="00B42F9C">
      <w:pPr>
        <w:pStyle w:val="SMHeading"/>
        <w:rPr>
          <w:rFonts w:ascii="Arial" w:hAnsi="Arial" w:cs="Arial"/>
          <w:b w:val="0"/>
          <w:sz w:val="20"/>
          <w:szCs w:val="20"/>
        </w:rPr>
      </w:pPr>
      <w:r>
        <w:rPr>
          <w:rFonts w:ascii="Arial" w:hAnsi="Arial" w:cs="Arial"/>
          <w:sz w:val="20"/>
          <w:szCs w:val="20"/>
        </w:rPr>
        <w:t>Fig. S4</w:t>
      </w:r>
      <w:r w:rsidR="00015F74" w:rsidRPr="00DC623A">
        <w:rPr>
          <w:rFonts w:ascii="Arial" w:hAnsi="Arial" w:cs="Arial"/>
          <w:sz w:val="20"/>
          <w:szCs w:val="20"/>
        </w:rPr>
        <w:t>.</w:t>
      </w:r>
      <w:r w:rsidR="00B42F9C" w:rsidRPr="00DC623A">
        <w:rPr>
          <w:rFonts w:ascii="Arial" w:hAnsi="Arial" w:cs="Arial"/>
          <w:sz w:val="20"/>
          <w:szCs w:val="20"/>
        </w:rPr>
        <w:t xml:space="preserve"> </w:t>
      </w:r>
      <w:r>
        <w:rPr>
          <w:rFonts w:ascii="Arial" w:hAnsi="Arial" w:cs="Arial"/>
          <w:b w:val="0"/>
          <w:sz w:val="20"/>
          <w:szCs w:val="20"/>
        </w:rPr>
        <w:t xml:space="preserve">Model selection for phylogenetic causality analysis. These models represent the fourteen plausible causality pathways that were used in the phylogenetic causality analysis. EN = </w:t>
      </w:r>
      <w:r>
        <w:rPr>
          <w:rFonts w:ascii="Arial" w:hAnsi="Arial" w:cs="Arial"/>
          <w:b w:val="0"/>
          <w:i/>
          <w:iCs/>
          <w:sz w:val="20"/>
          <w:szCs w:val="20"/>
        </w:rPr>
        <w:t xml:space="preserve">Endozoicomonas </w:t>
      </w:r>
      <w:r>
        <w:rPr>
          <w:rFonts w:ascii="Arial" w:hAnsi="Arial" w:cs="Arial"/>
          <w:b w:val="0"/>
          <w:sz w:val="20"/>
          <w:szCs w:val="20"/>
        </w:rPr>
        <w:t xml:space="preserve">relative abundance, DS = coral disease susceptibility, and GR = coral growth rate. </w:t>
      </w:r>
    </w:p>
    <w:p w14:paraId="10C22F57" w14:textId="0B3A29A2" w:rsidR="007843C9" w:rsidRPr="00DC623A" w:rsidRDefault="007843C9" w:rsidP="00D04CB7">
      <w:pPr>
        <w:pStyle w:val="NormalWeb"/>
        <w:shd w:val="clear" w:color="auto" w:fill="FFFFFF"/>
        <w:textAlignment w:val="baseline"/>
        <w:rPr>
          <w:rFonts w:ascii="Arial" w:hAnsi="Arial" w:cs="Arial"/>
          <w:sz w:val="20"/>
          <w:szCs w:val="20"/>
        </w:rPr>
      </w:pPr>
    </w:p>
    <w:sectPr w:rsidR="007843C9" w:rsidRPr="00DC623A"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D885" w14:textId="77777777" w:rsidR="0007299E" w:rsidRDefault="0007299E">
      <w:r>
        <w:separator/>
      </w:r>
    </w:p>
  </w:endnote>
  <w:endnote w:type="continuationSeparator" w:id="0">
    <w:p w14:paraId="1503BD36" w14:textId="77777777" w:rsidR="0007299E" w:rsidRDefault="0007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BC330" w14:textId="77777777" w:rsidR="0007299E" w:rsidRDefault="0007299E">
      <w:r>
        <w:separator/>
      </w:r>
    </w:p>
  </w:footnote>
  <w:footnote w:type="continuationSeparator" w:id="0">
    <w:p w14:paraId="7CEBA962" w14:textId="77777777" w:rsidR="0007299E" w:rsidRDefault="00072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807812">
    <w:abstractNumId w:val="9"/>
  </w:num>
  <w:num w:numId="2" w16cid:durableId="673384421">
    <w:abstractNumId w:val="7"/>
  </w:num>
  <w:num w:numId="3" w16cid:durableId="402678987">
    <w:abstractNumId w:val="6"/>
  </w:num>
  <w:num w:numId="4" w16cid:durableId="122039513">
    <w:abstractNumId w:val="5"/>
  </w:num>
  <w:num w:numId="5" w16cid:durableId="2041734200">
    <w:abstractNumId w:val="4"/>
  </w:num>
  <w:num w:numId="6" w16cid:durableId="588002112">
    <w:abstractNumId w:val="8"/>
  </w:num>
  <w:num w:numId="7" w16cid:durableId="1991444190">
    <w:abstractNumId w:val="3"/>
  </w:num>
  <w:num w:numId="8" w16cid:durableId="1763456576">
    <w:abstractNumId w:val="2"/>
  </w:num>
  <w:num w:numId="9" w16cid:durableId="1867324990">
    <w:abstractNumId w:val="1"/>
  </w:num>
  <w:num w:numId="10" w16cid:durableId="386533756">
    <w:abstractNumId w:val="0"/>
  </w:num>
  <w:num w:numId="11" w16cid:durableId="2075813307">
    <w:abstractNumId w:val="10"/>
  </w:num>
  <w:num w:numId="12" w16cid:durableId="1171138208">
    <w:abstractNumId w:val="12"/>
  </w:num>
  <w:num w:numId="13" w16cid:durableId="1717314099">
    <w:abstractNumId w:val="13"/>
  </w:num>
  <w:num w:numId="14" w16cid:durableId="640774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7299E"/>
    <w:rsid w:val="00083B44"/>
    <w:rsid w:val="000850DC"/>
    <w:rsid w:val="000A41E4"/>
    <w:rsid w:val="000C2771"/>
    <w:rsid w:val="000C5F36"/>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62D72"/>
    <w:rsid w:val="00294FBB"/>
    <w:rsid w:val="002C030F"/>
    <w:rsid w:val="002C667A"/>
    <w:rsid w:val="00325D90"/>
    <w:rsid w:val="00331D75"/>
    <w:rsid w:val="00332BFB"/>
    <w:rsid w:val="00355362"/>
    <w:rsid w:val="00363E44"/>
    <w:rsid w:val="00387114"/>
    <w:rsid w:val="00395E86"/>
    <w:rsid w:val="00397983"/>
    <w:rsid w:val="003A2FD8"/>
    <w:rsid w:val="003B40E6"/>
    <w:rsid w:val="003F6E14"/>
    <w:rsid w:val="00405336"/>
    <w:rsid w:val="004571D5"/>
    <w:rsid w:val="00461D81"/>
    <w:rsid w:val="0046356B"/>
    <w:rsid w:val="00477182"/>
    <w:rsid w:val="004779CB"/>
    <w:rsid w:val="004A159F"/>
    <w:rsid w:val="004B2F21"/>
    <w:rsid w:val="004E42D8"/>
    <w:rsid w:val="004E7BA2"/>
    <w:rsid w:val="004F7EDF"/>
    <w:rsid w:val="005001AC"/>
    <w:rsid w:val="00527D71"/>
    <w:rsid w:val="005607DD"/>
    <w:rsid w:val="005609E9"/>
    <w:rsid w:val="005A558C"/>
    <w:rsid w:val="005C52D5"/>
    <w:rsid w:val="005D088E"/>
    <w:rsid w:val="005E28F8"/>
    <w:rsid w:val="005E6513"/>
    <w:rsid w:val="006069C6"/>
    <w:rsid w:val="00611A19"/>
    <w:rsid w:val="006140DF"/>
    <w:rsid w:val="00651114"/>
    <w:rsid w:val="0065772A"/>
    <w:rsid w:val="00670299"/>
    <w:rsid w:val="00690668"/>
    <w:rsid w:val="00691985"/>
    <w:rsid w:val="006A1B64"/>
    <w:rsid w:val="006D169A"/>
    <w:rsid w:val="006E3E68"/>
    <w:rsid w:val="007108F5"/>
    <w:rsid w:val="00713E5B"/>
    <w:rsid w:val="007402FC"/>
    <w:rsid w:val="007411A1"/>
    <w:rsid w:val="00763345"/>
    <w:rsid w:val="007843C9"/>
    <w:rsid w:val="00797F24"/>
    <w:rsid w:val="007B5946"/>
    <w:rsid w:val="007F5297"/>
    <w:rsid w:val="00807D35"/>
    <w:rsid w:val="00820484"/>
    <w:rsid w:val="00824DF3"/>
    <w:rsid w:val="00840BB2"/>
    <w:rsid w:val="00885C9B"/>
    <w:rsid w:val="008C069B"/>
    <w:rsid w:val="008D5D2A"/>
    <w:rsid w:val="00914B63"/>
    <w:rsid w:val="009258B8"/>
    <w:rsid w:val="009354F3"/>
    <w:rsid w:val="00943C3C"/>
    <w:rsid w:val="009447DC"/>
    <w:rsid w:val="009519CF"/>
    <w:rsid w:val="00961BA5"/>
    <w:rsid w:val="009743A9"/>
    <w:rsid w:val="009A5287"/>
    <w:rsid w:val="009A670E"/>
    <w:rsid w:val="009B2AC5"/>
    <w:rsid w:val="009B7984"/>
    <w:rsid w:val="009D6B1C"/>
    <w:rsid w:val="009F4BED"/>
    <w:rsid w:val="009F7D93"/>
    <w:rsid w:val="00A3403B"/>
    <w:rsid w:val="00A51A12"/>
    <w:rsid w:val="00A627D4"/>
    <w:rsid w:val="00A72B81"/>
    <w:rsid w:val="00A74DA2"/>
    <w:rsid w:val="00AC15B4"/>
    <w:rsid w:val="00AD499C"/>
    <w:rsid w:val="00AE5A70"/>
    <w:rsid w:val="00B003EE"/>
    <w:rsid w:val="00B038F4"/>
    <w:rsid w:val="00B15008"/>
    <w:rsid w:val="00B16F99"/>
    <w:rsid w:val="00B36869"/>
    <w:rsid w:val="00B42F9C"/>
    <w:rsid w:val="00B43B31"/>
    <w:rsid w:val="00B47CFA"/>
    <w:rsid w:val="00B57F00"/>
    <w:rsid w:val="00B73A1C"/>
    <w:rsid w:val="00B77B2A"/>
    <w:rsid w:val="00B82C22"/>
    <w:rsid w:val="00B8723B"/>
    <w:rsid w:val="00B93DBA"/>
    <w:rsid w:val="00B9440A"/>
    <w:rsid w:val="00BB2D2A"/>
    <w:rsid w:val="00BD58CF"/>
    <w:rsid w:val="00C046DC"/>
    <w:rsid w:val="00C04CC1"/>
    <w:rsid w:val="00C364C5"/>
    <w:rsid w:val="00C47714"/>
    <w:rsid w:val="00C50C6D"/>
    <w:rsid w:val="00C600D9"/>
    <w:rsid w:val="00CC1384"/>
    <w:rsid w:val="00CD3720"/>
    <w:rsid w:val="00CF16C9"/>
    <w:rsid w:val="00CF1848"/>
    <w:rsid w:val="00CF5C2F"/>
    <w:rsid w:val="00D04BCF"/>
    <w:rsid w:val="00D04CB7"/>
    <w:rsid w:val="00D143D9"/>
    <w:rsid w:val="00D269AB"/>
    <w:rsid w:val="00D346C2"/>
    <w:rsid w:val="00DA22DA"/>
    <w:rsid w:val="00DA59EA"/>
    <w:rsid w:val="00DB0B1D"/>
    <w:rsid w:val="00DC623A"/>
    <w:rsid w:val="00DD421A"/>
    <w:rsid w:val="00E257C8"/>
    <w:rsid w:val="00E37047"/>
    <w:rsid w:val="00E60D0F"/>
    <w:rsid w:val="00E9773B"/>
    <w:rsid w:val="00EA596B"/>
    <w:rsid w:val="00EC13A3"/>
    <w:rsid w:val="00EC7C85"/>
    <w:rsid w:val="00F04CD9"/>
    <w:rsid w:val="00F125EE"/>
    <w:rsid w:val="00F12E98"/>
    <w:rsid w:val="00F22029"/>
    <w:rsid w:val="00F25DEF"/>
    <w:rsid w:val="00F514EC"/>
    <w:rsid w:val="00F60CD4"/>
    <w:rsid w:val="00F630EA"/>
    <w:rsid w:val="00F7007E"/>
    <w:rsid w:val="00F70200"/>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xxxx.xx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467</Words>
  <Characters>2821</Characters>
  <Application>Microsoft Office Word</Application>
  <DocSecurity>0</DocSecurity>
  <Lines>36</Lines>
  <Paragraphs>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3285</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Epstein, Hannah Elizabeth</cp:lastModifiedBy>
  <cp:revision>2</cp:revision>
  <cp:lastPrinted>2023-05-03T23:34:00Z</cp:lastPrinted>
  <dcterms:created xsi:type="dcterms:W3CDTF">2023-05-03T23:51:00Z</dcterms:created>
  <dcterms:modified xsi:type="dcterms:W3CDTF">2023-05-03T23:51:00Z</dcterms:modified>
</cp:coreProperties>
</file>