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Dana Carr: Can you walk me through how a typical project starts?</w:t>
      </w:r>
    </w:p>
    <w:p>
      <w:r>
        <w:t xml:space="preserve">Pat Example: I usually start from a part I already know.</w:t>
      </w:r>
    </w:p>
    <w:p>
      <w:r>
        <w:t xml:space="preserve">[00:00:20] Pat Example: Only after that do I open the simulator.</w:t>
      </w:r>
    </w:p>
    <w:p>
      <w:r>
        <w:t xml:space="preserve">Dana Carr (0:25): Which simulator?</w:t>
      </w:r>
    </w:p>
    <w:p>
      <w:r>
        <w:t xml:space="preserve">Pat Example: Whatever the vendor ships, honestly.</w:t>
      </w:r>
    </w:p>
  </w:body>
</w:document>
</file>