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qpgbomm1u6a" w:id="0"/>
      <w:bookmarkEnd w:id="0"/>
      <w:r w:rsidDel="00000000" w:rsidR="00000000" w:rsidRPr="00000000">
        <w:rPr>
          <w:rtl w:val="0"/>
        </w:rPr>
        <w:t xml:space="preserve">Fonds de dotation Gérard Perrier</w:t>
      </w:r>
    </w:p>
    <w:p w:rsidR="00000000" w:rsidDel="00000000" w:rsidP="00000000" w:rsidRDefault="00000000" w:rsidRPr="00000000" w14:paraId="00000002">
      <w:pPr>
        <w:pStyle w:val="Title"/>
        <w:rPr/>
      </w:pPr>
      <w:bookmarkStart w:colFirst="0" w:colLast="0" w:name="_g7bm7df9u8yo" w:id="1"/>
      <w:bookmarkEnd w:id="1"/>
      <w:r w:rsidDel="00000000" w:rsidR="00000000" w:rsidRPr="00000000">
        <w:rPr>
          <w:rtl w:val="0"/>
        </w:rPr>
        <w:t xml:space="preserve">Metadonnées Nemateria</w:t>
      </w:r>
    </w:p>
    <w:p w:rsidR="00000000" w:rsidDel="00000000" w:rsidP="00000000" w:rsidRDefault="00000000" w:rsidRPr="00000000" w14:paraId="00000003">
      <w:pPr>
        <w:rPr/>
      </w:pPr>
      <w:r w:rsidDel="00000000" w:rsidR="00000000" w:rsidRPr="00000000">
        <w:rPr>
          <w:rtl w:val="0"/>
        </w:rPr>
        <w:t xml:space="preserve">Le document donne à voir les métadonnées XMP (RDF) incluses dans les médias et traitées pour les outils du Fonds. Elles peuvent évoluer avec un minimum d’adaptations.</w:t>
      </w:r>
    </w:p>
    <w:p w:rsidR="00000000" w:rsidDel="00000000" w:rsidP="00000000" w:rsidRDefault="00000000" w:rsidRPr="00000000" w14:paraId="00000004">
      <w:pPr>
        <w:rPr/>
      </w:pPr>
      <w:r w:rsidDel="00000000" w:rsidR="00000000" w:rsidRPr="00000000">
        <w:rPr>
          <w:rtl w:val="0"/>
        </w:rPr>
        <w:t xml:space="preserve">L’essentiel de ces métadonnées a été élaboré par Gérard himself. On les retrouve dans les notices sur le site initial. Des adaptations marginales ont été faites pour les enrichir ou éviter les redondances avec la norme Dublin Core.</w:t>
      </w:r>
    </w:p>
    <w:p w:rsidR="00000000" w:rsidDel="00000000" w:rsidP="00000000" w:rsidRDefault="00000000" w:rsidRPr="00000000" w14:paraId="00000005">
      <w:pPr>
        <w:pStyle w:val="Heading2"/>
        <w:rPr/>
      </w:pPr>
      <w:bookmarkStart w:colFirst="0" w:colLast="0" w:name="_jx8knuta09cq" w:id="2"/>
      <w:bookmarkEnd w:id="2"/>
      <w:r w:rsidDel="00000000" w:rsidR="00000000" w:rsidRPr="00000000">
        <w:rPr>
          <w:rtl w:val="0"/>
        </w:rPr>
        <w:t xml:space="preserve">Pour mémoire</w:t>
      </w:r>
    </w:p>
    <w:p w:rsidR="00000000" w:rsidDel="00000000" w:rsidP="00000000" w:rsidRDefault="00000000" w:rsidRPr="00000000" w14:paraId="00000006">
      <w:pPr>
        <w:pStyle w:val="Heading3"/>
        <w:rPr/>
      </w:pPr>
      <w:bookmarkStart w:colFirst="0" w:colLast="0" w:name="_peno3w2zwr0x" w:id="3"/>
      <w:bookmarkEnd w:id="3"/>
      <w:r w:rsidDel="00000000" w:rsidR="00000000" w:rsidRPr="00000000">
        <w:rPr>
          <w:rtl w:val="0"/>
        </w:rPr>
        <w:t xml:space="preserve">Dublin Core</w:t>
      </w:r>
    </w:p>
    <w:p w:rsidR="00000000" w:rsidDel="00000000" w:rsidP="00000000" w:rsidRDefault="00000000" w:rsidRPr="00000000" w14:paraId="00000007">
      <w:pPr>
        <w:rPr/>
      </w:pPr>
      <w:r w:rsidDel="00000000" w:rsidR="00000000" w:rsidRPr="00000000">
        <w:rPr>
          <w:rtl w:val="0"/>
        </w:rPr>
        <w:t xml:space="preserve">C’est la norme descriptive des métadonnées partageables dans les systèmes d’information internationaux.</w:t>
      </w:r>
    </w:p>
    <w:p w:rsidR="00000000" w:rsidDel="00000000" w:rsidP="00000000" w:rsidRDefault="00000000" w:rsidRPr="00000000" w14:paraId="00000008">
      <w:pPr>
        <w:pStyle w:val="Heading3"/>
        <w:rPr/>
      </w:pPr>
      <w:bookmarkStart w:colFirst="0" w:colLast="0" w:name="_xdc8vgmjdx91" w:id="4"/>
      <w:bookmarkEnd w:id="4"/>
      <w:r w:rsidDel="00000000" w:rsidR="00000000" w:rsidRPr="00000000">
        <w:rPr>
          <w:rtl w:val="0"/>
        </w:rPr>
        <w:t xml:space="preserve">OAI-PMH</w:t>
      </w:r>
    </w:p>
    <w:p w:rsidR="00000000" w:rsidDel="00000000" w:rsidP="00000000" w:rsidRDefault="00000000" w:rsidRPr="00000000" w14:paraId="00000009">
      <w:pPr>
        <w:rPr/>
      </w:pPr>
      <w:r w:rsidDel="00000000" w:rsidR="00000000" w:rsidRPr="00000000">
        <w:rPr>
          <w:rtl w:val="0"/>
        </w:rPr>
        <w:t xml:space="preserve">La normalisation des outils techniques pour moissonner les métadonnées Dublin Core.</w:t>
      </w:r>
    </w:p>
    <w:p w:rsidR="00000000" w:rsidDel="00000000" w:rsidP="00000000" w:rsidRDefault="00000000" w:rsidRPr="00000000" w14:paraId="0000000A">
      <w:pPr>
        <w:pStyle w:val="Heading2"/>
        <w:rPr/>
      </w:pPr>
      <w:bookmarkStart w:colFirst="0" w:colLast="0" w:name="_kipsyicmeqf5" w:id="5"/>
      <w:bookmarkEnd w:id="5"/>
      <w:r w:rsidDel="00000000" w:rsidR="00000000" w:rsidRPr="00000000">
        <w:rPr>
          <w:rtl w:val="0"/>
        </w:rPr>
        <w:t xml:space="preserve">Renseigner et moissonner</w:t>
      </w:r>
    </w:p>
    <w:p w:rsidR="00000000" w:rsidDel="00000000" w:rsidP="00000000" w:rsidRDefault="00000000" w:rsidRPr="00000000" w14:paraId="0000000B">
      <w:pPr>
        <w:rPr/>
      </w:pPr>
      <w:r w:rsidDel="00000000" w:rsidR="00000000" w:rsidRPr="00000000">
        <w:rPr>
          <w:rtl w:val="0"/>
        </w:rPr>
        <w:t xml:space="preserve">Les métadonnées sont renseignées directement dans les médias puis moissonnées par les infrastructures techniques et les outils du projet Nemateria adaptés aux besoins du Fonds.</w:t>
      </w:r>
    </w:p>
    <w:p w:rsidR="00000000" w:rsidDel="00000000" w:rsidP="00000000" w:rsidRDefault="00000000" w:rsidRPr="00000000" w14:paraId="0000000C">
      <w:pPr>
        <w:pStyle w:val="Heading3"/>
        <w:rPr/>
      </w:pPr>
      <w:bookmarkStart w:colFirst="0" w:colLast="0" w:name="_z82ir5li1ojy" w:id="6"/>
      <w:bookmarkEnd w:id="6"/>
      <w:r w:rsidDel="00000000" w:rsidR="00000000" w:rsidRPr="00000000">
        <w:rPr>
          <w:rtl w:val="0"/>
        </w:rPr>
        <w:t xml:space="preserve">Organisation des infrastructures</w:t>
      </w:r>
    </w:p>
    <w:p w:rsidR="00000000" w:rsidDel="00000000" w:rsidP="00000000" w:rsidRDefault="00000000" w:rsidRPr="00000000" w14:paraId="0000000D">
      <w:pPr>
        <w:rPr/>
      </w:pPr>
      <w:r w:rsidDel="00000000" w:rsidR="00000000" w:rsidRPr="00000000">
        <w:rPr>
          <w:rtl w:val="0"/>
        </w:rPr>
        <w:t xml:space="preserve">L’arrière plan des outils de gestion comprend :</w:t>
      </w:r>
    </w:p>
    <w:p w:rsidR="00000000" w:rsidDel="00000000" w:rsidP="00000000" w:rsidRDefault="00000000" w:rsidRPr="00000000" w14:paraId="0000000E">
      <w:pPr>
        <w:numPr>
          <w:ilvl w:val="0"/>
          <w:numId w:val="8"/>
        </w:numPr>
        <w:spacing w:after="0" w:afterAutospacing="0"/>
        <w:ind w:left="720" w:hanging="360"/>
        <w:rPr>
          <w:u w:val="none"/>
        </w:rPr>
      </w:pPr>
      <w:r w:rsidDel="00000000" w:rsidR="00000000" w:rsidRPr="00000000">
        <w:rPr>
          <w:rtl w:val="0"/>
        </w:rPr>
        <w:t xml:space="preserve">un lieu de stockage pour les médias organisés en Sets. Les médias doivent être télévisés sur cet espace pour que les données soient </w:t>
      </w:r>
      <w:r w:rsidDel="00000000" w:rsidR="00000000" w:rsidRPr="00000000">
        <w:rPr>
          <w:rtl w:val="0"/>
        </w:rPr>
        <w:t xml:space="preserve">moissonnables</w:t>
      </w:r>
      <w:r w:rsidDel="00000000" w:rsidR="00000000" w:rsidRPr="00000000">
        <w:rPr>
          <w:rtl w:val="0"/>
        </w:rPr>
        <w:t xml:space="preserve"> et qu’ils soient accessibles sur le Web. Cet espace n’est pas prévu, initialement, pour stocker les masters des médias ;</w:t>
      </w:r>
    </w:p>
    <w:p w:rsidR="00000000" w:rsidDel="00000000" w:rsidP="00000000" w:rsidRDefault="00000000" w:rsidRPr="00000000" w14:paraId="0000000F">
      <w:pPr>
        <w:numPr>
          <w:ilvl w:val="0"/>
          <w:numId w:val="8"/>
        </w:numPr>
        <w:spacing w:after="0" w:afterAutospacing="0"/>
        <w:ind w:left="720" w:hanging="360"/>
        <w:rPr>
          <w:u w:val="none"/>
        </w:rPr>
      </w:pPr>
      <w:r w:rsidDel="00000000" w:rsidR="00000000" w:rsidRPr="00000000">
        <w:rPr>
          <w:rtl w:val="0"/>
        </w:rPr>
        <w:t xml:space="preserve">un serveur pour extraire les données des médias ;</w:t>
      </w:r>
    </w:p>
    <w:p w:rsidR="00000000" w:rsidDel="00000000" w:rsidP="00000000" w:rsidRDefault="00000000" w:rsidRPr="00000000" w14:paraId="00000010">
      <w:pPr>
        <w:numPr>
          <w:ilvl w:val="0"/>
          <w:numId w:val="8"/>
        </w:numPr>
        <w:spacing w:after="0" w:afterAutospacing="0"/>
        <w:ind w:left="720" w:hanging="360"/>
        <w:rPr>
          <w:u w:val="none"/>
        </w:rPr>
      </w:pPr>
      <w:r w:rsidDel="00000000" w:rsidR="00000000" w:rsidRPr="00000000">
        <w:rPr>
          <w:rtl w:val="0"/>
        </w:rPr>
        <w:t xml:space="preserve">un logiciel d’administration pour extraire et valider les données avant de les stocker dans une base de données ;</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un site Internet pour valoriser les collections.</w:t>
      </w:r>
    </w:p>
    <w:p w:rsidR="00000000" w:rsidDel="00000000" w:rsidP="00000000" w:rsidRDefault="00000000" w:rsidRPr="00000000" w14:paraId="00000012">
      <w:pPr>
        <w:pStyle w:val="Heading3"/>
        <w:rPr/>
      </w:pPr>
      <w:bookmarkStart w:colFirst="0" w:colLast="0" w:name="_ejrhir2f6upv" w:id="7"/>
      <w:bookmarkEnd w:id="7"/>
      <w:r w:rsidDel="00000000" w:rsidR="00000000" w:rsidRPr="00000000">
        <w:rPr>
          <w:rtl w:val="0"/>
        </w:rPr>
        <w:t xml:space="preserve">Renseigner les métadonnées</w:t>
      </w:r>
    </w:p>
    <w:p w:rsidR="00000000" w:rsidDel="00000000" w:rsidP="00000000" w:rsidRDefault="00000000" w:rsidRPr="00000000" w14:paraId="00000013">
      <w:pPr>
        <w:rPr/>
      </w:pPr>
      <w:r w:rsidDel="00000000" w:rsidR="00000000" w:rsidRPr="00000000">
        <w:rPr>
          <w:rtl w:val="0"/>
        </w:rPr>
        <w:t xml:space="preserve">Le logiciel Bridge a été identifié pour l’inscription des métadonnées. Un plug-in et des </w:t>
      </w:r>
      <w:r w:rsidDel="00000000" w:rsidR="00000000" w:rsidRPr="00000000">
        <w:rPr>
          <w:rtl w:val="0"/>
        </w:rPr>
        <w:t xml:space="preserve">paramètrages</w:t>
      </w:r>
      <w:r w:rsidDel="00000000" w:rsidR="00000000" w:rsidRPr="00000000">
        <w:rPr>
          <w:rtl w:val="0"/>
        </w:rPr>
        <w:t xml:space="preserve"> doivent lui être ajoutés pour permettre de traiter les métadonnées du projet.</w:t>
      </w:r>
    </w:p>
    <w:p w:rsidR="00000000" w:rsidDel="00000000" w:rsidP="00000000" w:rsidRDefault="00000000" w:rsidRPr="00000000" w14:paraId="00000014">
      <w:pPr>
        <w:pStyle w:val="Heading4"/>
        <w:rPr/>
      </w:pPr>
      <w:bookmarkStart w:colFirst="0" w:colLast="0" w:name="_1oyan4pjri95" w:id="8"/>
      <w:bookmarkEnd w:id="8"/>
      <w:r w:rsidDel="00000000" w:rsidR="00000000" w:rsidRPr="00000000">
        <w:rPr>
          <w:rtl w:val="0"/>
        </w:rPr>
        <w:t xml:space="preserve">Installer le plugin</w:t>
      </w:r>
    </w:p>
    <w:p w:rsidR="00000000" w:rsidDel="00000000" w:rsidP="00000000" w:rsidRDefault="00000000" w:rsidRPr="00000000" w14:paraId="00000015">
      <w:pPr>
        <w:rPr/>
      </w:pPr>
      <w:r w:rsidDel="00000000" w:rsidR="00000000" w:rsidRPr="00000000">
        <w:rPr>
          <w:rtl w:val="0"/>
        </w:rPr>
        <w:t xml:space="preserve">Le plugin peut être téléchargé ici : </w:t>
      </w:r>
      <w:hyperlink r:id="rId6">
        <w:r w:rsidDel="00000000" w:rsidR="00000000" w:rsidRPr="00000000">
          <w:rPr>
            <w:color w:val="1155cc"/>
            <w:u w:val="single"/>
            <w:rtl w:val="0"/>
          </w:rPr>
          <w:t xml:space="preserve">https://github.com/exlineo/NemateriaXMP</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Il faut cliquer sur le bouton vert ‘Code’ et choisir Download Zip’. L’endroit où placer les fichiers du plugin est indiqué dans le document README.md.</w:t>
      </w:r>
    </w:p>
    <w:p w:rsidR="00000000" w:rsidDel="00000000" w:rsidP="00000000" w:rsidRDefault="00000000" w:rsidRPr="00000000" w14:paraId="00000017">
      <w:pPr>
        <w:pStyle w:val="Heading4"/>
        <w:rPr/>
      </w:pPr>
      <w:bookmarkStart w:colFirst="0" w:colLast="0" w:name="_k3ps0vah3ee8" w:id="9"/>
      <w:bookmarkEnd w:id="9"/>
      <w:r w:rsidDel="00000000" w:rsidR="00000000" w:rsidRPr="00000000">
        <w:rPr>
          <w:rtl w:val="0"/>
        </w:rPr>
        <w:t xml:space="preserve">Paramétrer Adobe Bridge</w:t>
      </w:r>
    </w:p>
    <w:p w:rsidR="00000000" w:rsidDel="00000000" w:rsidP="00000000" w:rsidRDefault="00000000" w:rsidRPr="00000000" w14:paraId="00000018">
      <w:pPr>
        <w:rPr/>
      </w:pPr>
      <w:r w:rsidDel="00000000" w:rsidR="00000000" w:rsidRPr="00000000">
        <w:rPr>
          <w:rtl w:val="0"/>
        </w:rPr>
        <w:t xml:space="preserve">Vous devez avoir une version récente de Bridge. Il peut être téléchargé ici : </w:t>
      </w:r>
      <w:hyperlink r:id="rId7">
        <w:r w:rsidDel="00000000" w:rsidR="00000000" w:rsidRPr="00000000">
          <w:rPr>
            <w:color w:val="1155cc"/>
            <w:u w:val="single"/>
            <w:rtl w:val="0"/>
          </w:rPr>
          <w:t xml:space="preserve">https://www.adobe.com/fr/products/bridge.html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Dans le logiciel, faites CTRL+K pour ouvrir les options. L’onglet ‘Métadonnées’ permet de choisir les métadonnées à afficher avec les médias.</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552450</wp:posOffset>
            </wp:positionV>
            <wp:extent cx="7546088" cy="4396772"/>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46088" cy="4396772"/>
                    </a:xfrm>
                    <a:prstGeom prst="rect"/>
                    <a:ln/>
                  </pic:spPr>
                </pic:pic>
              </a:graphicData>
            </a:graphic>
          </wp:anchor>
        </w:drawing>
      </w:r>
    </w:p>
    <w:p w:rsidR="00000000" w:rsidDel="00000000" w:rsidP="00000000" w:rsidRDefault="00000000" w:rsidRPr="00000000" w14:paraId="0000001A">
      <w:pPr>
        <w:jc w:val="center"/>
        <w:rPr>
          <w:i w:val="1"/>
          <w:sz w:val="18"/>
          <w:szCs w:val="18"/>
        </w:rPr>
      </w:pPr>
      <w:r w:rsidDel="00000000" w:rsidR="00000000" w:rsidRPr="00000000">
        <w:rPr>
          <w:i w:val="1"/>
          <w:sz w:val="18"/>
          <w:szCs w:val="18"/>
          <w:rtl w:val="0"/>
        </w:rPr>
        <w:t xml:space="preserve">Fig. 1 : paramètres dans bridge pour afficher les métadonnées</w:t>
      </w:r>
    </w:p>
    <w:p w:rsidR="00000000" w:rsidDel="00000000" w:rsidP="00000000" w:rsidRDefault="00000000" w:rsidRPr="00000000" w14:paraId="0000001B">
      <w:pPr>
        <w:rPr/>
      </w:pPr>
      <w:r w:rsidDel="00000000" w:rsidR="00000000" w:rsidRPr="00000000">
        <w:rPr>
          <w:rtl w:val="0"/>
        </w:rPr>
        <w:t xml:space="preserve">Différentes vues permettent d’organiser l’interface pour favoriser les travaux. La vue ‘Métadonnées’ est centré sur le renseignement des métadonnées et leur consultation.</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733425</wp:posOffset>
            </wp:positionV>
            <wp:extent cx="7578609" cy="4373062"/>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78609" cy="4373062"/>
                    </a:xfrm>
                    <a:prstGeom prst="rect"/>
                    <a:ln/>
                  </pic:spPr>
                </pic:pic>
              </a:graphicData>
            </a:graphic>
          </wp:anchor>
        </w:drawing>
      </w:r>
    </w:p>
    <w:p w:rsidR="00000000" w:rsidDel="00000000" w:rsidP="00000000" w:rsidRDefault="00000000" w:rsidRPr="00000000" w14:paraId="0000001C">
      <w:pPr>
        <w:jc w:val="center"/>
        <w:rPr/>
      </w:pPr>
      <w:r w:rsidDel="00000000" w:rsidR="00000000" w:rsidRPr="00000000">
        <w:rPr>
          <w:i w:val="1"/>
          <w:sz w:val="18"/>
          <w:szCs w:val="18"/>
          <w:rtl w:val="0"/>
        </w:rPr>
        <w:t xml:space="preserve">Fig. 2 : vue sur l’interface de travail avec les métadonnées</w:t>
      </w:r>
      <w:r w:rsidDel="00000000" w:rsidR="00000000" w:rsidRPr="00000000">
        <w:rPr>
          <w:rtl w:val="0"/>
        </w:rPr>
      </w:r>
    </w:p>
    <w:p w:rsidR="00000000" w:rsidDel="00000000" w:rsidP="00000000" w:rsidRDefault="00000000" w:rsidRPr="00000000" w14:paraId="0000001D">
      <w:pPr>
        <w:pStyle w:val="Heading3"/>
        <w:rPr/>
      </w:pPr>
      <w:bookmarkStart w:colFirst="0" w:colLast="0" w:name="_lfd9p2u5509t" w:id="10"/>
      <w:bookmarkEnd w:id="10"/>
      <w:r w:rsidDel="00000000" w:rsidR="00000000" w:rsidRPr="00000000">
        <w:rPr>
          <w:rtl w:val="0"/>
        </w:rPr>
        <w:t xml:space="preserve">Téléverser les médias</w:t>
      </w:r>
    </w:p>
    <w:p w:rsidR="00000000" w:rsidDel="00000000" w:rsidP="00000000" w:rsidRDefault="00000000" w:rsidRPr="00000000" w14:paraId="0000001E">
      <w:pPr>
        <w:rPr/>
      </w:pPr>
      <w:r w:rsidDel="00000000" w:rsidR="00000000" w:rsidRPr="00000000">
        <w:rPr>
          <w:rtl w:val="0"/>
        </w:rPr>
        <w:t xml:space="preserve">Vous aurez besoin du logiciel WinSCP pour téléverser les médias sur le serveur de données. Les paramètres de connexion à ce serveur vous seront communiqués.</w:t>
      </w:r>
    </w:p>
    <w:p w:rsidR="00000000" w:rsidDel="00000000" w:rsidP="00000000" w:rsidRDefault="00000000" w:rsidRPr="00000000" w14:paraId="0000001F">
      <w:pPr>
        <w:rPr/>
      </w:pPr>
      <w:r w:rsidDel="00000000" w:rsidR="00000000" w:rsidRPr="00000000">
        <w:rPr>
          <w:rtl w:val="0"/>
        </w:rPr>
        <w:t xml:space="preserve">Voici le lien pour le télécharger : </w:t>
      </w:r>
      <w:hyperlink r:id="rId10">
        <w:r w:rsidDel="00000000" w:rsidR="00000000" w:rsidRPr="00000000">
          <w:rPr>
            <w:color w:val="1155cc"/>
            <w:u w:val="single"/>
            <w:rtl w:val="0"/>
          </w:rPr>
          <w:t xml:space="preserve">https://winscp.net/eng/download.php</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Lorsque vous serez connectés, il vous faudra créer un dossier au nom du Set que vous souhaitez téléverser ou choisir le dossier à mettre à jour et envoyer les médias que vous souhaitez.</w:t>
      </w:r>
    </w:p>
    <w:p w:rsidR="00000000" w:rsidDel="00000000" w:rsidP="00000000" w:rsidRDefault="00000000" w:rsidRPr="00000000" w14:paraId="00000021">
      <w:pPr>
        <w:pStyle w:val="Heading3"/>
        <w:rPr/>
      </w:pPr>
      <w:bookmarkStart w:colFirst="0" w:colLast="0" w:name="_563i83haupp4" w:id="11"/>
      <w:bookmarkEnd w:id="11"/>
      <w:r w:rsidDel="00000000" w:rsidR="00000000" w:rsidRPr="00000000">
        <w:rPr>
          <w:rtl w:val="0"/>
        </w:rPr>
        <w:t xml:space="preserve">Liste des métadonnées</w:t>
      </w:r>
    </w:p>
    <w:p w:rsidR="00000000" w:rsidDel="00000000" w:rsidP="00000000" w:rsidRDefault="00000000" w:rsidRPr="00000000" w14:paraId="00000022">
      <w:pPr>
        <w:rPr/>
      </w:pPr>
      <w:r w:rsidDel="00000000" w:rsidR="00000000" w:rsidRPr="00000000">
        <w:rPr>
          <w:rtl w:val="0"/>
        </w:rPr>
        <w:t xml:space="preserve">Les propriétés Dublin Core sont listées et expliquées ici : </w:t>
      </w:r>
      <w:hyperlink r:id="rId11">
        <w:r w:rsidDel="00000000" w:rsidR="00000000" w:rsidRPr="00000000">
          <w:rPr>
            <w:color w:val="1155cc"/>
            <w:u w:val="single"/>
            <w:rtl w:val="0"/>
          </w:rPr>
          <w:t xml:space="preserve">https://fr.wikipedia.org/wiki/Dublin_Core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Les données Nemateria sont décomposées en blocs d’usages. Seuls l’identifiant unique est obligatoire. C’est la seule donnée utilisée à coup sûr.</w:t>
      </w:r>
    </w:p>
    <w:p w:rsidR="00000000" w:rsidDel="00000000" w:rsidP="00000000" w:rsidRDefault="00000000" w:rsidRPr="00000000" w14:paraId="00000024">
      <w:pPr>
        <w:pStyle w:val="Heading4"/>
        <w:rPr/>
      </w:pPr>
      <w:bookmarkStart w:colFirst="0" w:colLast="0" w:name="_e7vbkrauf4ci" w:id="12"/>
      <w:bookmarkEnd w:id="12"/>
      <w:r w:rsidDel="00000000" w:rsidR="00000000" w:rsidRPr="00000000">
        <w:rPr>
          <w:rtl w:val="0"/>
        </w:rPr>
        <w:t xml:space="preserve">Informations générales sur le document</w:t>
      </w:r>
    </w:p>
    <w:p w:rsidR="00000000" w:rsidDel="00000000" w:rsidP="00000000" w:rsidRDefault="00000000" w:rsidRPr="00000000" w14:paraId="00000025">
      <w:pPr>
        <w:rPr/>
      </w:pPr>
      <w:r w:rsidDel="00000000" w:rsidR="00000000" w:rsidRPr="00000000">
        <w:rPr>
          <w:rtl w:val="0"/>
        </w:rPr>
        <w:t xml:space="preserve">id : identifiant unique permettant d’identifier le média d’une façon sûre. Cet identifiant répond à une nomenclature créée par Gérard</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original_reference : référence du master</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original_file : fichier d’origine</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original_creation_date : date de création du document original</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original_support_type : une description du type de support de l’original</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curator_file : Conservateur du document (peut être renseigné aussi dans contributor dans le Dublin Core)</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rights_holder : détenteur des droits</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numerisation_date : date de numérisation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access_conditions : conditions d’accès au document original ou éventuellement sa version numérique</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pStyle w:val="Heading4"/>
        <w:rPr/>
      </w:pPr>
      <w:bookmarkStart w:colFirst="0" w:colLast="0" w:name="_q59tskmg2vmm" w:id="13"/>
      <w:bookmarkEnd w:id="13"/>
      <w:r w:rsidDel="00000000" w:rsidR="00000000" w:rsidRPr="00000000">
        <w:rPr>
          <w:rtl w:val="0"/>
        </w:rPr>
        <w:t xml:space="preserve">Droits et participants</w:t>
      </w:r>
    </w:p>
    <w:p w:rsidR="00000000" w:rsidDel="00000000" w:rsidP="00000000" w:rsidRDefault="00000000" w:rsidRPr="00000000" w14:paraId="00000030">
      <w:pPr>
        <w:numPr>
          <w:ilvl w:val="0"/>
          <w:numId w:val="9"/>
        </w:numPr>
        <w:spacing w:after="0" w:afterAutospacing="0"/>
        <w:ind w:left="720" w:hanging="360"/>
        <w:rPr>
          <w:u w:val="none"/>
        </w:rPr>
      </w:pPr>
      <w:r w:rsidDel="00000000" w:rsidR="00000000" w:rsidRPr="00000000">
        <w:rPr>
          <w:rtl w:val="0"/>
        </w:rPr>
        <w:t xml:space="preserve">attendees : participants et leur rôle (ex. collecteurs…)</w:t>
      </w:r>
    </w:p>
    <w:p w:rsidR="00000000" w:rsidDel="00000000" w:rsidP="00000000" w:rsidRDefault="00000000" w:rsidRPr="00000000" w14:paraId="00000031">
      <w:pPr>
        <w:numPr>
          <w:ilvl w:val="0"/>
          <w:numId w:val="9"/>
        </w:numPr>
        <w:spacing w:after="0" w:afterAutospacing="0"/>
        <w:ind w:left="720" w:hanging="360"/>
        <w:rPr>
          <w:u w:val="none"/>
        </w:rPr>
      </w:pPr>
      <w:r w:rsidDel="00000000" w:rsidR="00000000" w:rsidRPr="00000000">
        <w:rPr>
          <w:rtl w:val="0"/>
        </w:rPr>
        <w:t xml:space="preserve">publisher_online : éditeur en ligne</w:t>
      </w:r>
    </w:p>
    <w:p w:rsidR="00000000" w:rsidDel="00000000" w:rsidP="00000000" w:rsidRDefault="00000000" w:rsidRPr="00000000" w14:paraId="00000032">
      <w:pPr>
        <w:numPr>
          <w:ilvl w:val="0"/>
          <w:numId w:val="9"/>
        </w:numPr>
        <w:spacing w:after="0" w:afterAutospacing="0"/>
        <w:ind w:left="720" w:hanging="360"/>
        <w:rPr>
          <w:u w:val="none"/>
        </w:rPr>
      </w:pPr>
      <w:r w:rsidDel="00000000" w:rsidR="00000000" w:rsidRPr="00000000">
        <w:rPr>
          <w:rtl w:val="0"/>
        </w:rPr>
        <w:t xml:space="preserve">publisher_source_oeuvre : éditeur de l’œuvre originale</w:t>
      </w:r>
    </w:p>
    <w:p w:rsidR="00000000" w:rsidDel="00000000" w:rsidP="00000000" w:rsidRDefault="00000000" w:rsidRPr="00000000" w14:paraId="00000033">
      <w:pPr>
        <w:numPr>
          <w:ilvl w:val="0"/>
          <w:numId w:val="9"/>
        </w:numPr>
        <w:spacing w:after="0" w:afterAutospacing="0"/>
        <w:ind w:left="720" w:hanging="360"/>
        <w:rPr>
          <w:u w:val="none"/>
        </w:rPr>
      </w:pPr>
      <w:r w:rsidDel="00000000" w:rsidR="00000000" w:rsidRPr="00000000">
        <w:rPr>
          <w:rtl w:val="0"/>
        </w:rPr>
        <w:t xml:space="preserve">productors : </w:t>
      </w:r>
    </w:p>
    <w:p w:rsidR="00000000" w:rsidDel="00000000" w:rsidP="00000000" w:rsidRDefault="00000000" w:rsidRPr="00000000" w14:paraId="00000034">
      <w:pPr>
        <w:numPr>
          <w:ilvl w:val="0"/>
          <w:numId w:val="9"/>
        </w:numPr>
        <w:spacing w:after="0" w:afterAutospacing="0"/>
        <w:ind w:left="720" w:hanging="360"/>
        <w:rPr>
          <w:u w:val="none"/>
        </w:rPr>
      </w:pPr>
      <w:r w:rsidDel="00000000" w:rsidR="00000000" w:rsidRPr="00000000">
        <w:rPr>
          <w:rtl w:val="0"/>
        </w:rPr>
        <w:t xml:space="preserve">copyright : droits et licence</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url_licence : lien url vers la description de la licence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e2p1zr7fx77f" w:id="14"/>
      <w:bookmarkEnd w:id="14"/>
      <w:r w:rsidDel="00000000" w:rsidR="00000000" w:rsidRPr="00000000">
        <w:rPr>
          <w:rtl w:val="0"/>
        </w:rPr>
        <w:t xml:space="preserve">Localisation du document</w:t>
      </w:r>
    </w:p>
    <w:p w:rsidR="00000000" w:rsidDel="00000000" w:rsidP="00000000" w:rsidRDefault="00000000" w:rsidRPr="00000000" w14:paraId="00000038">
      <w:pPr>
        <w:numPr>
          <w:ilvl w:val="0"/>
          <w:numId w:val="7"/>
        </w:numPr>
        <w:spacing w:after="0" w:afterAutospacing="0"/>
        <w:ind w:left="720" w:hanging="360"/>
        <w:rPr>
          <w:u w:val="none"/>
        </w:rPr>
      </w:pPr>
      <w:r w:rsidDel="00000000" w:rsidR="00000000" w:rsidRPr="00000000">
        <w:rPr>
          <w:rtl w:val="0"/>
        </w:rPr>
        <w:t xml:space="preserve">latitude</w:t>
      </w:r>
    </w:p>
    <w:p w:rsidR="00000000" w:rsidDel="00000000" w:rsidP="00000000" w:rsidRDefault="00000000" w:rsidRPr="00000000" w14:paraId="00000039">
      <w:pPr>
        <w:numPr>
          <w:ilvl w:val="0"/>
          <w:numId w:val="7"/>
        </w:numPr>
        <w:spacing w:after="0" w:afterAutospacing="0"/>
        <w:ind w:left="720" w:hanging="360"/>
        <w:rPr>
          <w:u w:val="none"/>
        </w:rPr>
      </w:pPr>
      <w:r w:rsidDel="00000000" w:rsidR="00000000" w:rsidRPr="00000000">
        <w:rPr>
          <w:rtl w:val="0"/>
        </w:rPr>
        <w:t xml:space="preserve">longitude</w:t>
      </w:r>
    </w:p>
    <w:p w:rsidR="00000000" w:rsidDel="00000000" w:rsidP="00000000" w:rsidRDefault="00000000" w:rsidRPr="00000000" w14:paraId="0000003A">
      <w:pPr>
        <w:numPr>
          <w:ilvl w:val="0"/>
          <w:numId w:val="7"/>
        </w:numPr>
        <w:spacing w:after="0" w:afterAutospacing="0"/>
        <w:ind w:left="720" w:hanging="360"/>
        <w:rPr>
          <w:u w:val="none"/>
        </w:rPr>
      </w:pPr>
      <w:r w:rsidDel="00000000" w:rsidR="00000000" w:rsidRPr="00000000">
        <w:rPr>
          <w:rtl w:val="0"/>
        </w:rPr>
        <w:t xml:space="preserve">where_subject : informations sur le lieu</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where_digit : lieu de la numérisation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or6xld8166la" w:id="15"/>
      <w:bookmarkEnd w:id="15"/>
      <w:r w:rsidDel="00000000" w:rsidR="00000000" w:rsidRPr="00000000">
        <w:rPr>
          <w:rtl w:val="0"/>
        </w:rPr>
        <w:t xml:space="preserve">Les informateurs</w:t>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informants : liste des informateurs dans le média (généralement dans les audios ou vidéos)</w:t>
      </w:r>
    </w:p>
    <w:p w:rsidR="00000000" w:rsidDel="00000000" w:rsidP="00000000" w:rsidRDefault="00000000" w:rsidRPr="00000000" w14:paraId="0000003F">
      <w:pPr>
        <w:numPr>
          <w:ilvl w:val="0"/>
          <w:numId w:val="6"/>
        </w:numPr>
        <w:spacing w:after="0" w:afterAutospacing="0"/>
        <w:ind w:left="720" w:hanging="360"/>
        <w:rPr>
          <w:u w:val="none"/>
        </w:rPr>
      </w:pPr>
      <w:r w:rsidDel="00000000" w:rsidR="00000000" w:rsidRPr="00000000">
        <w:rPr>
          <w:rtl w:val="0"/>
        </w:rPr>
        <w:t xml:space="preserve">informants_alias : nom simplifié des informateurs</w:t>
      </w:r>
    </w:p>
    <w:p w:rsidR="00000000" w:rsidDel="00000000" w:rsidP="00000000" w:rsidRDefault="00000000" w:rsidRPr="00000000" w14:paraId="00000040">
      <w:pPr>
        <w:numPr>
          <w:ilvl w:val="0"/>
          <w:numId w:val="6"/>
        </w:numPr>
        <w:spacing w:after="0" w:afterAutospacing="0"/>
        <w:ind w:left="720" w:hanging="360"/>
        <w:rPr>
          <w:u w:val="none"/>
        </w:rPr>
      </w:pPr>
      <w:r w:rsidDel="00000000" w:rsidR="00000000" w:rsidRPr="00000000">
        <w:rPr>
          <w:rtl w:val="0"/>
        </w:rPr>
        <w:t xml:space="preserve">informants_birthday : dates de naissance des informateurs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informants_skills : compétences des informateurs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3t0ynky7ji1c" w:id="16"/>
      <w:bookmarkEnd w:id="16"/>
      <w:r w:rsidDel="00000000" w:rsidR="00000000" w:rsidRPr="00000000">
        <w:rPr>
          <w:rtl w:val="0"/>
        </w:rPr>
        <w:t xml:space="preserve">Informations sur la collection</w:t>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collection_name : nom de la collection à laquelle le média appartient</w:t>
      </w:r>
    </w:p>
    <w:p w:rsidR="00000000" w:rsidDel="00000000" w:rsidP="00000000" w:rsidRDefault="00000000" w:rsidRPr="00000000" w14:paraId="00000046">
      <w:pPr>
        <w:numPr>
          <w:ilvl w:val="0"/>
          <w:numId w:val="5"/>
        </w:numPr>
        <w:spacing w:after="0" w:afterAutospacing="0"/>
        <w:ind w:left="720" w:hanging="360"/>
        <w:rPr>
          <w:u w:val="none"/>
        </w:rPr>
      </w:pPr>
      <w:r w:rsidDel="00000000" w:rsidR="00000000" w:rsidRPr="00000000">
        <w:rPr>
          <w:rtl w:val="0"/>
        </w:rPr>
        <w:t xml:space="preserve">set_name : le nom du Set (un mot)</w:t>
        <w:tab/>
      </w:r>
    </w:p>
    <w:p w:rsidR="00000000" w:rsidDel="00000000" w:rsidP="00000000" w:rsidRDefault="00000000" w:rsidRPr="00000000" w14:paraId="00000047">
      <w:pPr>
        <w:numPr>
          <w:ilvl w:val="0"/>
          <w:numId w:val="5"/>
        </w:numPr>
        <w:spacing w:after="0" w:afterAutospacing="0"/>
        <w:ind w:left="720" w:hanging="360"/>
        <w:rPr>
          <w:u w:val="none"/>
        </w:rPr>
      </w:pPr>
      <w:r w:rsidDel="00000000" w:rsidR="00000000" w:rsidRPr="00000000">
        <w:rPr>
          <w:rtl w:val="0"/>
        </w:rPr>
        <w:t xml:space="preserve">collection_funds : le fonds dont est originaire la collection</w:t>
      </w:r>
    </w:p>
    <w:p w:rsidR="00000000" w:rsidDel="00000000" w:rsidP="00000000" w:rsidRDefault="00000000" w:rsidRPr="00000000" w14:paraId="00000048">
      <w:pPr>
        <w:numPr>
          <w:ilvl w:val="0"/>
          <w:numId w:val="5"/>
        </w:numPr>
        <w:spacing w:after="0" w:afterAutospacing="0"/>
        <w:ind w:left="720" w:hanging="360"/>
        <w:rPr>
          <w:u w:val="none"/>
        </w:rPr>
      </w:pPr>
      <w:r w:rsidDel="00000000" w:rsidR="00000000" w:rsidRPr="00000000">
        <w:rPr>
          <w:rtl w:val="0"/>
        </w:rPr>
        <w:t xml:space="preserve">collection_infos : une description synthétique de la collection</w:t>
      </w:r>
    </w:p>
    <w:p w:rsidR="00000000" w:rsidDel="00000000" w:rsidP="00000000" w:rsidRDefault="00000000" w:rsidRPr="00000000" w14:paraId="00000049">
      <w:pPr>
        <w:numPr>
          <w:ilvl w:val="0"/>
          <w:numId w:val="5"/>
        </w:numPr>
        <w:spacing w:after="0" w:afterAutospacing="0"/>
        <w:ind w:left="720" w:hanging="360"/>
        <w:rPr>
          <w:u w:val="none"/>
        </w:rPr>
      </w:pPr>
      <w:r w:rsidDel="00000000" w:rsidR="00000000" w:rsidRPr="00000000">
        <w:rPr>
          <w:rtl w:val="0"/>
        </w:rPr>
        <w:t xml:space="preserve">who_scans : qui a scanné les documents</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rtl w:val="0"/>
        </w:rPr>
        <w:t xml:space="preserve">original_owner : propriétaire des originaux</w:t>
      </w:r>
    </w:p>
    <w:p w:rsidR="00000000" w:rsidDel="00000000" w:rsidP="00000000" w:rsidRDefault="00000000" w:rsidRPr="00000000" w14:paraId="0000004B">
      <w:pPr>
        <w:numPr>
          <w:ilvl w:val="0"/>
          <w:numId w:val="5"/>
        </w:numPr>
        <w:spacing w:after="0" w:afterAutospacing="0"/>
        <w:ind w:left="720" w:hanging="360"/>
        <w:rPr>
          <w:u w:val="none"/>
        </w:rPr>
      </w:pPr>
      <w:r w:rsidDel="00000000" w:rsidR="00000000" w:rsidRPr="00000000">
        <w:rPr>
          <w:rtl w:val="0"/>
        </w:rPr>
        <w:t xml:space="preserve">originals_curator : conservateur des originaux</w:t>
      </w:r>
    </w:p>
    <w:p w:rsidR="00000000" w:rsidDel="00000000" w:rsidP="00000000" w:rsidRDefault="00000000" w:rsidRPr="00000000" w14:paraId="0000004C">
      <w:pPr>
        <w:numPr>
          <w:ilvl w:val="0"/>
          <w:numId w:val="5"/>
        </w:numPr>
        <w:spacing w:after="0" w:afterAutospacing="0"/>
        <w:ind w:left="720" w:hanging="360"/>
        <w:rPr>
          <w:u w:val="none"/>
        </w:rPr>
      </w:pPr>
      <w:r w:rsidDel="00000000" w:rsidR="00000000" w:rsidRPr="00000000">
        <w:rPr>
          <w:rtl w:val="0"/>
        </w:rPr>
        <w:t xml:space="preserve">rights_holder : détenteur des droits</w:t>
      </w:r>
    </w:p>
    <w:p w:rsidR="00000000" w:rsidDel="00000000" w:rsidP="00000000" w:rsidRDefault="00000000" w:rsidRPr="00000000" w14:paraId="0000004D">
      <w:pPr>
        <w:numPr>
          <w:ilvl w:val="0"/>
          <w:numId w:val="5"/>
        </w:numPr>
        <w:spacing w:after="0" w:afterAutospacing="0"/>
        <w:ind w:left="720" w:hanging="360"/>
        <w:rPr>
          <w:u w:val="none"/>
        </w:rPr>
      </w:pPr>
      <w:r w:rsidDel="00000000" w:rsidR="00000000" w:rsidRPr="00000000">
        <w:rPr>
          <w:rtl w:val="0"/>
        </w:rPr>
        <w:t xml:space="preserve">collection_manager : gestionnaire de la collection</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collection_location : d'où viennent les originaux ou de quels lieux traitent-ils.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h9pqztw721l2" w:id="17"/>
      <w:bookmarkEnd w:id="17"/>
      <w:r w:rsidDel="00000000" w:rsidR="00000000" w:rsidRPr="00000000">
        <w:rPr>
          <w:rtl w:val="0"/>
        </w:rPr>
        <w:t xml:space="preserve">Médias mis en séries</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series : liste des séries incluant le média</w:t>
      </w:r>
    </w:p>
    <w:p w:rsidR="00000000" w:rsidDel="00000000" w:rsidP="00000000" w:rsidRDefault="00000000" w:rsidRPr="00000000" w14:paraId="00000052">
      <w:pPr>
        <w:numPr>
          <w:ilvl w:val="0"/>
          <w:numId w:val="2"/>
        </w:numPr>
        <w:spacing w:after="0" w:afterAutospacing="0"/>
        <w:ind w:left="720" w:hanging="360"/>
        <w:rPr>
          <w:u w:val="none"/>
        </w:rPr>
      </w:pPr>
      <w:r w:rsidDel="00000000" w:rsidR="00000000" w:rsidRPr="00000000">
        <w:rPr>
          <w:rtl w:val="0"/>
        </w:rPr>
        <w:t xml:space="preserve">series_parent : la série a-t-elles une série parente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series_order : ordre de la série dans la hiérarchie</w:t>
      </w:r>
    </w:p>
    <w:p w:rsidR="00000000" w:rsidDel="00000000" w:rsidP="00000000" w:rsidRDefault="00000000" w:rsidRPr="00000000" w14:paraId="00000054">
      <w:pPr>
        <w:ind w:firstLine="0"/>
        <w:rPr/>
      </w:pPr>
      <w:r w:rsidDel="00000000" w:rsidR="00000000" w:rsidRPr="00000000">
        <w:rPr>
          <w:rtl w:val="0"/>
        </w:rPr>
      </w:r>
    </w:p>
    <w:p w:rsidR="00000000" w:rsidDel="00000000" w:rsidP="00000000" w:rsidRDefault="00000000" w:rsidRPr="00000000" w14:paraId="00000055">
      <w:pPr>
        <w:pStyle w:val="Heading4"/>
        <w:rPr/>
      </w:pPr>
      <w:bookmarkStart w:colFirst="0" w:colLast="0" w:name="_hlosce3nfigj" w:id="18"/>
      <w:bookmarkEnd w:id="18"/>
      <w:r w:rsidDel="00000000" w:rsidR="00000000" w:rsidRPr="00000000">
        <w:rPr>
          <w:rtl w:val="0"/>
        </w:rPr>
        <w:t xml:space="preserve">Séquences dans les médias audio et vidéo</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sequences : liste des titres des séquences</w:t>
      </w:r>
    </w:p>
    <w:p w:rsidR="00000000" w:rsidDel="00000000" w:rsidP="00000000" w:rsidRDefault="00000000" w:rsidRPr="00000000" w14:paraId="00000057">
      <w:pPr>
        <w:numPr>
          <w:ilvl w:val="0"/>
          <w:numId w:val="3"/>
        </w:numPr>
        <w:spacing w:after="0" w:afterAutospacing="0"/>
        <w:ind w:left="720" w:hanging="360"/>
        <w:rPr>
          <w:u w:val="none"/>
        </w:rPr>
      </w:pPr>
      <w:r w:rsidDel="00000000" w:rsidR="00000000" w:rsidRPr="00000000">
        <w:rPr>
          <w:rtl w:val="0"/>
        </w:rPr>
        <w:t xml:space="preserve">time_codes : moment où commence une nouvelle séquence</w:t>
      </w:r>
    </w:p>
    <w:p w:rsidR="00000000" w:rsidDel="00000000" w:rsidP="00000000" w:rsidRDefault="00000000" w:rsidRPr="00000000" w14:paraId="00000058">
      <w:pPr>
        <w:numPr>
          <w:ilvl w:val="0"/>
          <w:numId w:val="3"/>
        </w:numPr>
        <w:spacing w:after="0" w:afterAutospacing="0"/>
        <w:ind w:left="720" w:hanging="360"/>
        <w:rPr>
          <w:u w:val="none"/>
        </w:rPr>
      </w:pPr>
      <w:r w:rsidDel="00000000" w:rsidR="00000000" w:rsidRPr="00000000">
        <w:rPr>
          <w:rtl w:val="0"/>
        </w:rPr>
        <w:t xml:space="preserve">sequences_durations : liste des durées des séquences</w:t>
      </w:r>
    </w:p>
    <w:p w:rsidR="00000000" w:rsidDel="00000000" w:rsidP="00000000" w:rsidRDefault="00000000" w:rsidRPr="00000000" w14:paraId="00000059">
      <w:pPr>
        <w:numPr>
          <w:ilvl w:val="0"/>
          <w:numId w:val="3"/>
        </w:numPr>
        <w:spacing w:after="0" w:afterAutospacing="0"/>
        <w:ind w:left="720" w:hanging="360"/>
        <w:rPr>
          <w:u w:val="none"/>
        </w:rPr>
      </w:pPr>
      <w:r w:rsidDel="00000000" w:rsidR="00000000" w:rsidRPr="00000000">
        <w:rPr>
          <w:rtl w:val="0"/>
        </w:rPr>
        <w:t xml:space="preserve">sequences_resumes : résumés des séquences</w:t>
      </w:r>
    </w:p>
    <w:p w:rsidR="00000000" w:rsidDel="00000000" w:rsidP="00000000" w:rsidRDefault="00000000" w:rsidRPr="00000000" w14:paraId="0000005A">
      <w:pPr>
        <w:numPr>
          <w:ilvl w:val="0"/>
          <w:numId w:val="3"/>
        </w:numPr>
        <w:spacing w:after="0" w:afterAutospacing="0"/>
        <w:ind w:left="720" w:hanging="360"/>
        <w:rPr>
          <w:u w:val="none"/>
        </w:rPr>
      </w:pPr>
      <w:r w:rsidDel="00000000" w:rsidR="00000000" w:rsidRPr="00000000">
        <w:rPr>
          <w:rtl w:val="0"/>
        </w:rPr>
        <w:t xml:space="preserve">sequences_keywords : mots clés de la séquence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events_marks : liste d’événements à déclencher pendant la lecture d’une séquence</w:t>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pStyle w:val="Heading4"/>
        <w:rPr/>
      </w:pPr>
      <w:bookmarkStart w:colFirst="0" w:colLast="0" w:name="_etl565xyrjt3" w:id="19"/>
      <w:bookmarkEnd w:id="19"/>
      <w:r w:rsidDel="00000000" w:rsidR="00000000" w:rsidRPr="00000000">
        <w:rPr>
          <w:rtl w:val="0"/>
        </w:rPr>
        <w:t xml:space="preserve">Liens et document en relation</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contains_elements : les éléments contenus dans ce média</w:t>
      </w:r>
    </w:p>
    <w:p w:rsidR="00000000" w:rsidDel="00000000" w:rsidP="00000000" w:rsidRDefault="00000000" w:rsidRPr="00000000" w14:paraId="0000005F">
      <w:pPr>
        <w:numPr>
          <w:ilvl w:val="0"/>
          <w:numId w:val="4"/>
        </w:numPr>
        <w:spacing w:after="0" w:afterAutospacing="0"/>
        <w:ind w:left="720" w:hanging="360"/>
        <w:rPr>
          <w:u w:val="none"/>
        </w:rPr>
      </w:pPr>
      <w:r w:rsidDel="00000000" w:rsidR="00000000" w:rsidRPr="00000000">
        <w:rPr>
          <w:rtl w:val="0"/>
        </w:rPr>
        <w:t xml:space="preserve">require_documents : document requis en lien avec le média</w:t>
      </w:r>
    </w:p>
    <w:p w:rsidR="00000000" w:rsidDel="00000000" w:rsidP="00000000" w:rsidRDefault="00000000" w:rsidRPr="00000000" w14:paraId="00000060">
      <w:pPr>
        <w:numPr>
          <w:ilvl w:val="0"/>
          <w:numId w:val="4"/>
        </w:numPr>
        <w:spacing w:after="0" w:afterAutospacing="0"/>
        <w:ind w:left="720" w:hanging="360"/>
        <w:rPr>
          <w:u w:val="none"/>
        </w:rPr>
      </w:pPr>
      <w:r w:rsidDel="00000000" w:rsidR="00000000" w:rsidRPr="00000000">
        <w:rPr>
          <w:rtl w:val="0"/>
        </w:rPr>
        <w:t xml:space="preserve">links_internal_documents : liens vers des documents internes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links_external_documents : liens vers des documents externes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0"/>
        </w:numPr>
        <w:spacing w:after="0" w:afterAutospacing="0"/>
        <w:ind w:left="720" w:hanging="360"/>
        <w:rPr>
          <w:u w:val="none"/>
        </w:rPr>
      </w:pPr>
      <w:r w:rsidDel="00000000" w:rsidR="00000000" w:rsidRPr="00000000">
        <w:rPr>
          <w:rtl w:val="0"/>
        </w:rPr>
        <w:t xml:space="preserve">certif_type : type de certification pour ce document</w:t>
      </w:r>
    </w:p>
    <w:p w:rsidR="00000000" w:rsidDel="00000000" w:rsidP="00000000" w:rsidRDefault="00000000" w:rsidRPr="00000000" w14:paraId="00000064">
      <w:pPr>
        <w:numPr>
          <w:ilvl w:val="0"/>
          <w:numId w:val="10"/>
        </w:numPr>
        <w:spacing w:after="0" w:afterAutospacing="0"/>
        <w:ind w:left="720" w:hanging="360"/>
        <w:rPr>
          <w:u w:val="none"/>
        </w:rPr>
      </w:pPr>
      <w:r w:rsidDel="00000000" w:rsidR="00000000" w:rsidRPr="00000000">
        <w:rPr>
          <w:rtl w:val="0"/>
        </w:rPr>
        <w:t xml:space="preserve">certif_autority : autorité de certification</w:t>
      </w:r>
    </w:p>
    <w:p w:rsidR="00000000" w:rsidDel="00000000" w:rsidP="00000000" w:rsidRDefault="00000000" w:rsidRPr="00000000" w14:paraId="00000065">
      <w:pPr>
        <w:numPr>
          <w:ilvl w:val="0"/>
          <w:numId w:val="10"/>
        </w:numPr>
        <w:spacing w:after="0" w:afterAutospacing="0"/>
        <w:ind w:left="720" w:hanging="360"/>
        <w:rPr>
          <w:u w:val="none"/>
        </w:rPr>
      </w:pPr>
      <w:r w:rsidDel="00000000" w:rsidR="00000000" w:rsidRPr="00000000">
        <w:rPr>
          <w:rtl w:val="0"/>
        </w:rPr>
        <w:t xml:space="preserve">certif_hash : code haché en lien avec la certification</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certif_politic : lien vers la certification</w:t>
      </w:r>
    </w:p>
    <w:p w:rsidR="00000000" w:rsidDel="00000000" w:rsidP="00000000" w:rsidRDefault="00000000" w:rsidRPr="00000000" w14:paraId="00000067">
      <w:pPr>
        <w:rPr/>
      </w:pPr>
      <w:r w:rsidDel="00000000" w:rsidR="00000000" w:rsidRPr="00000000">
        <w:rPr>
          <w:rtl w:val="0"/>
        </w:rPr>
      </w:r>
    </w:p>
    <w:sectPr>
      <w:headerReference r:id="rId12" w:type="default"/>
      <w:footerReference r:id="rId13" w:type="default"/>
      <w:pgSz w:h="16834" w:w="11909" w:orient="portrait"/>
      <w:pgMar w:bottom="1440" w:top="1700.78740157480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right"/>
      <w:rPr>
        <w:sz w:val="16"/>
        <w:szCs w:val="16"/>
      </w:rPr>
    </w:pPr>
    <w:r w:rsidDel="00000000" w:rsidR="00000000" w:rsidRPr="00000000">
      <w:rPr>
        <w:sz w:val="16"/>
        <w:szCs w:val="16"/>
        <w:rtl w:val="0"/>
      </w:rPr>
      <w:t xml:space="preserve">EIRL EXLINEO -||-   SIRET 529 200 784 00039   -||-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pPr>
    <w:r w:rsidDel="00000000" w:rsidR="00000000" w:rsidRPr="00000000">
      <w:rPr>
        <w:sz w:val="18"/>
        <w:szCs w:val="18"/>
        <w:rtl w:val="0"/>
      </w:rPr>
      <w:t xml:space="preserve">Le </w:t>
    </w:r>
    <w:r w:rsidDel="00000000" w:rsidR="00000000" w:rsidRPr="00000000">
      <w:rPr>
        <w:sz w:val="18"/>
        <w:szCs w:val="18"/>
        <w:rtl w:val="0"/>
      </w:rPr>
      <w:t xml:space="preserve">8 sept. 2022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-266699</wp:posOffset>
          </wp:positionV>
          <wp:extent cx="1395413" cy="42252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4225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fr"/>
      </w:rPr>
    </w:rPrDefault>
    <w:pPrDefault>
      <w:pPr>
        <w:spacing w:after="200" w:line="276"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rFonts w:ascii="Montserrat ExtraLight" w:cs="Montserrat ExtraLight" w:eastAsia="Montserrat ExtraLight" w:hAnsi="Montserrat ExtraLight"/>
      <w:color w:val="0b5394"/>
      <w:sz w:val="48"/>
      <w:szCs w:val="48"/>
    </w:rPr>
  </w:style>
  <w:style w:type="paragraph" w:styleId="Heading2">
    <w:name w:val="heading 2"/>
    <w:basedOn w:val="Normal"/>
    <w:next w:val="Normal"/>
    <w:pPr>
      <w:keepNext w:val="1"/>
      <w:keepLines w:val="1"/>
      <w:spacing w:after="120" w:before="360" w:lineRule="auto"/>
      <w:ind w:firstLine="283.46456692913375"/>
    </w:pPr>
    <w:rPr>
      <w:color w:val="073763"/>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0" w:lineRule="auto"/>
      <w:ind w:firstLine="0"/>
    </w:pPr>
    <w:rPr>
      <w:rFonts w:ascii="Montserrat ExtraLight" w:cs="Montserrat ExtraLight" w:eastAsia="Montserrat ExtraLight" w:hAnsi="Montserrat ExtraLight"/>
      <w:color w:val="0b5394"/>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Dublin_Core" TargetMode="External"/><Relationship Id="rId10" Type="http://schemas.openxmlformats.org/officeDocument/2006/relationships/hyperlink" Target="https://winscp.net/eng/download.php"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exlineo/NemateriaXMP" TargetMode="External"/><Relationship Id="rId7" Type="http://schemas.openxmlformats.org/officeDocument/2006/relationships/hyperlink" Target="https://www.adobe.com/fr/products/bridge.htm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Light-regular.ttf"/><Relationship Id="rId6" Type="http://schemas.openxmlformats.org/officeDocument/2006/relationships/font" Target="fonts/MontserratExtraLight-bold.ttf"/><Relationship Id="rId7" Type="http://schemas.openxmlformats.org/officeDocument/2006/relationships/font" Target="fonts/MontserratExtraLight-italic.ttf"/><Relationship Id="rId8" Type="http://schemas.openxmlformats.org/officeDocument/2006/relationships/font" Target="fonts/MontserratExtra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