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Для написания отчета первое, что нам необходимо - это титульный лист и соответсвующие настройки. Их мы можем получаем из шаблона на GitHub (рис. 2.1, 2.2).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6927467"/>
            <wp:effectExtent b="0" l="0" r="0" t="0"/>
            <wp:docPr descr="Первичные настройки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27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Первичные настройки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209946"/>
            <wp:effectExtent b="0" l="0" r="0" t="0"/>
            <wp:docPr descr="Первичные настройки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9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Первичные настройки</w:t>
      </w:r>
    </w:p>
    <w:p>
      <w:pPr>
        <w:numPr>
          <w:ilvl w:val="0"/>
          <w:numId w:val="1001"/>
        </w:numPr>
      </w:pPr>
      <w:r>
        <w:t xml:space="preserve">Чтобы писать на markdown достаточно и стандартного редактора. Однако для облегчения процесса устанавливаем Visual Studio Code (рис. 2.3).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000375"/>
            <wp:effectExtent b="0" l="0" r="0" t="0"/>
            <wp:docPr descr="Visual Studio Code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Visual Studio Code</w:t>
      </w:r>
    </w:p>
    <w:p>
      <w:pPr>
        <w:numPr>
          <w:ilvl w:val="0"/>
          <w:numId w:val="1001"/>
        </w:numPr>
      </w:pPr>
      <w:r>
        <w:t xml:space="preserve">Также для облегчения работы устанавливаем дополнительные опции, к примеру, Markdown All In One. Как ясно из названия, расширение позволяет максимально расширить функционал VSC. Крайне полезной опцией оказалась возможность просмотра результирующего файла в реальном времени (рис. 2.4):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364096"/>
            <wp:effectExtent b="0" l="0" r="0" t="0"/>
            <wp:docPr descr="Markdown All In One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Markdown All In One</w:t>
      </w:r>
    </w:p>
    <w:p>
      <w:pPr>
        <w:numPr>
          <w:ilvl w:val="0"/>
          <w:numId w:val="1001"/>
        </w:numPr>
      </w:pPr>
      <w:r>
        <w:t xml:space="preserve">Создание заголовка происходит следующим образом (рис. 2.5):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This is heading 1</w:t>
      </w:r>
      <w:r>
        <w:br/>
      </w:r>
      <w:r>
        <w:rPr>
          <w:rStyle w:val="VerbatimChar"/>
        </w:rPr>
        <w:t xml:space="preserve">## This is heading 2</w:t>
      </w:r>
      <w:r>
        <w:br/>
      </w:r>
      <w:r>
        <w:rPr>
          <w:rStyle w:val="VerbatimChar"/>
        </w:rPr>
        <w:t xml:space="preserve">### This is heading 3</w:t>
      </w:r>
      <w:r>
        <w:br/>
      </w:r>
      <w:r>
        <w:rPr>
          <w:rStyle w:val="VerbatimChar"/>
        </w:rPr>
        <w:t xml:space="preserve">#### This is heading 4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712463" cy="2059321"/>
            <wp:effectExtent b="0" l="0" r="0" t="0"/>
            <wp:docPr descr="Создание заголовков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463" cy="2059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Создание заголовков</w:t>
      </w:r>
    </w:p>
    <w:p>
      <w:pPr>
        <w:numPr>
          <w:ilvl w:val="0"/>
          <w:numId w:val="1001"/>
        </w:numPr>
      </w:pPr>
      <w:r>
        <w:t xml:space="preserve">Неупорядоченный (маркированный) список можно отформатировать с помощью звездочек или тире (рис. 2.6):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- List item 1</w:t>
      </w:r>
      <w:r>
        <w:br/>
      </w:r>
      <w:r>
        <w:rPr>
          <w:rStyle w:val="VerbatimChar"/>
        </w:rPr>
        <w:t xml:space="preserve">- List item 2</w:t>
      </w:r>
      <w:r>
        <w:br/>
      </w:r>
      <w:r>
        <w:rPr>
          <w:rStyle w:val="VerbatimChar"/>
        </w:rPr>
        <w:t xml:space="preserve">- List item 3</w:t>
      </w:r>
    </w:p>
    <w:p>
      <w:pPr>
        <w:numPr>
          <w:ilvl w:val="0"/>
          <w:numId w:val="1001"/>
        </w:numPr>
      </w:pPr>
      <w:r>
        <w:t xml:space="preserve">Чтобы вложить один список в другой, добавляем отступ для элементов дочернего списка (рис. 2.6):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- List item 1</w:t>
      </w:r>
      <w:r>
        <w:br/>
      </w:r>
      <w:r>
        <w:rPr>
          <w:rStyle w:val="VerbatimChar"/>
        </w:rPr>
        <w:t xml:space="preserve">- List item A</w:t>
      </w:r>
      <w:r>
        <w:br/>
      </w:r>
      <w:r>
        <w:rPr>
          <w:rStyle w:val="VerbatimChar"/>
        </w:rPr>
        <w:t xml:space="preserve">- List item B</w:t>
      </w:r>
      <w:r>
        <w:br/>
      </w:r>
      <w:r>
        <w:rPr>
          <w:rStyle w:val="VerbatimChar"/>
        </w:rPr>
        <w:t xml:space="preserve">- List item 2</w:t>
      </w:r>
    </w:p>
    <w:p>
      <w:pPr>
        <w:numPr>
          <w:ilvl w:val="0"/>
          <w:numId w:val="1001"/>
        </w:numPr>
      </w:pPr>
      <w:r>
        <w:t xml:space="preserve">Упорядоченный список форматируем с помощью соответствующих цифр (рис. 2.6):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1. First instruction</w:t>
      </w:r>
      <w:r>
        <w:br/>
      </w:r>
      <w:r>
        <w:rPr>
          <w:rStyle w:val="VerbatimChar"/>
        </w:rPr>
        <w:t xml:space="preserve">1. Second instruction</w:t>
      </w:r>
      <w:r>
        <w:br/>
      </w:r>
      <w:r>
        <w:rPr>
          <w:rStyle w:val="VerbatimChar"/>
        </w:rPr>
        <w:t xml:space="preserve">1. Third instruction</w:t>
      </w:r>
    </w:p>
    <w:p>
      <w:pPr>
        <w:numPr>
          <w:ilvl w:val="0"/>
          <w:numId w:val="1001"/>
        </w:numPr>
      </w:pPr>
      <w:r>
        <w:t xml:space="preserve">Чтобы вложить один список в другой, добавляем отступ для элементов дочернего списка (рис. 2.6):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1. First instruction</w:t>
      </w:r>
      <w:r>
        <w:br/>
      </w:r>
      <w:r>
        <w:rPr>
          <w:rStyle w:val="VerbatimChar"/>
        </w:rPr>
        <w:t xml:space="preserve">1. Sub-instruction</w:t>
      </w:r>
      <w:r>
        <w:br/>
      </w:r>
      <w:r>
        <w:rPr>
          <w:rStyle w:val="VerbatimChar"/>
        </w:rPr>
        <w:t xml:space="preserve">1. Sub-instruction</w:t>
      </w:r>
      <w:r>
        <w:br/>
      </w:r>
      <w:r>
        <w:rPr>
          <w:rStyle w:val="VerbatimChar"/>
        </w:rPr>
        <w:t xml:space="preserve">1. Second instruction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132934" cy="5440295"/>
            <wp:effectExtent b="0" l="0" r="0" t="0"/>
            <wp:docPr descr="Форматирование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934" cy="5440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Форматирование</w:t>
      </w:r>
    </w:p>
    <w:p>
      <w:pPr>
        <w:numPr>
          <w:ilvl w:val="0"/>
          <w:numId w:val="1001"/>
        </w:numPr>
      </w:pPr>
      <w:r>
        <w:t xml:space="preserve">Для того чтобы оградить какой-то код используем конструкцию (```) (рис. 2.7):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language your code goes in here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551099" cy="683878"/>
            <wp:effectExtent b="0" l="0" r="0" t="0"/>
            <wp:docPr descr="Написание кода" title="" id="1" name="Picture"/>
            <a:graphic>
              <a:graphicData uri="http://schemas.openxmlformats.org/drawingml/2006/picture">
                <pic:pic>
                  <pic:nvPicPr>
                    <pic:cNvPr descr="image/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099" cy="68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Написание кода</w:t>
      </w:r>
    </w:p>
    <w:p>
      <w:pPr>
        <w:numPr>
          <w:ilvl w:val="0"/>
          <w:numId w:val="1001"/>
        </w:numPr>
      </w:pPr>
      <w:r>
        <w:t xml:space="preserve">Ознакомившись с базовыми конструкциями, мы переходим к написанию отчета.</w:t>
      </w:r>
    </w:p>
    <w:p>
      <w:pPr>
        <w:numPr>
          <w:ilvl w:val="0"/>
          <w:numId w:val="1001"/>
        </w:numPr>
      </w:pPr>
      <w:r>
        <w:t xml:space="preserve">После того как мы закончили написание отчета, нам необходимо обработать файл в формате Markdown.</w:t>
      </w:r>
    </w:p>
    <w:p>
      <w:pPr>
        <w:numPr>
          <w:ilvl w:val="0"/>
          <w:numId w:val="1001"/>
        </w:numPr>
      </w:pPr>
      <w:r>
        <w:t xml:space="preserve">Для обработки файлов в формате Markdown устанавливаем Pandoc https://pandoc.org/. Конкретно, нам понадобится программа pandoc, pandoc-citeproc https://github.com/jgm/pandoc/releases, pandoc-crossref https://github.com/lierdakil/pandoc-crossref/releases (рис. 2.8):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627364"/>
            <wp:effectExtent b="0" l="0" r="0" t="0"/>
            <wp:docPr descr="Pandoc-crossref" title="" id="1" name="Picture"/>
            <a:graphic>
              <a:graphicData uri="http://schemas.openxmlformats.org/drawingml/2006/picture">
                <pic:pic>
                  <pic:nvPicPr>
                    <pic:cNvPr descr="image/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7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Pandoc-crossref</w:t>
      </w:r>
    </w:p>
    <w:p>
      <w:pPr>
        <w:numPr>
          <w:ilvl w:val="0"/>
          <w:numId w:val="1001"/>
        </w:numPr>
      </w:pPr>
      <w:r>
        <w:t xml:space="preserve">Преобразовываем файл report.md в PDf и docx следующим образом: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pandoc report.md -o report.pdf</w:t>
      </w:r>
      <w:r>
        <w:br/>
      </w:r>
      <w:r>
        <w:rPr>
          <w:rStyle w:val="VerbatimChar"/>
        </w:rPr>
        <w:t xml:space="preserve">pandoc README.md -o README.docx</w:t>
      </w:r>
    </w:p>
    <w:p>
      <w:pPr>
        <w:numPr>
          <w:ilvl w:val="0"/>
          <w:numId w:val="1001"/>
        </w:numPr>
      </w:pPr>
      <w:r>
        <w:t xml:space="preserve">Также можно использовать Makefile (рис. 2.9):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FILES = $(patsubst %.md, %.docx, $(wildcard *.md))</w:t>
      </w:r>
      <w:r>
        <w:br/>
      </w:r>
      <w:r>
        <w:rPr>
          <w:rStyle w:val="VerbatimChar"/>
        </w:rPr>
        <w:t xml:space="preserve">FILES += $(patsubst %.md, %.pdf, $(wildcard *.md))</w:t>
      </w:r>
      <w:r>
        <w:br/>
      </w:r>
      <w:r>
        <w:rPr>
          <w:rStyle w:val="VerbatimChar"/>
        </w:rPr>
        <w:t xml:space="preserve">LATEX_FORMAT =</w:t>
      </w:r>
      <w:r>
        <w:br/>
      </w:r>
      <w:r>
        <w:rPr>
          <w:rStyle w:val="VerbatimChar"/>
        </w:rPr>
        <w:t xml:space="preserve">FILTER = --filter pandoc-crossref</w:t>
      </w:r>
      <w:r>
        <w:br/>
      </w:r>
      <w:r>
        <w:rPr>
          <w:rStyle w:val="VerbatimChar"/>
        </w:rPr>
        <w:t xml:space="preserve">%.docx: %.md</w:t>
      </w:r>
      <w:r>
        <w:br/>
      </w:r>
      <w:r>
        <w:rPr>
          <w:rStyle w:val="VerbatimChar"/>
        </w:rPr>
        <w:t xml:space="preserve">    -pandoc "$&lt;" $(FILTER) -o "$@"</w:t>
      </w:r>
      <w:r>
        <w:br/>
      </w:r>
      <w:r>
        <w:rPr>
          <w:rStyle w:val="VerbatimChar"/>
        </w:rPr>
        <w:t xml:space="preserve">%.pdf: %.md</w:t>
      </w:r>
      <w:r>
        <w:br/>
      </w:r>
      <w:r>
        <w:rPr>
          <w:rStyle w:val="VerbatimChar"/>
        </w:rPr>
        <w:t xml:space="preserve">    -pandoc "$&lt;" $(LATEX_FORMAT) $(FILTER) -o "$@"</w:t>
      </w:r>
      <w:r>
        <w:br/>
      </w:r>
      <w:r>
        <w:rPr>
          <w:rStyle w:val="VerbatimChar"/>
        </w:rPr>
        <w:t xml:space="preserve">all: $(FILES)</w:t>
      </w:r>
      <w:r>
        <w:br/>
      </w:r>
      <w:r>
        <w:rPr>
          <w:rStyle w:val="VerbatimChar"/>
        </w:rPr>
        <w:t xml:space="preserve">    @echo $(FILES)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$(FILES) *~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971569" cy="998924"/>
            <wp:effectExtent b="0" l="0" r="0" t="0"/>
            <wp:docPr descr="make" title="" id="1" name="Picture"/>
            <a:graphic>
              <a:graphicData uri="http://schemas.openxmlformats.org/drawingml/2006/picture">
                <pic:pic>
                  <pic:nvPicPr>
                    <pic:cNvPr descr="image/Screenshot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69" cy="99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make</w:t>
      </w:r>
    </w:p>
    <w:p>
      <w:pPr>
        <w:numPr>
          <w:ilvl w:val="0"/>
          <w:numId w:val="1001"/>
        </w:numPr>
      </w:pPr>
      <w:r>
        <w:t xml:space="preserve">Последним пунктом хотелось бы отметить, что на моей системе презентация, составленная по шаблону, предоставленному на GitHub, не «собирается» в pdf из-за ошибки (рис. 2.10). Поэтому решено было использовать обновленный шаблон для отчета. Надеюсь, на оценивание презентации это никак не сможет повлиять.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256688"/>
            <wp:effectExtent b="0" l="0" r="0" t="0"/>
            <wp:docPr descr="Ошибка" title="" id="1" name="Picture"/>
            <a:graphic>
              <a:graphicData uri="http://schemas.openxmlformats.org/drawingml/2006/picture">
                <pic:pic>
                  <pic:nvPicPr>
                    <pic:cNvPr descr="image/Screenshot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6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Ошибка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оформлять отчёты с помощью легковесного языка разметки Markdown, изучили его базовые конструкции, создали удобную среду для написания отчета, а также научились форматировать файл md в форматы pdf, docx.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Ким Михаил Алексеевич</dc:creator>
  <dc:language>ru-RU</dc:language>
  <cp:keywords/>
  <dcterms:created xsi:type="dcterms:W3CDTF">2021-10-23T19:09:51Z</dcterms:created>
  <dcterms:modified xsi:type="dcterms:W3CDTF">2021-10-23T19:09:51Z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False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False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по дисциплине: Операционные системы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