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Создать, настроить пользователей guest и guest2, а также изучить информацию о них.</w:t>
      </w:r>
    </w:p>
    <w:p>
      <w:pPr>
        <w:numPr>
          <w:ilvl w:val="0"/>
          <w:numId w:val="1001"/>
        </w:numPr>
      </w:pPr>
      <w:r>
        <w:t xml:space="preserve">Произвести эксперименты с правами доступа для пользователей в группе.</w:t>
      </w:r>
    </w:p>
    <w:p>
      <w:pPr>
        <w:numPr>
          <w:ilvl w:val="0"/>
          <w:numId w:val="1001"/>
        </w:numPr>
      </w:pPr>
      <w:r>
        <w:t xml:space="preserve">Заполнить таблицы «Установленные права и разрешённые действия для групп» и «Минимальные права для совершения операций от имени пользователей входящих в группу».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У каждого файла/директории есть 3 группы пользователей, для которых можно устанавливать права доступа:</w:t>
      </w:r>
    </w:p>
    <w:p>
      <w:pPr>
        <w:numPr>
          <w:ilvl w:val="1"/>
          <w:numId w:val="1003"/>
        </w:numPr>
        <w:pStyle w:val="Compact"/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1"/>
          <w:numId w:val="1003"/>
        </w:numPr>
        <w:pStyle w:val="Compact"/>
      </w:pPr>
      <w:r>
        <w:t xml:space="preserve">group (группа) — пользователи с общими заданными правами.</w:t>
      </w:r>
    </w:p>
    <w:p>
      <w:pPr>
        <w:numPr>
          <w:ilvl w:val="1"/>
          <w:numId w:val="1003"/>
        </w:numPr>
        <w:pStyle w:val="Compact"/>
      </w:pPr>
      <w:r>
        <w:t xml:space="preserve">others (другие) — все остальные пользователи, не относящиеся к группе и не являющиеся владельцами.</w:t>
      </w:r>
      <w:r>
        <w:t xml:space="preserve"> </w:t>
      </w:r>
      <w:r>
        <w:t xml:space="preserve">[3]</w:t>
      </w:r>
    </w:p>
    <w:bookmarkEnd w:id="22"/>
    <w:bookmarkEnd w:id="23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выполнение-задан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</w:t>
      </w:r>
    </w:p>
    <w:p>
      <w:pPr>
        <w:numPr>
          <w:ilvl w:val="0"/>
          <w:numId w:val="1004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второго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 Зададим пароль для него пароль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5" w:name="fig:01"/>
      <w:r>
        <w:drawing>
          <wp:inline>
            <wp:extent cx="3442447" cy="1613647"/>
            <wp:effectExtent b="0" l="0" r="0" t="0"/>
            <wp:docPr descr="Figure 1: Создание новой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 1: Создание новой учетной записи</w:t>
      </w:r>
    </w:p>
    <w:bookmarkEnd w:id="0"/>
    <w:p>
      <w:pPr>
        <w:numPr>
          <w:ilvl w:val="0"/>
          <w:numId w:val="1004"/>
        </w:numPr>
      </w:pPr>
      <w:r>
        <w:t xml:space="preserve">Осуществим вход в систему от двух пользователей на двух разных консолях. 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определим директорию, в которой находимся. Сравним её с приглашениями командной строки: они совпадают (знак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обозначает домашнюю директорию). Уточним имя пользователя, его группу, кто входит в неё и к каким группам принадлежит он сам. Определим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 Сравним вывод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: они совпадают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27" w:name="fig:02"/>
      <w:r>
        <w:drawing>
          <wp:inline>
            <wp:extent cx="4948517" cy="2704779"/>
            <wp:effectExtent b="0" l="0" r="0" t="0"/>
            <wp:docPr descr="Figure 2: Использование команд pwd, whoami, id, groups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2: Использование команд pwd, whoami, id, groups для пользователя guest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29" w:name="fig:03"/>
      <w:r>
        <w:drawing>
          <wp:inline>
            <wp:extent cx="4933149" cy="2412786"/>
            <wp:effectExtent b="0" l="0" r="0" t="0"/>
            <wp:docPr descr="Figure 3: Использование команд pwd, whoami, id, groups для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3: Использование команд pwd, whoami, id, groups для пользователя guest2</w:t>
      </w:r>
    </w:p>
    <w:bookmarkEnd w:id="0"/>
    <w:p>
      <w:pPr>
        <w:numPr>
          <w:ilvl w:val="0"/>
          <w:numId w:val="1004"/>
        </w:numPr>
      </w:pPr>
      <w:r>
        <w:t xml:space="preserve">Сравним полученную информацию с содержимым файла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: информация совпадает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1" w:name="fig:04"/>
      <w:r>
        <w:drawing>
          <wp:inline>
            <wp:extent cx="2766252" cy="407253"/>
            <wp:effectExtent b="0" l="0" r="0" t="0"/>
            <wp:docPr descr="Figure 4: Содержимое файла /etc/group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 4: Содержимое файла /etc/group</w:t>
      </w:r>
    </w:p>
    <w:bookmarkEnd w:id="0"/>
    <w:p>
      <w:pPr>
        <w:numPr>
          <w:ilvl w:val="0"/>
          <w:numId w:val="1004"/>
        </w:numPr>
      </w:pPr>
      <w:r>
        <w:t xml:space="preserve">От имени пользователя guest2 выполним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(рис.</w:t>
      </w:r>
      <w:r>
        <w:t xml:space="preserve"> </w:t>
      </w:r>
      <w:hyperlink w:anchor="fig:4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45"/>
    <w:p>
      <w:pPr>
        <w:numPr>
          <w:ilvl w:val="0"/>
          <w:numId w:val="1000"/>
        </w:numPr>
        <w:pStyle w:val="CaptionedFigure"/>
      </w:pPr>
      <w:bookmarkStart w:id="33" w:name="fig:45"/>
      <w:r>
        <w:drawing>
          <wp:inline>
            <wp:extent cx="1921008" cy="192100"/>
            <wp:effectExtent b="0" l="0" r="0" t="0"/>
            <wp:docPr descr="Figure 5: Регистрация пользователя в группе" title="" id="1" name="Picture"/>
            <a:graphic>
              <a:graphicData uri="http://schemas.openxmlformats.org/drawingml/2006/picture">
                <pic:pic>
                  <pic:nvPicPr>
                    <pic:cNvPr descr="image/Screenshot_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5: Регистрация пользователя в группе</w:t>
      </w:r>
    </w:p>
    <w:bookmarkEnd w:id="0"/>
    <w:p>
      <w:pPr>
        <w:numPr>
          <w:ilvl w:val="0"/>
          <w:numId w:val="1004"/>
        </w:numPr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 От имени пользователя guest снимим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правильность снятия атрибутов (рис.</w:t>
      </w:r>
      <w:r>
        <w:t xml:space="preserve"> </w:t>
      </w:r>
      <w:hyperlink w:anchor="fig:05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5"/>
    <w:p>
      <w:pPr>
        <w:numPr>
          <w:ilvl w:val="0"/>
          <w:numId w:val="1000"/>
        </w:numPr>
        <w:pStyle w:val="CaptionedFigure"/>
      </w:pPr>
      <w:bookmarkStart w:id="35" w:name="fig:05"/>
      <w:r>
        <w:drawing>
          <wp:inline>
            <wp:extent cx="3688336" cy="2097741"/>
            <wp:effectExtent b="0" l="0" r="0" t="0"/>
            <wp:docPr descr="Figure 6: Изменение атрибутов директории и файл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 6: Изменение атрибутов директории и файла</w:t>
      </w:r>
    </w:p>
    <w:bookmarkEnd w:id="0"/>
    <w:bookmarkEnd w:id="36"/>
    <w:bookmarkStart w:id="46" w:name="заполнение-таблиц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</w:t>
      </w:r>
    </w:p>
    <w:p>
      <w:pPr>
        <w:numPr>
          <w:ilvl w:val="0"/>
          <w:numId w:val="1005"/>
        </w:numPr>
      </w:pPr>
      <w:r>
        <w:t xml:space="preserve">Заполним таблицу «Установленные права и разрешённые действия для групп». Для данных целей использовую тот же собственноручно написанный скрипт, что и в предыдущей лабораторной работу. Необходимо это, чтобы не писать множество одинаковых команд вручную. При помощи скрипта будем вносить значения в таблицу (рис.</w:t>
      </w:r>
      <w:r>
        <w:t xml:space="preserve"> </w:t>
      </w:r>
      <w:hyperlink w:anchor="fig:55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8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9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55"/>
    <w:p>
      <w:pPr>
        <w:numPr>
          <w:ilvl w:val="0"/>
          <w:numId w:val="1000"/>
        </w:numPr>
        <w:pStyle w:val="CaptionedFigure"/>
      </w:pPr>
      <w:bookmarkStart w:id="37" w:name="fig:55"/>
      <w:r>
        <w:drawing>
          <wp:inline>
            <wp:extent cx="3688336" cy="2097741"/>
            <wp:effectExtent b="0" l="0" r="0" t="0"/>
            <wp:docPr descr="Figure 7: Изменение атрибутов директории и файла для использования bash-скрипта. 1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7: Изменение атрибутов директории и файла для использования bash-скрипта. 1</w:t>
      </w:r>
    </w:p>
    <w:bookmarkEnd w:id="0"/>
    <w:bookmarkStart w:id="0" w:name="fig:06"/>
    <w:p>
      <w:pPr>
        <w:numPr>
          <w:ilvl w:val="0"/>
          <w:numId w:val="1000"/>
        </w:numPr>
        <w:pStyle w:val="CaptionedFigure"/>
      </w:pPr>
      <w:bookmarkStart w:id="39" w:name="fig:06"/>
      <w:r>
        <w:drawing>
          <wp:inline>
            <wp:extent cx="4295374" cy="4157062"/>
            <wp:effectExtent b="0" l="0" r="0" t="0"/>
            <wp:docPr descr="Figure 8: Использование bash-скрипта. 1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 8: Использование bash-скрипта. 1</w:t>
      </w:r>
    </w:p>
    <w:bookmarkEnd w:id="0"/>
    <w:bookmarkStart w:id="0" w:name="fig:07"/>
    <w:p>
      <w:pPr>
        <w:numPr>
          <w:ilvl w:val="0"/>
          <w:numId w:val="1000"/>
        </w:numPr>
        <w:pStyle w:val="CaptionedFigure"/>
      </w:pPr>
      <w:bookmarkStart w:id="41" w:name="fig:07"/>
      <w:r>
        <w:drawing>
          <wp:inline>
            <wp:extent cx="3680652" cy="1728907"/>
            <wp:effectExtent b="0" l="0" r="0" t="0"/>
            <wp:docPr descr="Figure 9: Изменение атрибутов директории и файла для использования bash-скрипта. 2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Figure 9: Изменение атрибутов директории и файла для использования bash-скрипта. 2</w:t>
      </w:r>
    </w:p>
    <w:bookmarkEnd w:id="0"/>
    <w:bookmarkStart w:id="0" w:name="fig:08"/>
    <w:p>
      <w:pPr>
        <w:numPr>
          <w:ilvl w:val="0"/>
          <w:numId w:val="1000"/>
        </w:numPr>
        <w:pStyle w:val="CaptionedFigure"/>
      </w:pPr>
      <w:bookmarkStart w:id="43" w:name="fig:08"/>
      <w:r>
        <w:drawing>
          <wp:inline>
            <wp:extent cx="4940833" cy="3795912"/>
            <wp:effectExtent b="0" l="0" r="0" t="0"/>
            <wp:docPr descr="Figure 10: Использование bash-скрипта. 2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 10: Использование bash-скрипта. 2</w:t>
      </w:r>
    </w:p>
    <w:bookmarkEnd w:id="0"/>
    <w:bookmarkStart w:id="0" w:name="fig:09"/>
    <w:p>
      <w:pPr>
        <w:numPr>
          <w:ilvl w:val="0"/>
          <w:numId w:val="1000"/>
        </w:numPr>
        <w:pStyle w:val="CaptionedFigure"/>
      </w:pPr>
      <w:bookmarkStart w:id="45" w:name="fig:09"/>
      <w:r>
        <w:drawing>
          <wp:inline>
            <wp:extent cx="4940833" cy="3127401"/>
            <wp:effectExtent b="0" l="0" r="0" t="0"/>
            <wp:docPr descr="Figure 11: Использование bash-скрипта. 3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11: Использование bash-скрипта. 3</w:t>
      </w:r>
    </w:p>
    <w:bookmarkEnd w:id="0"/>
    <w:p>
      <w:pPr>
        <w:numPr>
          <w:ilvl w:val="0"/>
          <w:numId w:val="1005"/>
        </w:numPr>
      </w:pPr>
      <w:r>
        <w:t xml:space="preserve">В итоге получаем таблицу.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На основании предыдущей таблицы заполним таблицу «Минимальные права для совершения операций от имени пользователей входящих в группу».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—–w—-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</w:tr>
    </w:tbl>
    <w:bookmarkEnd w:id="46"/>
    <w:bookmarkEnd w:id="47"/>
    <w:bookmarkStart w:id="48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проблем. Работа с терминалом ОС Rocky Linux в данном случае нареканий не вызвала. Также порадовало наличие вкладок в терминале «из коробки».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практических навыков работы в консоли с атрибутами файлов для групп пользователей.</w:t>
      </w:r>
    </w:p>
    <w:bookmarkEnd w:id="49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51"/>
    <w:bookmarkStart w:id="53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53"/>
    <w:bookmarkStart w:id="55" w:name="ref-mode-group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2019. URL:</w:t>
      </w:r>
      <w:r>
        <w:t xml:space="preserve"> </w:t>
      </w:r>
      <w:hyperlink r:id="rId54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52" Target="https://codechick.io/tutorials/unix-linux/unix-linux-permissions" TargetMode="External" /><Relationship Type="http://schemas.openxmlformats.org/officeDocument/2006/relationships/hyperlink" Id="rId54" Target="https://habr.com/ru/articles/469667/" TargetMode="External" /><Relationship Type="http://schemas.openxmlformats.org/officeDocument/2006/relationships/hyperlink" Id="rId50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codechick.io/tutorials/unix-linux/unix-linux-permissions" TargetMode="External" /><Relationship Type="http://schemas.openxmlformats.org/officeDocument/2006/relationships/hyperlink" Id="rId54" Target="https://habr.com/ru/articles/469667/" TargetMode="External" /><Relationship Type="http://schemas.openxmlformats.org/officeDocument/2006/relationships/hyperlink" Id="rId50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Ким Михаил Алексеевич</dc:creator>
  <dc:language>ru-RU</dc:language>
  <cp:keywords/>
  <dcterms:created xsi:type="dcterms:W3CDTF">2023-09-23T13:20:13Z</dcterms:created>
  <dcterms:modified xsi:type="dcterms:W3CDTF">2023-09-23T13:20:13Z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