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3.png" ContentType="image/png"/>
  <Override PartName="/word/media/rId51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Развитие навыков администрирования ОС Linux. Получение первого практического знакомства с технологией SELinux. Проверка работы SELinx на практике совместно с веб-сервером Apache.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Произвести эксперименты с дополнительными атрибутами прав доступа.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</w:t>
      </w:r>
      <w:r>
        <w:t xml:space="preserve"> </w:t>
      </w:r>
      <w:r>
        <w:t xml:space="preserve">[2]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</w:t>
      </w:r>
      <w:r>
        <w:t xml:space="preserve"> </w:t>
      </w:r>
      <w:r>
        <w:t xml:space="preserve">[3]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SELinux (SELinux) — это система принудительного контроля доступа, реализованная на уровне ядра</w:t>
      </w:r>
      <w:r>
        <w:t xml:space="preserve"> </w:t>
      </w:r>
      <w:r>
        <w:t xml:space="preserve">[4]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Apache («Апачи», Apache HTTP Server) — это открытое кросс-платформенное программное обеспечение для размещения и поддержки веб-сервера</w:t>
      </w:r>
      <w:r>
        <w:t xml:space="preserve"> </w:t>
      </w:r>
      <w:r>
        <w:t xml:space="preserve">[5]</w:t>
      </w:r>
      <w:r>
        <w:t xml:space="preserve">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Войдем в систему с полученными учётными данными и убедимся, что SELinux работает в режиме enforcing политики targeted с помощью команд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sestatus</w:t>
      </w:r>
      <w:r>
        <w:t xml:space="preserve">.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4" w:name="fig:01"/>
      <w:r>
        <w:drawing>
          <wp:inline>
            <wp:extent cx="3112033" cy="2113109"/>
            <wp:effectExtent b="0" l="0" r="0" t="0"/>
            <wp:docPr descr="Figure 1: Проверка getenforce и sestatus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 1: Проверка getenforce и sestatus</w:t>
      </w:r>
    </w:p>
    <w:bookmarkEnd w:id="0"/>
    <w:p>
      <w:pPr>
        <w:numPr>
          <w:ilvl w:val="0"/>
          <w:numId w:val="1003"/>
        </w:numPr>
      </w:pPr>
      <w:r>
        <w:t xml:space="preserve">Обратимся с помощью браузера к веб-серверу, запущенному на компьютере, и убедимся, что последний работает: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. Предварительно установим пакет:</w:t>
      </w:r>
      <w:r>
        <w:t xml:space="preserve"> </w:t>
      </w:r>
      <w:r>
        <w:rPr>
          <w:rStyle w:val="VerbatimChar"/>
        </w:rPr>
        <w:t xml:space="preserve">sudo yum install httpd</w:t>
      </w:r>
      <w:r>
        <w:t xml:space="preserve">. Если не работает, запустим его так же, но с параметром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.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2"/>
    <w:p>
      <w:pPr>
        <w:numPr>
          <w:ilvl w:val="0"/>
          <w:numId w:val="1000"/>
        </w:numPr>
        <w:pStyle w:val="CaptionedFigure"/>
      </w:pPr>
      <w:bookmarkStart w:id="26" w:name="fig:02"/>
      <w:r>
        <w:drawing>
          <wp:inline>
            <wp:extent cx="4948517" cy="1575226"/>
            <wp:effectExtent b="0" l="0" r="0" t="0"/>
            <wp:docPr descr="Figure 2: Установка и проверка статуса httpd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15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 2: Установка и проверка статуса httpd</w:t>
      </w:r>
    </w:p>
    <w:bookmarkEnd w:id="0"/>
    <w:bookmarkStart w:id="0" w:name="fig:03"/>
    <w:p>
      <w:pPr>
        <w:numPr>
          <w:ilvl w:val="0"/>
          <w:numId w:val="1000"/>
        </w:numPr>
        <w:pStyle w:val="CaptionedFigure"/>
      </w:pPr>
      <w:bookmarkStart w:id="28" w:name="fig:03"/>
      <w:r>
        <w:drawing>
          <wp:inline>
            <wp:extent cx="5334000" cy="2533812"/>
            <wp:effectExtent b="0" l="0" r="0" t="0"/>
            <wp:docPr descr="Figure 3: Запуск httpd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 3: Запуск httpd</w:t>
      </w:r>
    </w:p>
    <w:bookmarkEnd w:id="0"/>
    <w:p>
      <w:pPr>
        <w:numPr>
          <w:ilvl w:val="0"/>
          <w:numId w:val="1003"/>
        </w:numPr>
      </w:pPr>
      <w:r>
        <w:t xml:space="preserve">Найдем веб-сервер Apache в списке процессов, определим его контекст безопасности и занесем эту информацию в отчёт. Например, можно использовать команды: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,</w:t>
      </w:r>
      <w:r>
        <w:t xml:space="preserve"> </w:t>
      </w:r>
      <w:r>
        <w:rPr>
          <w:rStyle w:val="VerbatimChar"/>
        </w:rPr>
        <w:t xml:space="preserve">ps -eZ | grep httpd</w:t>
      </w:r>
      <w:r>
        <w:t xml:space="preserve"> </w:t>
      </w:r>
      <w:r>
        <w:t xml:space="preserve">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30" w:name="fig:04"/>
      <w:r>
        <w:drawing>
          <wp:inline>
            <wp:extent cx="5334000" cy="1128540"/>
            <wp:effectExtent b="0" l="0" r="0" t="0"/>
            <wp:docPr descr="Figure 4: Контекст безопасности httpd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 4: Контекст безопасности httpd</w:t>
      </w:r>
    </w:p>
    <w:bookmarkEnd w:id="0"/>
    <w:p>
      <w:pPr>
        <w:numPr>
          <w:ilvl w:val="0"/>
          <w:numId w:val="1003"/>
        </w:numPr>
      </w:pPr>
      <w:r>
        <w:t xml:space="preserve">Посмотрим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 </w:t>
      </w:r>
      <w:r>
        <w:t xml:space="preserve">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5"/>
    <w:p>
      <w:pPr>
        <w:numPr>
          <w:ilvl w:val="0"/>
          <w:numId w:val="1000"/>
        </w:numPr>
        <w:pStyle w:val="CaptionedFigure"/>
      </w:pPr>
      <w:bookmarkStart w:id="32" w:name="fig:05"/>
      <w:r>
        <w:drawing>
          <wp:inline>
            <wp:extent cx="3234978" cy="6808053"/>
            <wp:effectExtent b="0" l="0" r="0" t="0"/>
            <wp:docPr descr="Figure 5: Текущее состояние переключателей SELinux для Apache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680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 5: Текущее состояние переключателей SELinux для Apache</w:t>
      </w:r>
    </w:p>
    <w:bookmarkEnd w:id="0"/>
    <w:p>
      <w:pPr>
        <w:numPr>
          <w:ilvl w:val="0"/>
          <w:numId w:val="1003"/>
        </w:numPr>
      </w:pPr>
      <w:r>
        <w:t xml:space="preserve">Посмотрим статистику по политике с помощью команды seinfo (предварительно установив необходимый пакет), также определим множество пользователей, ролей, типов. (рис.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6"/>
    <w:p>
      <w:pPr>
        <w:numPr>
          <w:ilvl w:val="0"/>
          <w:numId w:val="1000"/>
        </w:numPr>
        <w:pStyle w:val="CaptionedFigure"/>
      </w:pPr>
      <w:bookmarkStart w:id="34" w:name="fig:06"/>
      <w:r>
        <w:drawing>
          <wp:inline>
            <wp:extent cx="5334000" cy="8902791"/>
            <wp:effectExtent b="0" l="0" r="0" t="0"/>
            <wp:docPr descr="Figure 6: 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 6: Статистика по политике</w:t>
      </w:r>
    </w:p>
    <w:bookmarkEnd w:id="0"/>
    <w:p>
      <w:pPr>
        <w:numPr>
          <w:ilvl w:val="0"/>
          <w:numId w:val="1003"/>
        </w:numPr>
      </w:pPr>
      <w:r>
        <w:t xml:space="preserve">Определим тип файлов и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. Определим тип файлов, находящихся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ls -lZ /var/www/html</w:t>
      </w:r>
      <w:r>
        <w:t xml:space="preserve">. Определите круг пользователей, которым разрешено создание файлов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ll /var/www/html</w:t>
      </w:r>
      <w:r>
        <w:t xml:space="preserve">. Создадим от имени суперпользователя html-файл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следующего содержания (рис.</w:t>
      </w:r>
      <w:r>
        <w:t xml:space="preserve"> </w:t>
      </w:r>
      <w:hyperlink w:anchor="fig:07">
        <w:r>
          <w:rPr>
            <w:rStyle w:val="Hyperlink"/>
          </w:rPr>
          <w:t xml:space="preserve">7</w:t>
        </w:r>
      </w:hyperlink>
      <w:r>
        <w:t xml:space="preserve">):</w:t>
      </w:r>
      <w:r>
        <w:t xml:space="preserve"> </w:t>
      </w:r>
      <w:r>
        <w:rPr>
          <w:rStyle w:val="VerbatimChar"/>
        </w:rPr>
        <w:t xml:space="preserve">html     &lt;html&gt;     &lt;body&gt;test&lt;/body&gt;     &lt;/html&gt;</w:t>
      </w:r>
    </w:p>
    <w:bookmarkStart w:id="0" w:name="fig:07"/>
    <w:p>
      <w:pPr>
        <w:numPr>
          <w:ilvl w:val="0"/>
          <w:numId w:val="1000"/>
        </w:numPr>
        <w:pStyle w:val="CaptionedFigure"/>
      </w:pPr>
      <w:bookmarkStart w:id="36" w:name="fig:07"/>
      <w:r>
        <w:drawing>
          <wp:inline>
            <wp:extent cx="5334000" cy="1111855"/>
            <wp:effectExtent b="0" l="0" r="0" t="0"/>
            <wp:docPr descr="Figure 7: Определение параметров и создание простого html-файла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 7: Определение параметров и создание простого html-файла</w:t>
      </w:r>
    </w:p>
    <w:bookmarkEnd w:id="0"/>
    <w:p>
      <w:pPr>
        <w:numPr>
          <w:ilvl w:val="0"/>
          <w:numId w:val="1003"/>
        </w:numPr>
      </w:pPr>
      <w:r>
        <w:t xml:space="preserve">Проверим контекст созданного файла:</w:t>
      </w:r>
      <w:r>
        <w:t xml:space="preserve"> </w:t>
      </w:r>
      <w:r>
        <w:rPr>
          <w:rStyle w:val="VerbatimChar"/>
        </w:rPr>
        <w:t xml:space="preserve">ls -Z /var/www/html</w:t>
      </w:r>
      <w:r>
        <w:t xml:space="preserve">.(рис.</w:t>
      </w:r>
      <w:r>
        <w:t xml:space="preserve"> </w:t>
      </w:r>
      <w:hyperlink w:anchor="fig: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8"/>
    <w:p>
      <w:pPr>
        <w:numPr>
          <w:ilvl w:val="0"/>
          <w:numId w:val="1000"/>
        </w:numPr>
        <w:pStyle w:val="CaptionedFigure"/>
      </w:pPr>
      <w:bookmarkStart w:id="38" w:name="fig:08"/>
      <w:r>
        <w:drawing>
          <wp:inline>
            <wp:extent cx="3327186" cy="268941"/>
            <wp:effectExtent b="0" l="0" r="0" t="0"/>
            <wp:docPr descr="Figure 8: Контекст созданного файла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 8: Контекст созданного файла</w:t>
      </w:r>
    </w:p>
    <w:bookmarkEnd w:id="0"/>
    <w:p>
      <w:pPr>
        <w:numPr>
          <w:ilvl w:val="0"/>
          <w:numId w:val="1003"/>
        </w:numPr>
      </w:pPr>
      <w:r>
        <w:t xml:space="preserve">Обратимся к файлу через веб-сервер, введя в браузере адрес http://127.0.0.1/test.html. Убедимся, что файл был успешно отображён. (рис.</w:t>
      </w:r>
      <w:r>
        <w:t xml:space="preserve"> </w:t>
      </w:r>
      <w:hyperlink w:anchor="fig: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9"/>
    <w:p>
      <w:pPr>
        <w:numPr>
          <w:ilvl w:val="0"/>
          <w:numId w:val="1000"/>
        </w:numPr>
        <w:pStyle w:val="CaptionedFigure"/>
      </w:pPr>
      <w:bookmarkStart w:id="40" w:name="fig:09"/>
      <w:r>
        <w:drawing>
          <wp:inline>
            <wp:extent cx="3181189" cy="1183341"/>
            <wp:effectExtent b="0" l="0" r="0" t="0"/>
            <wp:docPr descr="Figure 9: Отображение файла test.html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 9: Отображение файла test.html</w:t>
      </w:r>
    </w:p>
    <w:bookmarkEnd w:id="0"/>
    <w:p>
      <w:pPr>
        <w:numPr>
          <w:ilvl w:val="0"/>
          <w:numId w:val="1003"/>
        </w:numPr>
      </w:pPr>
      <w:r>
        <w:t xml:space="preserve">Проверим контекст файла командой: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10"/>
    <w:p>
      <w:pPr>
        <w:numPr>
          <w:ilvl w:val="0"/>
          <w:numId w:val="1000"/>
        </w:numPr>
        <w:pStyle w:val="CaptionedFigure"/>
      </w:pPr>
      <w:bookmarkStart w:id="42" w:name="fig:10"/>
      <w:r>
        <w:drawing>
          <wp:inline>
            <wp:extent cx="4226218" cy="291993"/>
            <wp:effectExtent b="0" l="0" r="0" t="0"/>
            <wp:docPr descr="Figure 10: Проверка контекста файла test.html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 10: Проверка контекста файла test.html</w:t>
      </w:r>
    </w:p>
    <w:bookmarkEnd w:id="0"/>
    <w:p>
      <w:pPr>
        <w:numPr>
          <w:ilvl w:val="0"/>
          <w:numId w:val="1003"/>
        </w:numPr>
      </w:pPr>
      <w:r>
        <w:t xml:space="preserve">Изменим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</w:t>
      </w:r>
      <w:r>
        <w:t xml:space="preserve"> </w:t>
      </w:r>
      <w:r>
        <w:rPr>
          <w:rStyle w:val="VerbatimChar"/>
        </w:rPr>
        <w:t xml:space="preserve">httpd</w:t>
      </w:r>
      <w:r>
        <w:t xml:space="preserve"> </w:t>
      </w:r>
      <w:r>
        <w:t xml:space="preserve">не должен иметь доступа, например, на</w:t>
      </w:r>
      <w:r>
        <w:t xml:space="preserve"> </w:t>
      </w:r>
      <w:r>
        <w:rPr>
          <w:rStyle w:val="VerbatimChar"/>
        </w:rPr>
        <w:t xml:space="preserve">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. После этого проверим, что контекст поменялся. При попытку получить доступ к файлу получаем сообщение об ошибке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11"/>
    <w:p>
      <w:pPr>
        <w:numPr>
          <w:ilvl w:val="0"/>
          <w:numId w:val="1000"/>
        </w:numPr>
        <w:pStyle w:val="CaptionedFigure"/>
      </w:pPr>
      <w:bookmarkStart w:id="44" w:name="fig:11"/>
      <w:r>
        <w:drawing>
          <wp:inline>
            <wp:extent cx="4226218" cy="1821115"/>
            <wp:effectExtent b="0" l="0" r="0" t="0"/>
            <wp:docPr descr="Figure 11: Изменение контекста файла test.html. Попытка получения доступа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 11: Изменение контекста файла test.html. Попытка получения доступа</w:t>
      </w:r>
    </w:p>
    <w:bookmarkEnd w:id="0"/>
    <w:p>
      <w:pPr>
        <w:numPr>
          <w:ilvl w:val="0"/>
          <w:numId w:val="1003"/>
        </w:numPr>
      </w:pPr>
      <w:r>
        <w:t xml:space="preserve">Просмотрим log-файлы (рис.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12"/>
    <w:p>
      <w:pPr>
        <w:numPr>
          <w:ilvl w:val="0"/>
          <w:numId w:val="1000"/>
        </w:numPr>
        <w:pStyle w:val="CaptionedFigure"/>
      </w:pPr>
      <w:bookmarkStart w:id="46" w:name="fig:12"/>
      <w:r>
        <w:drawing>
          <wp:inline>
            <wp:extent cx="5334000" cy="3639084"/>
            <wp:effectExtent b="0" l="0" r="0" t="0"/>
            <wp:docPr descr="Figure 12: Log-файлы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Figure 12: Log-файлы</w:t>
      </w:r>
    </w:p>
    <w:bookmarkEnd w:id="0"/>
    <w:p>
      <w:pPr>
        <w:numPr>
          <w:ilvl w:val="0"/>
          <w:numId w:val="1003"/>
        </w:numPr>
      </w:pPr>
      <w:r>
        <w:t xml:space="preserve">Попробуем запустить веб-сервер Apache на прослушивание ТСР-порта 81 (а не 80, как рекомендует IANA и прописано в</w:t>
      </w:r>
      <w:r>
        <w:t xml:space="preserve"> </w:t>
      </w:r>
      <w:r>
        <w:rPr>
          <w:rStyle w:val="VerbatimChar"/>
        </w:rPr>
        <w:t xml:space="preserve">/etc/services</w:t>
      </w:r>
      <w:r>
        <w:t xml:space="preserve">). Для этого в файле</w:t>
      </w:r>
      <w:r>
        <w:t xml:space="preserve"> </w:t>
      </w:r>
      <w:r>
        <w:rPr>
          <w:rStyle w:val="VerbatimChar"/>
        </w:rPr>
        <w:t xml:space="preserve">/etc/httpd/httpd.conf</w:t>
      </w:r>
      <w:r>
        <w:t xml:space="preserve"> </w:t>
      </w:r>
      <w:r>
        <w:t xml:space="preserve">найдем строчку</w:t>
      </w:r>
      <w:r>
        <w:t xml:space="preserve"> </w:t>
      </w:r>
      <w:r>
        <w:rPr>
          <w:rStyle w:val="VerbatimChar"/>
        </w:rPr>
        <w:t xml:space="preserve">Listen 80</w:t>
      </w:r>
      <w:r>
        <w:t xml:space="preserve"> </w:t>
      </w:r>
      <w:r>
        <w:t xml:space="preserve">и заменим её на</w:t>
      </w:r>
      <w:r>
        <w:t xml:space="preserve"> </w:t>
      </w:r>
      <w:r>
        <w:rPr>
          <w:rStyle w:val="VerbatimChar"/>
        </w:rPr>
        <w:t xml:space="preserve">Listen 81</w:t>
      </w:r>
      <w:r>
        <w:t xml:space="preserve"> </w:t>
      </w:r>
      <w:r>
        <w:t xml:space="preserve">(рис.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13"/>
    <w:p>
      <w:pPr>
        <w:numPr>
          <w:ilvl w:val="0"/>
          <w:numId w:val="1000"/>
        </w:numPr>
        <w:pStyle w:val="CaptionedFigure"/>
      </w:pPr>
      <w:bookmarkStart w:id="48" w:name="fig:13"/>
      <w:r>
        <w:drawing>
          <wp:inline>
            <wp:extent cx="5334000" cy="6266001"/>
            <wp:effectExtent b="0" l="0" r="0" t="0"/>
            <wp:docPr descr="Figure 13: Запуск веб-сервера Apacht на TCP-порт 81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6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Figure 13: Запуск веб-сервера Apacht на TCP-порт 81</w:t>
      </w:r>
    </w:p>
    <w:bookmarkEnd w:id="0"/>
    <w:p>
      <w:pPr>
        <w:numPr>
          <w:ilvl w:val="0"/>
          <w:numId w:val="1003"/>
        </w:numPr>
      </w:pPr>
      <w:r>
        <w:t xml:space="preserve">Запустить веб-сервер удалось, т.к. TCP-порт 81 уже находится в списке прослушиваемых портов (рис.</w:t>
      </w:r>
      <w:r>
        <w:t xml:space="preserve"> </w:t>
      </w:r>
      <w:hyperlink w:anchor="fig: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14"/>
    <w:p>
      <w:pPr>
        <w:numPr>
          <w:ilvl w:val="0"/>
          <w:numId w:val="1000"/>
        </w:numPr>
        <w:pStyle w:val="CaptionedFigure"/>
      </w:pPr>
      <w:bookmarkStart w:id="50" w:name="fig:14"/>
      <w:r>
        <w:drawing>
          <wp:inline>
            <wp:extent cx="4956201" cy="683878"/>
            <wp:effectExtent b="0" l="0" r="0" t="0"/>
            <wp:docPr descr="Figure 14: Список прослушиваемых портов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Figure 14: Список прослушиваемых портов</w:t>
      </w:r>
    </w:p>
    <w:bookmarkEnd w:id="0"/>
    <w:p>
      <w:pPr>
        <w:numPr>
          <w:ilvl w:val="0"/>
          <w:numId w:val="1003"/>
        </w:numPr>
      </w:pPr>
      <w:r>
        <w:t xml:space="preserve">Вернем контекст httpd_sys_cоntent__t к файлу /var/www/html/ test.html: chcon -t httpd_sys_content_t /var/www/html/test.html. После этого попробуйте получить доступ к файлу через веб-сервер, введя в браузере адрес http://127.0.0.1:81/test.html. (рис.</w:t>
      </w:r>
      <w:r>
        <w:t xml:space="preserve"> </w:t>
      </w:r>
      <w:hyperlink w:anchor="fig:16">
        <w:r>
          <w:rPr>
            <w:rStyle w:val="Hyperlink"/>
          </w:rPr>
          <w:t xml:space="preserve">15</w:t>
        </w:r>
      </w:hyperlink>
      <w:r>
        <w:t xml:space="preserve">,</w:t>
      </w:r>
      <w:r>
        <w:t xml:space="preserve"> </w:t>
      </w:r>
      <w:hyperlink w:anchor="fig:15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16"/>
    <w:p>
      <w:pPr>
        <w:numPr>
          <w:ilvl w:val="0"/>
          <w:numId w:val="1000"/>
        </w:numPr>
        <w:pStyle w:val="CaptionedFigure"/>
      </w:pPr>
      <w:bookmarkStart w:id="52" w:name="fig:16"/>
      <w:r>
        <w:drawing>
          <wp:inline>
            <wp:extent cx="5334000" cy="1469330"/>
            <wp:effectExtent b="0" l="0" r="0" t="0"/>
            <wp:docPr descr="Figure 15: Обратное изменение контекста файла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Figure 15: Обратное изменение контекста файла</w:t>
      </w:r>
    </w:p>
    <w:bookmarkEnd w:id="0"/>
    <w:bookmarkStart w:id="0" w:name="fig:15"/>
    <w:p>
      <w:pPr>
        <w:numPr>
          <w:ilvl w:val="0"/>
          <w:numId w:val="1000"/>
        </w:numPr>
        <w:pStyle w:val="CaptionedFigure"/>
      </w:pPr>
      <w:bookmarkStart w:id="54" w:name="fig:15"/>
      <w:r>
        <w:drawing>
          <wp:inline>
            <wp:extent cx="5325035" cy="9128631"/>
            <wp:effectExtent b="0" l="0" r="0" t="0"/>
            <wp:docPr descr="Figure 16: Файл открывается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912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Figure 16: Файл открывается</w:t>
      </w:r>
    </w:p>
    <w:bookmarkEnd w:id="0"/>
    <w:p>
      <w:pPr>
        <w:numPr>
          <w:ilvl w:val="0"/>
          <w:numId w:val="1003"/>
        </w:numPr>
      </w:pPr>
      <w:r>
        <w:t xml:space="preserve">Исправим обратно конфигурационный файл apache, вернув Listen 80. (рис.</w:t>
      </w:r>
      <w:r>
        <w:t xml:space="preserve"> </w:t>
      </w:r>
      <w:hyperlink w:anchor="fig: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17"/>
    <w:p>
      <w:pPr>
        <w:numPr>
          <w:ilvl w:val="0"/>
          <w:numId w:val="1000"/>
        </w:numPr>
        <w:pStyle w:val="CaptionedFigure"/>
      </w:pPr>
      <w:bookmarkStart w:id="56" w:name="fig:17"/>
      <w:r>
        <w:drawing>
          <wp:inline>
            <wp:extent cx="5334000" cy="8599866"/>
            <wp:effectExtent b="0" l="0" r="0" t="0"/>
            <wp:docPr descr="Figure 17: Обратное изменение порта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9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0"/>
        </w:numPr>
        <w:pStyle w:val="ImageCaption"/>
      </w:pPr>
      <w:r>
        <w:t xml:space="preserve">Figure 17: Обратное изменение порта</w:t>
      </w:r>
    </w:p>
    <w:bookmarkEnd w:id="0"/>
    <w:p>
      <w:pPr>
        <w:numPr>
          <w:ilvl w:val="0"/>
          <w:numId w:val="1003"/>
        </w:numPr>
      </w:pPr>
      <w:r>
        <w:t xml:space="preserve">Удалить привязку http_port_t к 81 порту невозможно из-за политики (рис.</w:t>
      </w:r>
      <w:r>
        <w:t xml:space="preserve"> </w:t>
      </w:r>
      <w:hyperlink w:anchor="fig: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18"/>
    <w:p>
      <w:pPr>
        <w:numPr>
          <w:ilvl w:val="0"/>
          <w:numId w:val="1000"/>
        </w:numPr>
        <w:pStyle w:val="CaptionedFigure"/>
      </w:pPr>
      <w:bookmarkStart w:id="58" w:name="fig:18"/>
      <w:r>
        <w:drawing>
          <wp:inline>
            <wp:extent cx="3957277" cy="307361"/>
            <wp:effectExtent b="0" l="0" r="0" t="0"/>
            <wp:docPr descr="Figure 18: Попытка удаления привязки TCP-порта 81" title="" id="1" name="Picture"/>
            <a:graphic>
              <a:graphicData uri="http://schemas.openxmlformats.org/drawingml/2006/picture">
                <pic:pic>
                  <pic:nvPicPr>
                    <pic:cNvPr descr="image/Screenshot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0"/>
        </w:numPr>
        <w:pStyle w:val="ImageCaption"/>
      </w:pPr>
      <w:r>
        <w:t xml:space="preserve">Figure 18: Попытка удаления привязки TCP-порта 81</w:t>
      </w:r>
    </w:p>
    <w:bookmarkEnd w:id="0"/>
    <w:p>
      <w:pPr>
        <w:numPr>
          <w:ilvl w:val="0"/>
          <w:numId w:val="1003"/>
        </w:numPr>
      </w:pPr>
      <w:r>
        <w:t xml:space="preserve">Удалим 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rm /var/www/html/test.html</w:t>
      </w:r>
      <w:r>
        <w:t xml:space="preserve"> </w:t>
      </w:r>
      <w:r>
        <w:t xml:space="preserve">(рис.</w:t>
      </w:r>
      <w:r>
        <w:t xml:space="preserve"> </w:t>
      </w:r>
      <w:hyperlink w:anchor="fig: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19"/>
    <w:p>
      <w:pPr>
        <w:numPr>
          <w:ilvl w:val="0"/>
          <w:numId w:val="1000"/>
        </w:numPr>
        <w:pStyle w:val="CaptionedFigure"/>
      </w:pPr>
      <w:bookmarkStart w:id="60" w:name="fig:19"/>
      <w:r>
        <w:drawing>
          <wp:inline>
            <wp:extent cx="5002305" cy="2220685"/>
            <wp:effectExtent b="0" l="0" r="0" t="0"/>
            <wp:docPr descr="Figure 19: Удаление файла text.html" title="" id="1" name="Picture"/>
            <a:graphic>
              <a:graphicData uri="http://schemas.openxmlformats.org/drawingml/2006/picture">
                <pic:pic>
                  <pic:nvPicPr>
                    <pic:cNvPr descr="image/Screenshot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0"/>
        </w:numPr>
        <w:pStyle w:val="ImageCaption"/>
      </w:pPr>
      <w:r>
        <w:t xml:space="preserve">Figure 19: Удаление файла text.html</w:t>
      </w:r>
    </w:p>
    <w:bookmarkEnd w:id="0"/>
    <w:bookmarkEnd w:id="61"/>
    <w:bookmarkStart w:id="62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выполнена без каких-либо проблем. Работа с терминалом ОС Rocky Linux в данном случае нареканий не вызвала.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Развиты навыки администрирования ОС Linux. Полученое первое практическое знакомство с технологией SELinux. Проверена работа SELinx на практике совместно с веб-сервером Apache.</w:t>
      </w:r>
    </w:p>
    <w:bookmarkEnd w:id="63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65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4">
        <w:r>
          <w:rPr>
            <w:rStyle w:val="Hyperlink"/>
          </w:rPr>
          <w:t xml:space="preserve">{https://www.reg.ru/blog/linux-shpargalka-komandy-terminala-dlya-novichkov/}</w:t>
        </w:r>
      </w:hyperlink>
      <w:r>
        <w:t xml:space="preserve">.</w:t>
      </w:r>
    </w:p>
    <w:bookmarkEnd w:id="65"/>
    <w:bookmarkStart w:id="67" w:name="ref-m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6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67"/>
    <w:bookmarkStart w:id="69" w:name="ref-mode-att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Дополнительные атрибуты файлов</w:t>
      </w:r>
      <w:r>
        <w:t xml:space="preserve"> </w:t>
      </w:r>
      <w:r>
        <w:t xml:space="preserve">[Электронный ресурс]. Enchanted Technology, 2022. URL:</w:t>
      </w:r>
      <w:r>
        <w:t xml:space="preserve"> </w:t>
      </w:r>
      <w:hyperlink r:id="rId68">
        <w:r>
          <w:rPr>
            <w:rStyle w:val="Hyperlink"/>
          </w:rPr>
          <w:t xml:space="preserve">https://wiki.enchtex.info/doc/linux_file_attributes</w:t>
        </w:r>
      </w:hyperlink>
      <w:r>
        <w:t xml:space="preserve">.</w:t>
      </w:r>
    </w:p>
    <w:bookmarkEnd w:id="69"/>
    <w:bookmarkStart w:id="71" w:name="ref-selinux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SELinux – описание и особенности работы с системой. Часть 1</w:t>
      </w:r>
      <w:r>
        <w:t xml:space="preserve"> </w:t>
      </w:r>
      <w:r>
        <w:t xml:space="preserve">[Электронный ресурс]. Habr, 2014. URL:</w:t>
      </w:r>
      <w:r>
        <w:t xml:space="preserve"> </w:t>
      </w:r>
      <w:hyperlink r:id="rId70">
        <w:r>
          <w:rPr>
            <w:rStyle w:val="Hyperlink"/>
          </w:rPr>
          <w:t xml:space="preserve">https://habr.com/ru/companies/kingservers/articles/209644/</w:t>
        </w:r>
      </w:hyperlink>
      <w:r>
        <w:t xml:space="preserve">.</w:t>
      </w:r>
    </w:p>
    <w:bookmarkEnd w:id="71"/>
    <w:bookmarkStart w:id="73" w:name="ref-apache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Apache</w:t>
      </w:r>
      <w:r>
        <w:t xml:space="preserve"> </w:t>
      </w:r>
      <w:r>
        <w:t xml:space="preserve">[Электронный ресурс]. Skillfactory Media, 2023. URL:</w:t>
      </w:r>
      <w:r>
        <w:t xml:space="preserve"> </w:t>
      </w:r>
      <w:hyperlink r:id="rId72">
        <w:r>
          <w:rPr>
            <w:rStyle w:val="Hyperlink"/>
          </w:rPr>
          <w:t xml:space="preserve">https://blog.skillfactory.ru/glossary/apache/</w:t>
        </w:r>
      </w:hyperlink>
      <w:r>
        <w:t xml:space="preserve">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72" Target="https://blog.skillfactory.ru/glossary/apache/" TargetMode="External" /><Relationship Type="http://schemas.openxmlformats.org/officeDocument/2006/relationships/hyperlink" Id="rId66" Target="https://codechick.io/tutorials/unix-linux/unix-linux-permissions" TargetMode="External" /><Relationship Type="http://schemas.openxmlformats.org/officeDocument/2006/relationships/hyperlink" Id="rId70" Target="https://habr.com/ru/companies/kingservers/articles/209644/" TargetMode="External" /><Relationship Type="http://schemas.openxmlformats.org/officeDocument/2006/relationships/hyperlink" Id="rId68" Target="https://wiki.enchtex.info/doc/linux_file_attributes" TargetMode="External" /><Relationship Type="http://schemas.openxmlformats.org/officeDocument/2006/relationships/hyperlink" Id="rId64" Target="{https://www.reg.ru/blog/linux-shpargalka-komandy-terminala-dlya-novichkov/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blog.skillfactory.ru/glossary/apache/" TargetMode="External" /><Relationship Type="http://schemas.openxmlformats.org/officeDocument/2006/relationships/hyperlink" Id="rId66" Target="https://codechick.io/tutorials/unix-linux/unix-linux-permissions" TargetMode="External" /><Relationship Type="http://schemas.openxmlformats.org/officeDocument/2006/relationships/hyperlink" Id="rId70" Target="https://habr.com/ru/companies/kingservers/articles/209644/" TargetMode="External" /><Relationship Type="http://schemas.openxmlformats.org/officeDocument/2006/relationships/hyperlink" Id="rId68" Target="https://wiki.enchtex.info/doc/linux_file_attributes" TargetMode="External" /><Relationship Type="http://schemas.openxmlformats.org/officeDocument/2006/relationships/hyperlink" Id="rId64" Target="{https://www.reg.ru/blog/linux-shpargalka-komandy-terminala-dlya-novichkov/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Ким Михаил Алексеевич</dc:creator>
  <dc:language>ru-RU</dc:language>
  <cp:keywords/>
  <dcterms:created xsi:type="dcterms:W3CDTF">2023-10-22T23:16:15Z</dcterms:created>
  <dcterms:modified xsi:type="dcterms:W3CDTF">2023-10-22T23:16:15Z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