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Заявка: приток П1 и местные отсосы, соединения фланцевые.</w:t>
      </w:r>
    </w:p>
    <w:p>
      <w:r>
        <w:t>Система П1</w:t>
      </w:r>
    </w:p>
    <w:p>
      <w:r>
        <w:t>Короб ПП 600х300 δ=5 — 6 м</w:t>
      </w:r>
    </w:p>
    <w:p>
      <w:r>
        <w:t>Воздуховод прямоугольный ПП 600х300х5 L=1500 — 4 шт. — фланец/фланец</w:t>
      </w:r>
    </w:p>
    <w:p>
      <w:r>
        <w:t>Отвод 90° 600х300 — 2 шт.</w:t>
      </w:r>
    </w:p>
    <w:p>
      <w:r>
        <w:t>Переход 600х300/Ø400 L=400 — 1 шт. — фланец20/раструб</w:t>
      </w:r>
    </w:p>
    <w:p>
      <w:r>
        <w:t>Утка 600х300 со смещением 200 — 1 шт.</w:t>
      </w:r>
    </w:p>
    <w:p>
      <w:r>
        <w:t>Врезка Ø250 в воздуховод 600х300 — 2 шт.</w:t>
      </w:r>
    </w:p>
    <w:p>
      <w:r>
        <w:t>Решётка жалюзийная ПП 600х300 — 2 шт.</w:t>
      </w:r>
    </w:p>
    <w:p>
      <w:r>
        <w:t>Дроссель-клапан ПП 600х300 — 1 шт.</w:t>
      </w:r>
    </w:p>
    <w:p>
      <w:r>
        <w:t>Клапан огнезадерживающий КПУ-1М 600х300 — 1 шт.</w:t>
      </w:r>
    </w:p>
    <w:p>
      <w:r>
        <w:t>Шумоглушитель ГТК 1-4 600х300 — 1 шт.</w:t>
      </w:r>
    </w:p>
    <w:p>
      <w:r>
        <w:t>Шкаф управления вентилятором — 1 компл.</w:t>
      </w:r>
    </w:p>
    <w:p>
      <w:r>
        <w:t>Система В3 (местные отсосы)</w:t>
      </w:r>
    </w:p>
    <w:p>
      <w:r>
        <w:t>Зонт вытяжной над ванной 1200х800 — 2 шт.</w:t>
      </w:r>
    </w:p>
    <w:p>
      <w:r>
        <w:t>Воздуховоды из ПП с учётом фасонных изделий — 35 м2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