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0" w:name="X615472d9032e9e92a7ae4b0b4943234cf72e97d"/>
    <w:p>
      <w:pPr>
        <w:pStyle w:val="Heading1"/>
      </w:pPr>
      <w:r>
        <w:t xml:space="preserve">CyberMedica 2.0 Master Product Requirements Document</w:t>
      </w:r>
    </w:p>
    <w:bookmarkStart w:id="20" w:name="product-title"/>
    <w:p>
      <w:pPr>
        <w:pStyle w:val="Heading2"/>
      </w:pPr>
      <w:r>
        <w:t xml:space="preserve">Product title</w:t>
      </w:r>
    </w:p>
    <w:p>
      <w:pPr>
        <w:pStyle w:val="FirstParagraph"/>
      </w:pPr>
      <w:r>
        <w:rPr>
          <w:b/>
          <w:bCs/>
        </w:rPr>
        <w:t xml:space="preserve">CyberMedica 2.0: Exochained Clinical Research Site Quality Management System</w:t>
      </w:r>
    </w:p>
    <w:bookmarkEnd w:id="20"/>
    <w:bookmarkStart w:id="21" w:name="document-status"/>
    <w:p>
      <w:pPr>
        <w:pStyle w:val="Heading2"/>
      </w:pPr>
      <w:r>
        <w:t xml:space="preserve">Document status</w:t>
      </w:r>
    </w:p>
    <w:p>
      <w:pPr>
        <w:pStyle w:val="FirstParagraph"/>
      </w:pPr>
      <w:r>
        <w:t xml:space="preserve">Master Product Requirements Document. This document is intentionally comprehensive and non-phased. It defines the full target product, operating model, governance model, policies, procedures, controls, roles, rules, responsibilities, evidence objects, and system requirements. Implementation phases, release increments, and commercial packaging should be scoped from this master document after review.</w:t>
      </w:r>
    </w:p>
    <w:bookmarkEnd w:id="21"/>
    <w:bookmarkStart w:id="22" w:name="executive-summary"/>
    <w:p>
      <w:pPr>
        <w:pStyle w:val="Heading2"/>
      </w:pPr>
      <w:r>
        <w:t xml:space="preserve">Executive summary</w:t>
      </w:r>
    </w:p>
    <w:p>
      <w:pPr>
        <w:pStyle w:val="FirstParagraph"/>
      </w:pPr>
      <w:r>
        <w:t xml:space="preserve">CyberMedica 2.0 is a governed clinical research quality management platform that converts clinical research site quality standards into operational controls, auditable evidence, authority-gated workflows, AI-assisted oversight, and sponsor/CRO-ready readiness artifacts.</w:t>
      </w:r>
    </w:p>
    <w:p>
      <w:pPr>
        <w:pStyle w:val="BodyText"/>
      </w:pPr>
      <w:r>
        <w:t xml:space="preserve">The product is designed for clinical research sites, site networks, contract research organizations, academic medical centers, sponsors, ethics committees, quality leaders, and diligence teams that need reliable, verifiable, and operationally usable evidence that a clinical research site can conduct trials safely, ethically, consistently, and in conformance with defined quality requirements.</w:t>
      </w:r>
    </w:p>
    <w:p>
      <w:pPr>
        <w:pStyle w:val="BodyText"/>
      </w:pPr>
      <w:r>
        <w:t xml:space="preserve">CyberMedica 2.0 is not merely an electronic document repository, electronic trial master file, electronic quality management system, or workflow tool. It is a governed quality execution fabric. It treats quality assertions as evidence-backed, role-authorized, policy-controlled, time-bound, reviewable, contestable, and auditable objects.</w:t>
      </w:r>
    </w:p>
    <w:p>
      <w:pPr>
        <w:pStyle w:val="BodyText"/>
      </w:pPr>
      <w:r>
        <w:t xml:space="preserve">CyberMedica 2.0 operationalizes the quality management of clinical research sites through a combination of:</w:t>
      </w:r>
    </w:p>
    <w:p>
      <w:pPr>
        <w:pStyle w:val="Compact"/>
        <w:numPr>
          <w:ilvl w:val="0"/>
          <w:numId w:val="1001"/>
        </w:numPr>
      </w:pPr>
      <w:r>
        <w:t xml:space="preserve">A standards-derived control library.</w:t>
      </w:r>
    </w:p>
    <w:p>
      <w:pPr>
        <w:pStyle w:val="Compact"/>
        <w:numPr>
          <w:ilvl w:val="0"/>
          <w:numId w:val="1001"/>
        </w:numPr>
      </w:pPr>
      <w:r>
        <w:t xml:space="preserve">Site QMS self-assessment and readiness management.</w:t>
      </w:r>
    </w:p>
    <w:p>
      <w:pPr>
        <w:pStyle w:val="Compact"/>
        <w:numPr>
          <w:ilvl w:val="0"/>
          <w:numId w:val="1001"/>
        </w:numPr>
      </w:pPr>
      <w:r>
        <w:t xml:space="preserve">Protocol-specific feasibility and startup risk governance.</w:t>
      </w:r>
    </w:p>
    <w:p>
      <w:pPr>
        <w:pStyle w:val="Compact"/>
        <w:numPr>
          <w:ilvl w:val="0"/>
          <w:numId w:val="1001"/>
        </w:numPr>
      </w:pPr>
      <w:r>
        <w:t xml:space="preserve">AI-assisted quality review and evidence analysis.</w:t>
      </w:r>
    </w:p>
    <w:p>
      <w:pPr>
        <w:pStyle w:val="Compact"/>
        <w:numPr>
          <w:ilvl w:val="0"/>
          <w:numId w:val="1001"/>
        </w:numPr>
      </w:pPr>
      <w:r>
        <w:t xml:space="preserve">Human-governed decision forums.</w:t>
      </w:r>
    </w:p>
    <w:p>
      <w:pPr>
        <w:pStyle w:val="Compact"/>
        <w:numPr>
          <w:ilvl w:val="0"/>
          <w:numId w:val="1001"/>
        </w:numPr>
      </w:pPr>
      <w:r>
        <w:t xml:space="preserve">Authority, consent, delegation, recusal, conflict, and escalation gates.</w:t>
      </w:r>
    </w:p>
    <w:p>
      <w:pPr>
        <w:pStyle w:val="Compact"/>
        <w:numPr>
          <w:ilvl w:val="0"/>
          <w:numId w:val="1001"/>
        </w:numPr>
      </w:pPr>
      <w:r>
        <w:t xml:space="preserve">Evidence receipts and chain-of-custody records.</w:t>
      </w:r>
    </w:p>
    <w:p>
      <w:pPr>
        <w:pStyle w:val="Compact"/>
        <w:numPr>
          <w:ilvl w:val="0"/>
          <w:numId w:val="1001"/>
        </w:numPr>
      </w:pPr>
      <w:r>
        <w:t xml:space="preserve">Continuous quality improvement workflows.</w:t>
      </w:r>
    </w:p>
    <w:p>
      <w:pPr>
        <w:pStyle w:val="Compact"/>
        <w:numPr>
          <w:ilvl w:val="0"/>
          <w:numId w:val="1001"/>
        </w:numPr>
      </w:pPr>
      <w:r>
        <w:t xml:space="preserve">Sponsor/CRO diligence exports and trust views.</w:t>
      </w:r>
    </w:p>
    <w:p>
      <w:pPr>
        <w:pStyle w:val="Compact"/>
        <w:numPr>
          <w:ilvl w:val="0"/>
          <w:numId w:val="1001"/>
        </w:numPr>
      </w:pPr>
      <w:r>
        <w:t xml:space="preserve">Exochain-backed audit, provenance, custody, and governance primitives.</w:t>
      </w:r>
    </w:p>
    <w:p>
      <w:pPr>
        <w:pStyle w:val="FirstParagraph"/>
      </w:pPr>
      <w:r>
        <w:t xml:space="preserve">The intended outcome is to reduce quality uncertainty, startup friction, diligence burden, site variability, audit anxiety, and sponsor acquisition friction by giving all authorized stakeholders a governed view of whether a site is ready, competent, ethically aligned, documented, controlled, and continuously improving.</w:t>
      </w:r>
    </w:p>
    <w:bookmarkEnd w:id="22"/>
    <w:bookmarkStart w:id="23" w:name="product-vision"/>
    <w:p>
      <w:pPr>
        <w:pStyle w:val="Heading2"/>
      </w:pPr>
      <w:r>
        <w:t xml:space="preserve">Product vision</w:t>
      </w:r>
    </w:p>
    <w:p>
      <w:pPr>
        <w:pStyle w:val="FirstParagraph"/>
      </w:pPr>
      <w:r>
        <w:t xml:space="preserve">CyberMedica 2.0 will become the trusted clinical research site quality operating layer where standards, evidence, people, processes, risks, authorizations, and oversight converge into a single governed system of record.</w:t>
      </w:r>
    </w:p>
    <w:p>
      <w:pPr>
        <w:pStyle w:val="BodyText"/>
      </w:pPr>
      <w:r>
        <w:t xml:space="preserve">The product vision is to transform clinical research quality from episodic paper compliance into living operational trust.</w:t>
      </w:r>
    </w:p>
    <w:p>
      <w:pPr>
        <w:pStyle w:val="BodyText"/>
      </w:pPr>
      <w:r>
        <w:t xml:space="preserve">A clinical research site should be able to demonstrate, at any moment, not merely that it has documents, but that it has the right mission, policies, leadership controls, ethical framework, delegated authorities, trained workforce, risk processes, consent safeguards, protocol controls, clinical trial product controls, facility controls, monitoring evidence, deviation handling, CAPA discipline, and improvement loops to perform research safely and reliably.</w:t>
      </w:r>
    </w:p>
    <w:p>
      <w:pPr>
        <w:pStyle w:val="BodyText"/>
      </w:pPr>
      <w:r>
        <w:t xml:space="preserve">A CRO should be able to deploy CyberMedica 2.0 across sites and provide sponsors with a defensible quality readiness layer that accelerates site selection, startup, monitoring, corrective action, audit preparation, and portfolio governance.</w:t>
      </w:r>
    </w:p>
    <w:p>
      <w:pPr>
        <w:pStyle w:val="BodyText"/>
      </w:pPr>
      <w:r>
        <w:t xml:space="preserve">A sponsor or large-cap pharmaceutical company should be able to review CyberMedica outputs during diligence or business development and see whether a site, site network, CRO, asset, or trial execution environment is operationally good-to-go, what risks remain, what evidence supports readiness, and what decisions have been escalated or authorized.</w:t>
      </w:r>
    </w:p>
    <w:bookmarkEnd w:id="23"/>
    <w:bookmarkStart w:id="24" w:name="strategic-premise"/>
    <w:p>
      <w:pPr>
        <w:pStyle w:val="Heading2"/>
      </w:pPr>
      <w:r>
        <w:t xml:space="preserve">Strategic premise</w:t>
      </w:r>
    </w:p>
    <w:p>
      <w:pPr>
        <w:pStyle w:val="FirstParagraph"/>
      </w:pPr>
      <w:r>
        <w:t xml:space="preserve">Clinical research quality failures are rarely caused by the absence of a document alone. They arise when people, process, authority, training, risk awareness, consent, data integrity, ethics, and accountability are not operating as a coherent system.</w:t>
      </w:r>
    </w:p>
    <w:p>
      <w:pPr>
        <w:pStyle w:val="BodyText"/>
      </w:pPr>
      <w:r>
        <w:t xml:space="preserve">CyberMedica 2.0 is built on the premise that clinical research quality is a governance problem as much as a documentation problem. Therefore, the system must make the following continuously visible and enforceable:</w:t>
      </w:r>
    </w:p>
    <w:p>
      <w:pPr>
        <w:pStyle w:val="Compact"/>
        <w:numPr>
          <w:ilvl w:val="0"/>
          <w:numId w:val="1002"/>
        </w:numPr>
      </w:pPr>
      <w:r>
        <w:t xml:space="preserve">Who is responsible.</w:t>
      </w:r>
    </w:p>
    <w:p>
      <w:pPr>
        <w:pStyle w:val="Compact"/>
        <w:numPr>
          <w:ilvl w:val="0"/>
          <w:numId w:val="1002"/>
        </w:numPr>
      </w:pPr>
      <w:r>
        <w:t xml:space="preserve">Who is authorized.</w:t>
      </w:r>
    </w:p>
    <w:p>
      <w:pPr>
        <w:pStyle w:val="Compact"/>
        <w:numPr>
          <w:ilvl w:val="0"/>
          <w:numId w:val="1002"/>
        </w:numPr>
      </w:pPr>
      <w:r>
        <w:t xml:space="preserve">Who delegated authority.</w:t>
      </w:r>
    </w:p>
    <w:p>
      <w:pPr>
        <w:pStyle w:val="Compact"/>
        <w:numPr>
          <w:ilvl w:val="0"/>
          <w:numId w:val="1002"/>
        </w:numPr>
      </w:pPr>
      <w:r>
        <w:t xml:space="preserve">Whether the delegation is valid.</w:t>
      </w:r>
    </w:p>
    <w:p>
      <w:pPr>
        <w:pStyle w:val="Compact"/>
        <w:numPr>
          <w:ilvl w:val="0"/>
          <w:numId w:val="1002"/>
        </w:numPr>
      </w:pPr>
      <w:r>
        <w:t xml:space="preserve">What standard or control applies.</w:t>
      </w:r>
    </w:p>
    <w:p>
      <w:pPr>
        <w:pStyle w:val="Compact"/>
        <w:numPr>
          <w:ilvl w:val="0"/>
          <w:numId w:val="1002"/>
        </w:numPr>
      </w:pPr>
      <w:r>
        <w:t xml:space="preserve">What evidence exists.</w:t>
      </w:r>
    </w:p>
    <w:p>
      <w:pPr>
        <w:pStyle w:val="Compact"/>
        <w:numPr>
          <w:ilvl w:val="0"/>
          <w:numId w:val="1002"/>
        </w:numPr>
      </w:pPr>
      <w:r>
        <w:t xml:space="preserve">Whether the evidence is current.</w:t>
      </w:r>
    </w:p>
    <w:p>
      <w:pPr>
        <w:pStyle w:val="Compact"/>
        <w:numPr>
          <w:ilvl w:val="0"/>
          <w:numId w:val="1002"/>
        </w:numPr>
      </w:pPr>
      <w:r>
        <w:t xml:space="preserve">Whether the evidence has been reviewed.</w:t>
      </w:r>
    </w:p>
    <w:p>
      <w:pPr>
        <w:pStyle w:val="Compact"/>
        <w:numPr>
          <w:ilvl w:val="0"/>
          <w:numId w:val="1002"/>
        </w:numPr>
      </w:pPr>
      <w:r>
        <w:t xml:space="preserve">Whether the review had conflicts.</w:t>
      </w:r>
    </w:p>
    <w:p>
      <w:pPr>
        <w:pStyle w:val="Compact"/>
        <w:numPr>
          <w:ilvl w:val="0"/>
          <w:numId w:val="1002"/>
        </w:numPr>
      </w:pPr>
      <w:r>
        <w:t xml:space="preserve">Whether risks were identified.</w:t>
      </w:r>
    </w:p>
    <w:p>
      <w:pPr>
        <w:pStyle w:val="Compact"/>
        <w:numPr>
          <w:ilvl w:val="0"/>
          <w:numId w:val="1002"/>
        </w:numPr>
      </w:pPr>
      <w:r>
        <w:t xml:space="preserve">Whether mitigations were implemented.</w:t>
      </w:r>
    </w:p>
    <w:p>
      <w:pPr>
        <w:pStyle w:val="Compact"/>
        <w:numPr>
          <w:ilvl w:val="0"/>
          <w:numId w:val="1002"/>
        </w:numPr>
      </w:pPr>
      <w:r>
        <w:t xml:space="preserve">Whether human oversight occurred.</w:t>
      </w:r>
    </w:p>
    <w:p>
      <w:pPr>
        <w:pStyle w:val="Compact"/>
        <w:numPr>
          <w:ilvl w:val="0"/>
          <w:numId w:val="1002"/>
        </w:numPr>
      </w:pPr>
      <w:r>
        <w:t xml:space="preserve">Whether deviations were managed.</w:t>
      </w:r>
    </w:p>
    <w:p>
      <w:pPr>
        <w:pStyle w:val="Compact"/>
        <w:numPr>
          <w:ilvl w:val="0"/>
          <w:numId w:val="1002"/>
        </w:numPr>
      </w:pPr>
      <w:r>
        <w:t xml:space="preserve">Whether participants were protected.</w:t>
      </w:r>
    </w:p>
    <w:p>
      <w:pPr>
        <w:pStyle w:val="Compact"/>
        <w:numPr>
          <w:ilvl w:val="0"/>
          <w:numId w:val="1002"/>
        </w:numPr>
      </w:pPr>
      <w:r>
        <w:t xml:space="preserve">Whether data integrity was preserved.</w:t>
      </w:r>
    </w:p>
    <w:p>
      <w:pPr>
        <w:pStyle w:val="Compact"/>
        <w:numPr>
          <w:ilvl w:val="0"/>
          <w:numId w:val="1002"/>
        </w:numPr>
      </w:pPr>
      <w:r>
        <w:t xml:space="preserve">Whether sponsor/CRO/site obligations were met.</w:t>
      </w:r>
    </w:p>
    <w:p>
      <w:pPr>
        <w:pStyle w:val="Compact"/>
        <w:numPr>
          <w:ilvl w:val="0"/>
          <w:numId w:val="1002"/>
        </w:numPr>
      </w:pPr>
      <w:r>
        <w:t xml:space="preserve">Whether decisions were contestable.</w:t>
      </w:r>
    </w:p>
    <w:p>
      <w:pPr>
        <w:pStyle w:val="Compact"/>
        <w:numPr>
          <w:ilvl w:val="0"/>
          <w:numId w:val="1002"/>
        </w:numPr>
      </w:pPr>
      <w:r>
        <w:t xml:space="preserve">Whether audit records are complete.</w:t>
      </w:r>
    </w:p>
    <w:p>
      <w:pPr>
        <w:pStyle w:val="Compact"/>
        <w:numPr>
          <w:ilvl w:val="0"/>
          <w:numId w:val="1002"/>
        </w:numPr>
      </w:pPr>
      <w:r>
        <w:t xml:space="preserve">Whether quality improved.</w:t>
      </w:r>
    </w:p>
    <w:p>
      <w:pPr>
        <w:pStyle w:val="Compact"/>
        <w:numPr>
          <w:ilvl w:val="0"/>
          <w:numId w:val="1002"/>
        </w:numPr>
      </w:pPr>
      <w:r>
        <w:t xml:space="preserve">Whether the organization is keeping its promises.</w:t>
      </w:r>
    </w:p>
    <w:bookmarkEnd w:id="24"/>
    <w:bookmarkStart w:id="25" w:name="product-scope"/>
    <w:p>
      <w:pPr>
        <w:pStyle w:val="Heading2"/>
      </w:pPr>
      <w:r>
        <w:t xml:space="preserve">Product scope</w:t>
      </w:r>
    </w:p>
    <w:p>
      <w:pPr>
        <w:pStyle w:val="FirstParagraph"/>
      </w:pPr>
      <w:r>
        <w:t xml:space="preserve">CyberMedica 2.0 covers the quality management of clinical research site operations and protocol execution readiness. It focuses on site-level quality, governance, evidence, risk, training, documentation, participant protections, facility readiness, protocol implementation, communications, clinical trial product control, evaluation, assessment, audit, and continuous improvement.</w:t>
      </w:r>
    </w:p>
    <w:p>
      <w:pPr>
        <w:pStyle w:val="BodyText"/>
      </w:pPr>
      <w:r>
        <w:t xml:space="preserve">CyberMedica 2.0 does not replace the scientific design of the clinical trial protocol, sponsor clinical development strategy, statistical design, regulatory submission strategy, medical judgment, IRB/IEC legal authority, or statutory/regulatory obligations. Instead, it helps ensure that site-level execution, governance, and quality controls are fit for the protocol and supported by evidence.</w:t>
      </w:r>
    </w:p>
    <w:bookmarkEnd w:id="25"/>
    <w:bookmarkStart w:id="38" w:name="target-users-and-stakeholders"/>
    <w:p>
      <w:pPr>
        <w:pStyle w:val="Heading2"/>
      </w:pPr>
      <w:r>
        <w:t xml:space="preserve">Target users and stakeholders</w:t>
      </w:r>
    </w:p>
    <w:bookmarkStart w:id="36" w:name="primary-users"/>
    <w:p>
      <w:pPr>
        <w:pStyle w:val="Heading3"/>
      </w:pPr>
      <w:r>
        <w:t xml:space="preserve">Primary users</w:t>
      </w:r>
    </w:p>
    <w:bookmarkStart w:id="26" w:name="clinical-research-site-leaders"/>
    <w:p>
      <w:pPr>
        <w:pStyle w:val="Heading4"/>
      </w:pPr>
      <w:r>
        <w:t xml:space="preserve">Clinical Research Site Leaders</w:t>
      </w:r>
    </w:p>
    <w:p>
      <w:pPr>
        <w:pStyle w:val="FirstParagraph"/>
      </w:pPr>
      <w:r>
        <w:t xml:space="preserve">Clinical research site leaders are responsible for site mission, vision, values, strategy, resource allocation, ethical culture, quality commitment, risk posture, workforce capability, facility readiness, and stakeholder communications. They require dashboards, policy controls, review workflows, risk reports, readiness scores, staff competency views, and audit evidence.</w:t>
      </w:r>
    </w:p>
    <w:bookmarkEnd w:id="26"/>
    <w:bookmarkStart w:id="27" w:name="Xc9445a5f0d2d130f91516432481c417a154e2e2"/>
    <w:p>
      <w:pPr>
        <w:pStyle w:val="Heading4"/>
      </w:pPr>
      <w:r>
        <w:t xml:space="preserve">Principal Investigators and Investigators</w:t>
      </w:r>
    </w:p>
    <w:p>
      <w:pPr>
        <w:pStyle w:val="FirstParagraph"/>
      </w:pPr>
      <w:r>
        <w:t xml:space="preserve">Principal investigators and investigators are responsible for the conduct of clinical research at the site. They require protocol readiness views, delegation logs, training evidence, consent process controls, participant safety escalations, deviation reports, SAE/AE workflows, protocol amendments, and study conduct dashboards.</w:t>
      </w:r>
    </w:p>
    <w:bookmarkEnd w:id="27"/>
    <w:bookmarkStart w:id="28" w:name="X1932f9aaaae15a93208c3dc07548849d9e5dfae"/>
    <w:p>
      <w:pPr>
        <w:pStyle w:val="Heading4"/>
      </w:pPr>
      <w:r>
        <w:t xml:space="preserve">Clinical Research Coordinators and Site Staff</w:t>
      </w:r>
    </w:p>
    <w:p>
      <w:pPr>
        <w:pStyle w:val="FirstParagraph"/>
      </w:pPr>
      <w:r>
        <w:t xml:space="preserve">Clinical research coordinators and site staff execute study activities. They require role-based task queues, protocol-specific procedures, training requirements, checklists, consent workflows, visit/procedure reminders, specimen handling procedures, document access, deviation reporting, concern reporting, and evidence upload tools.</w:t>
      </w:r>
    </w:p>
    <w:bookmarkEnd w:id="28"/>
    <w:bookmarkStart w:id="29" w:name="quality-managers-and-quality-leads"/>
    <w:p>
      <w:pPr>
        <w:pStyle w:val="Heading4"/>
      </w:pPr>
      <w:r>
        <w:t xml:space="preserve">Quality Managers and Quality Leads</w:t>
      </w:r>
    </w:p>
    <w:p>
      <w:pPr>
        <w:pStyle w:val="FirstParagraph"/>
      </w:pPr>
      <w:r>
        <w:t xml:space="preserve">Quality managers are responsible for QMS operation, quality planning, risk management, nonconformity handling, CAPA, internal audits, document control, KPI monitoring, continuous improvement, and audit readiness. They require full control libraries, evidence status, risk registers, CAPA workflows, audit plans, training gap views, quality reports, and cross-site benchmarking.</w:t>
      </w:r>
    </w:p>
    <w:bookmarkEnd w:id="29"/>
    <w:bookmarkStart w:id="30" w:name="cro-operations-teams"/>
    <w:p>
      <w:pPr>
        <w:pStyle w:val="Heading4"/>
      </w:pPr>
      <w:r>
        <w:t xml:space="preserve">CRO Operations Teams</w:t>
      </w:r>
    </w:p>
    <w:p>
      <w:pPr>
        <w:pStyle w:val="FirstParagraph"/>
      </w:pPr>
      <w:r>
        <w:t xml:space="preserve">CRO operations teams manage site startup, monitoring, training, performance, issue escalation, sponsor reporting, and portfolio delivery. They require multi-site views, site readiness comparisons, monitoring findings, corrective action tracking, sponsor-facing exports, study startup status, site feasibility evidence, and exception escalation.</w:t>
      </w:r>
    </w:p>
    <w:bookmarkEnd w:id="30"/>
    <w:bookmarkStart w:id="31" w:name="X75d5e46bb93106f3ec31f658458520167686063"/>
    <w:p>
      <w:pPr>
        <w:pStyle w:val="Heading4"/>
      </w:pPr>
      <w:r>
        <w:t xml:space="preserve">Sponsor Quality and Clinical Operations Teams</w:t>
      </w:r>
    </w:p>
    <w:p>
      <w:pPr>
        <w:pStyle w:val="FirstParagraph"/>
      </w:pPr>
      <w:r>
        <w:t xml:space="preserve">Sponsors require visibility into whether sites and CROs can execute the protocol safely and reliably. They need controlled access to site readiness evidence, risk assessments, quality metrics, monitoring findings, deviations, consent controls, CAPA status, audit records, and study execution readiness.</w:t>
      </w:r>
    </w:p>
    <w:bookmarkEnd w:id="31"/>
    <w:bookmarkStart w:id="32" w:name="independent-ethics-committees-and-irbs"/>
    <w:p>
      <w:pPr>
        <w:pStyle w:val="Heading4"/>
      </w:pPr>
      <w:r>
        <w:t xml:space="preserve">Independent Ethics Committees and IRBs</w:t>
      </w:r>
    </w:p>
    <w:p>
      <w:pPr>
        <w:pStyle w:val="FirstParagraph"/>
      </w:pPr>
      <w:r>
        <w:t xml:space="preserve">IRBs and IECs retain their independent legal/ethical role. CyberMedica supports them by exposing appropriate protocol-related evidence, consent process artifacts, investigator/site suitability evidence, facility evidence, participant protection evidence, amendment/deviation workflows, and approved materials.</w:t>
      </w:r>
    </w:p>
    <w:bookmarkEnd w:id="32"/>
    <w:bookmarkStart w:id="33" w:name="X371fcba90c7fb1ee6fd366c8ed587f5c141d93f"/>
    <w:p>
      <w:pPr>
        <w:pStyle w:val="Heading4"/>
      </w:pPr>
      <w:r>
        <w:t xml:space="preserve">Surveyors, Auditors, Monitors, and Inspectors</w:t>
      </w:r>
    </w:p>
    <w:p>
      <w:pPr>
        <w:pStyle w:val="FirstParagraph"/>
      </w:pPr>
      <w:r>
        <w:t xml:space="preserve">Surveyors, auditors, monitors, and inspectors require evidence traceability, document version history, access logs, chain-of-custody, decision rationale, issue history, corrective actions, staff training records, role delegation records, and exportable inspection/audit packets.</w:t>
      </w:r>
    </w:p>
    <w:bookmarkEnd w:id="33"/>
    <w:bookmarkStart w:id="34" w:name="ai-irb-ai-quality-review-agents"/>
    <w:p>
      <w:pPr>
        <w:pStyle w:val="Heading4"/>
      </w:pPr>
      <w:r>
        <w:t xml:space="preserve">AI-IRB / AI Quality Review Agents</w:t>
      </w:r>
    </w:p>
    <w:p>
      <w:pPr>
        <w:pStyle w:val="FirstParagraph"/>
      </w:pPr>
      <w:r>
        <w:t xml:space="preserve">AI review agents assist with pre-screening, evidence completeness, risk identification, standards mapping, inconsistency detection, missing artifact detection, protocol-to-site fit analysis, consent readability review, trend detection, and decision support. They do not replace authorized human judgment.</w:t>
      </w:r>
    </w:p>
    <w:bookmarkEnd w:id="34"/>
    <w:bookmarkStart w:id="35" w:name="decision-forum-members"/>
    <w:p>
      <w:pPr>
        <w:pStyle w:val="Heading4"/>
      </w:pPr>
      <w:r>
        <w:t xml:space="preserve">Decision Forum Members</w:t>
      </w:r>
    </w:p>
    <w:p>
      <w:pPr>
        <w:pStyle w:val="FirstParagraph"/>
      </w:pPr>
      <w:r>
        <w:t xml:space="preserve">Decision Forum members participate in governance reviews, escalations, contested decisions, protocol readiness authorizations, quality exception approvals, urgent risk decisions, policy amendments, and cross-stakeholder deliberations.</w:t>
      </w:r>
    </w:p>
    <w:bookmarkEnd w:id="35"/>
    <w:bookmarkEnd w:id="36"/>
    <w:bookmarkStart w:id="37" w:name="secondary-stakeholders"/>
    <w:p>
      <w:pPr>
        <w:pStyle w:val="Heading3"/>
      </w:pPr>
      <w:r>
        <w:t xml:space="preserve">Secondary stakeholders</w:t>
      </w:r>
    </w:p>
    <w:p>
      <w:pPr>
        <w:pStyle w:val="FirstParagraph"/>
      </w:pPr>
      <w:r>
        <w:t xml:space="preserve">Secondary stakeholders include clinical trial participants, legally authorized representatives, patient advocacy organizations, hospital administrators, academic research offices, data safety monitoring boards, regulatory authorities, technology vendors, laboratories, pharmacies, imaging providers, logistics providers, data management vendors, and acquisition/diligence teams.</w:t>
      </w:r>
    </w:p>
    <w:bookmarkEnd w:id="37"/>
    <w:bookmarkEnd w:id="38"/>
    <w:bookmarkStart w:id="49" w:name="product-principles"/>
    <w:p>
      <w:pPr>
        <w:pStyle w:val="Heading2"/>
      </w:pPr>
      <w:r>
        <w:t xml:space="preserve">Product principles</w:t>
      </w:r>
    </w:p>
    <w:bookmarkStart w:id="39" w:name="principle-1-default-deny-governance"/>
    <w:p>
      <w:pPr>
        <w:pStyle w:val="Heading3"/>
      </w:pPr>
      <w:r>
        <w:t xml:space="preserve">Principle 1: Default-deny governance</w:t>
      </w:r>
    </w:p>
    <w:p>
      <w:pPr>
        <w:pStyle w:val="FirstParagraph"/>
      </w:pPr>
      <w:r>
        <w:t xml:space="preserve">No quality-critical action should proceed merely because a user can access a screen. Actions affecting participant safety, consent, protocol implementation, clinical trial product handling, evidence release, delegation, or sponsor-facing claims require valid authorization, applicable policy, current evidence, and appropriate oversight.</w:t>
      </w:r>
    </w:p>
    <w:bookmarkEnd w:id="39"/>
    <w:bookmarkStart w:id="40" w:name="X08b49dfc910f87f53e87ae7eb3f1a35d3f66b1f"/>
    <w:p>
      <w:pPr>
        <w:pStyle w:val="Heading3"/>
      </w:pPr>
      <w:r>
        <w:t xml:space="preserve">Principle 2: Human authority remains explicit</w:t>
      </w:r>
    </w:p>
    <w:p>
      <w:pPr>
        <w:pStyle w:val="FirstParagraph"/>
      </w:pPr>
      <w:r>
        <w:t xml:space="preserve">AI may analyze, recommend, summarize, compare, triage, and escalate. AI may not silently grant ethical approval, replace investigator responsibility, override participant rights, authorize enrollment, approve protocol deviations requiring human review, or certify readiness without accountable human authorization.</w:t>
      </w:r>
    </w:p>
    <w:bookmarkEnd w:id="40"/>
    <w:bookmarkStart w:id="41" w:name="principle-3-evidence-before-assertion"/>
    <w:p>
      <w:pPr>
        <w:pStyle w:val="Heading3"/>
      </w:pPr>
      <w:r>
        <w:t xml:space="preserve">Principle 3: Evidence before assertion</w:t>
      </w:r>
    </w:p>
    <w:p>
      <w:pPr>
        <w:pStyle w:val="FirstParagraph"/>
      </w:pPr>
      <w:r>
        <w:t xml:space="preserve">Every readiness claim, quality claim, compliance claim, training claim, facility claim, protocol claim, consent claim, and risk mitigation claim should be backed by traceable evidence or explicitly marked as unsupported, stale, pending, waived, not applicable, or contested.</w:t>
      </w:r>
    </w:p>
    <w:bookmarkEnd w:id="41"/>
    <w:bookmarkStart w:id="42" w:name="principle-4-standards-become-controls"/>
    <w:p>
      <w:pPr>
        <w:pStyle w:val="Heading3"/>
      </w:pPr>
      <w:r>
        <w:t xml:space="preserve">Principle 4: Standards become controls</w:t>
      </w:r>
    </w:p>
    <w:p>
      <w:pPr>
        <w:pStyle w:val="FirstParagraph"/>
      </w:pPr>
      <w:r>
        <w:t xml:space="preserve">Normative requirements are to be represented as control objects with owners, roles, evidence, review frequency, applicability, risk class, decision gates, dependencies, and audit trails.</w:t>
      </w:r>
    </w:p>
    <w:bookmarkEnd w:id="42"/>
    <w:bookmarkStart w:id="43" w:name="principle-5-quality-is-continuous"/>
    <w:p>
      <w:pPr>
        <w:pStyle w:val="Heading3"/>
      </w:pPr>
      <w:r>
        <w:t xml:space="preserve">Principle 5: Quality is continuous</w:t>
      </w:r>
    </w:p>
    <w:p>
      <w:pPr>
        <w:pStyle w:val="FirstParagraph"/>
      </w:pPr>
      <w:r>
        <w:t xml:space="preserve">The platform must not treat readiness as a one-time attestation. Evidence ages, staff change, protocols amend, risks emerge, deviations occur, facilities degrade, and stakeholder expectations evolve. Readiness must be continuously monitored and refreshed.</w:t>
      </w:r>
    </w:p>
    <w:bookmarkEnd w:id="43"/>
    <w:bookmarkStart w:id="44" w:name="X845193d80d6c0d5ea2b454c87938edf1cbdf036"/>
    <w:p>
      <w:pPr>
        <w:pStyle w:val="Heading3"/>
      </w:pPr>
      <w:r>
        <w:t xml:space="preserve">Principle 6: Participant protection is paramount</w:t>
      </w:r>
    </w:p>
    <w:p>
      <w:pPr>
        <w:pStyle w:val="FirstParagraph"/>
      </w:pPr>
      <w:r>
        <w:t xml:space="preserve">All workflows must prioritize the rights, safety, well-being, privacy, dignity, and informed participation of clinical trial participants.</w:t>
      </w:r>
    </w:p>
    <w:bookmarkEnd w:id="44"/>
    <w:bookmarkStart w:id="45" w:name="X7fa37dfaee9b1d4a6b31eff2e140ee05debc638"/>
    <w:p>
      <w:pPr>
        <w:pStyle w:val="Heading3"/>
      </w:pPr>
      <w:r>
        <w:t xml:space="preserve">Principle 7: Data integrity is non-negotiable</w:t>
      </w:r>
    </w:p>
    <w:p>
      <w:pPr>
        <w:pStyle w:val="FirstParagraph"/>
      </w:pPr>
      <w:r>
        <w:t xml:space="preserve">The platform must preserve ALCOAC-style expectations: attributable, legible, contemporaneous, original, accurate, and complete records, including secure retention, access control, version history, correction history, and audit trails.</w:t>
      </w:r>
    </w:p>
    <w:bookmarkEnd w:id="45"/>
    <w:bookmarkStart w:id="46" w:name="Xa637477fa85895fd0bf287d5761e014525ca965"/>
    <w:p>
      <w:pPr>
        <w:pStyle w:val="Heading3"/>
      </w:pPr>
      <w:r>
        <w:t xml:space="preserve">Principle 8: Contestability and recourse are built in</w:t>
      </w:r>
    </w:p>
    <w:p>
      <w:pPr>
        <w:pStyle w:val="FirstParagraph"/>
      </w:pPr>
      <w:r>
        <w:t xml:space="preserve">Material quality decisions must be reviewable and contestable. Users must be able to raise concerns, appeal, request clarification, disclose conflicts, recuse, document dissent, and escalate urgent risks.</w:t>
      </w:r>
    </w:p>
    <w:bookmarkEnd w:id="46"/>
    <w:bookmarkStart w:id="47" w:name="principle-9-privacy-by-design"/>
    <w:p>
      <w:pPr>
        <w:pStyle w:val="Heading3"/>
      </w:pPr>
      <w:r>
        <w:t xml:space="preserve">Principle 9: Privacy by design</w:t>
      </w:r>
    </w:p>
    <w:p>
      <w:pPr>
        <w:pStyle w:val="FirstParagraph"/>
      </w:pPr>
      <w:r>
        <w:t xml:space="preserve">The platform must minimize exposure of PHI, PII, commercially sensitive information, and sponsor-confidential protocol information. Exochain anchoring should use hashes, receipts, attestations, and proofs rather than public disclosure of protected content.</w:t>
      </w:r>
    </w:p>
    <w:bookmarkEnd w:id="47"/>
    <w:bookmarkStart w:id="48" w:name="X72394544942a1a6b2645826b00bb5f7e4a6dbb7"/>
    <w:p>
      <w:pPr>
        <w:pStyle w:val="Heading3"/>
      </w:pPr>
      <w:r>
        <w:t xml:space="preserve">Principle 10: Interoperability without loss of governance</w:t>
      </w:r>
    </w:p>
    <w:p>
      <w:pPr>
        <w:pStyle w:val="FirstParagraph"/>
      </w:pPr>
      <w:r>
        <w:t xml:space="preserve">CyberMedica must interoperate with CTMS, eTMF, eISF, EDC, eConsent, LMS, HRIS, QMS, IRB systems, document management systems, identity providers, and sponsor portals while preserving its own control, evidence, and audit semantics.</w:t>
      </w:r>
    </w:p>
    <w:bookmarkEnd w:id="48"/>
    <w:bookmarkEnd w:id="49"/>
    <w:bookmarkStart w:id="65" w:name="product-modules"/>
    <w:p>
      <w:pPr>
        <w:pStyle w:val="Heading2"/>
      </w:pPr>
      <w:r>
        <w:t xml:space="preserve">Product modules</w:t>
      </w:r>
    </w:p>
    <w:bookmarkStart w:id="50" w:name="standards-and-control-library"/>
    <w:p>
      <w:pPr>
        <w:pStyle w:val="Heading3"/>
      </w:pPr>
      <w:r>
        <w:t xml:space="preserve">1. Standards and Control Library</w:t>
      </w:r>
    </w:p>
    <w:p>
      <w:pPr>
        <w:pStyle w:val="FirstParagraph"/>
      </w:pPr>
      <w:r>
        <w:t xml:space="preserve">The Standards and Control Library stores machine-readable controls derived from the clinical research site QMS standard and related operating requirements. Controls must support mapping to clauses, subclauses, policies, procedures, evidence types, risk categories, owners, roles, review frequency, and applicability conditions.</w:t>
      </w:r>
    </w:p>
    <w:p>
      <w:pPr>
        <w:pStyle w:val="BodyText"/>
      </w:pPr>
      <w:r>
        <w:t xml:space="preserve">Each control must include:</w:t>
      </w:r>
    </w:p>
    <w:p>
      <w:pPr>
        <w:pStyle w:val="Compact"/>
        <w:numPr>
          <w:ilvl w:val="0"/>
          <w:numId w:val="1003"/>
        </w:numPr>
      </w:pPr>
      <w:r>
        <w:t xml:space="preserve">Control identifier.</w:t>
      </w:r>
    </w:p>
    <w:p>
      <w:pPr>
        <w:pStyle w:val="Compact"/>
        <w:numPr>
          <w:ilvl w:val="0"/>
          <w:numId w:val="1003"/>
        </w:numPr>
      </w:pPr>
      <w:r>
        <w:t xml:space="preserve">Control title.</w:t>
      </w:r>
    </w:p>
    <w:p>
      <w:pPr>
        <w:pStyle w:val="Compact"/>
        <w:numPr>
          <w:ilvl w:val="0"/>
          <w:numId w:val="1003"/>
        </w:numPr>
      </w:pPr>
      <w:r>
        <w:t xml:space="preserve">Source standard or policy reference.</w:t>
      </w:r>
    </w:p>
    <w:p>
      <w:pPr>
        <w:pStyle w:val="Compact"/>
        <w:numPr>
          <w:ilvl w:val="0"/>
          <w:numId w:val="1003"/>
        </w:numPr>
      </w:pPr>
      <w:r>
        <w:t xml:space="preserve">Normative statement.</w:t>
      </w:r>
    </w:p>
    <w:p>
      <w:pPr>
        <w:pStyle w:val="Compact"/>
        <w:numPr>
          <w:ilvl w:val="0"/>
          <w:numId w:val="1003"/>
        </w:numPr>
      </w:pPr>
      <w:r>
        <w:t xml:space="preserve">Plain-language explanation.</w:t>
      </w:r>
    </w:p>
    <w:p>
      <w:pPr>
        <w:pStyle w:val="Compact"/>
        <w:numPr>
          <w:ilvl w:val="0"/>
          <w:numId w:val="1003"/>
        </w:numPr>
      </w:pPr>
      <w:r>
        <w:t xml:space="preserve">Applicability criteria.</w:t>
      </w:r>
    </w:p>
    <w:p>
      <w:pPr>
        <w:pStyle w:val="Compact"/>
        <w:numPr>
          <w:ilvl w:val="0"/>
          <w:numId w:val="1003"/>
        </w:numPr>
      </w:pPr>
      <w:r>
        <w:t xml:space="preserve">Required owner role.</w:t>
      </w:r>
    </w:p>
    <w:p>
      <w:pPr>
        <w:pStyle w:val="Compact"/>
        <w:numPr>
          <w:ilvl w:val="0"/>
          <w:numId w:val="1003"/>
        </w:numPr>
      </w:pPr>
      <w:r>
        <w:t xml:space="preserve">Required approver role.</w:t>
      </w:r>
    </w:p>
    <w:p>
      <w:pPr>
        <w:pStyle w:val="Compact"/>
        <w:numPr>
          <w:ilvl w:val="0"/>
          <w:numId w:val="1003"/>
        </w:numPr>
      </w:pPr>
      <w:r>
        <w:t xml:space="preserve">Required reviewer role.</w:t>
      </w:r>
    </w:p>
    <w:p>
      <w:pPr>
        <w:pStyle w:val="Compact"/>
        <w:numPr>
          <w:ilvl w:val="0"/>
          <w:numId w:val="1003"/>
        </w:numPr>
      </w:pPr>
      <w:r>
        <w:t xml:space="preserve">Required evidence artifacts.</w:t>
      </w:r>
    </w:p>
    <w:p>
      <w:pPr>
        <w:pStyle w:val="Compact"/>
        <w:numPr>
          <w:ilvl w:val="0"/>
          <w:numId w:val="1003"/>
        </w:numPr>
      </w:pPr>
      <w:r>
        <w:t xml:space="preserve">Optional supporting evidence.</w:t>
      </w:r>
    </w:p>
    <w:p>
      <w:pPr>
        <w:pStyle w:val="Compact"/>
        <w:numPr>
          <w:ilvl w:val="0"/>
          <w:numId w:val="1003"/>
        </w:numPr>
      </w:pPr>
      <w:r>
        <w:t xml:space="preserve">Evidence freshness rules.</w:t>
      </w:r>
    </w:p>
    <w:p>
      <w:pPr>
        <w:pStyle w:val="Compact"/>
        <w:numPr>
          <w:ilvl w:val="0"/>
          <w:numId w:val="1003"/>
        </w:numPr>
      </w:pPr>
      <w:r>
        <w:t xml:space="preserve">Review frequency.</w:t>
      </w:r>
    </w:p>
    <w:p>
      <w:pPr>
        <w:pStyle w:val="Compact"/>
        <w:numPr>
          <w:ilvl w:val="0"/>
          <w:numId w:val="1003"/>
        </w:numPr>
      </w:pPr>
      <w:r>
        <w:t xml:space="preserve">Trigger events requiring reassessment.</w:t>
      </w:r>
    </w:p>
    <w:p>
      <w:pPr>
        <w:pStyle w:val="Compact"/>
        <w:numPr>
          <w:ilvl w:val="0"/>
          <w:numId w:val="1003"/>
        </w:numPr>
      </w:pPr>
      <w:r>
        <w:t xml:space="preserve">Risk criticality.</w:t>
      </w:r>
    </w:p>
    <w:p>
      <w:pPr>
        <w:pStyle w:val="Compact"/>
        <w:numPr>
          <w:ilvl w:val="0"/>
          <w:numId w:val="1003"/>
        </w:numPr>
      </w:pPr>
      <w:r>
        <w:t xml:space="preserve">Participant safety relevance.</w:t>
      </w:r>
    </w:p>
    <w:p>
      <w:pPr>
        <w:pStyle w:val="Compact"/>
        <w:numPr>
          <w:ilvl w:val="0"/>
          <w:numId w:val="1003"/>
        </w:numPr>
      </w:pPr>
      <w:r>
        <w:t xml:space="preserve">Data integrity relevance.</w:t>
      </w:r>
    </w:p>
    <w:p>
      <w:pPr>
        <w:pStyle w:val="Compact"/>
        <w:numPr>
          <w:ilvl w:val="0"/>
          <w:numId w:val="1003"/>
        </w:numPr>
      </w:pPr>
      <w:r>
        <w:t xml:space="preserve">Sponsor diligence relevance.</w:t>
      </w:r>
    </w:p>
    <w:p>
      <w:pPr>
        <w:pStyle w:val="Compact"/>
        <w:numPr>
          <w:ilvl w:val="0"/>
          <w:numId w:val="1003"/>
        </w:numPr>
      </w:pPr>
      <w:r>
        <w:t xml:space="preserve">IRB/IEC relevance.</w:t>
      </w:r>
    </w:p>
    <w:p>
      <w:pPr>
        <w:pStyle w:val="Compact"/>
        <w:numPr>
          <w:ilvl w:val="0"/>
          <w:numId w:val="1003"/>
        </w:numPr>
      </w:pPr>
      <w:r>
        <w:t xml:space="preserve">CRO oversight relevance.</w:t>
      </w:r>
    </w:p>
    <w:p>
      <w:pPr>
        <w:pStyle w:val="Compact"/>
        <w:numPr>
          <w:ilvl w:val="0"/>
          <w:numId w:val="1003"/>
        </w:numPr>
      </w:pPr>
      <w:r>
        <w:t xml:space="preserve">Site operational relevance.</w:t>
      </w:r>
    </w:p>
    <w:p>
      <w:pPr>
        <w:pStyle w:val="Compact"/>
        <w:numPr>
          <w:ilvl w:val="0"/>
          <w:numId w:val="1003"/>
        </w:numPr>
      </w:pPr>
      <w:r>
        <w:t xml:space="preserve">AI review prompts.</w:t>
      </w:r>
    </w:p>
    <w:p>
      <w:pPr>
        <w:pStyle w:val="Compact"/>
        <w:numPr>
          <w:ilvl w:val="0"/>
          <w:numId w:val="1003"/>
        </w:numPr>
      </w:pPr>
      <w:r>
        <w:t xml:space="preserve">Human review gates.</w:t>
      </w:r>
    </w:p>
    <w:p>
      <w:pPr>
        <w:pStyle w:val="Compact"/>
        <w:numPr>
          <w:ilvl w:val="0"/>
          <w:numId w:val="1003"/>
        </w:numPr>
      </w:pPr>
      <w:r>
        <w:t xml:space="preserve">Waiver rules.</w:t>
      </w:r>
    </w:p>
    <w:p>
      <w:pPr>
        <w:pStyle w:val="Compact"/>
        <w:numPr>
          <w:ilvl w:val="0"/>
          <w:numId w:val="1003"/>
        </w:numPr>
      </w:pPr>
      <w:r>
        <w:t xml:space="preserve">Escalation rules.</w:t>
      </w:r>
    </w:p>
    <w:p>
      <w:pPr>
        <w:pStyle w:val="Compact"/>
        <w:numPr>
          <w:ilvl w:val="0"/>
          <w:numId w:val="1003"/>
        </w:numPr>
      </w:pPr>
      <w:r>
        <w:t xml:space="preserve">CAPA linkage.</w:t>
      </w:r>
    </w:p>
    <w:p>
      <w:pPr>
        <w:pStyle w:val="Compact"/>
        <w:numPr>
          <w:ilvl w:val="0"/>
          <w:numId w:val="1003"/>
        </w:numPr>
      </w:pPr>
      <w:r>
        <w:t xml:space="preserve">Audit export mapping.</w:t>
      </w:r>
    </w:p>
    <w:p>
      <w:pPr>
        <w:pStyle w:val="Compact"/>
        <w:numPr>
          <w:ilvl w:val="0"/>
          <w:numId w:val="1003"/>
        </w:numPr>
      </w:pPr>
      <w:r>
        <w:t xml:space="preserve">Status.</w:t>
      </w:r>
    </w:p>
    <w:p>
      <w:pPr>
        <w:pStyle w:val="Compact"/>
        <w:numPr>
          <w:ilvl w:val="0"/>
          <w:numId w:val="1003"/>
        </w:numPr>
      </w:pPr>
      <w:r>
        <w:t xml:space="preserve">Version.</w:t>
      </w:r>
    </w:p>
    <w:p>
      <w:pPr>
        <w:pStyle w:val="Compact"/>
        <w:numPr>
          <w:ilvl w:val="0"/>
          <w:numId w:val="1003"/>
        </w:numPr>
      </w:pPr>
      <w:r>
        <w:t xml:space="preserve">Effective date.</w:t>
      </w:r>
    </w:p>
    <w:p>
      <w:pPr>
        <w:pStyle w:val="Compact"/>
        <w:numPr>
          <w:ilvl w:val="0"/>
          <w:numId w:val="1003"/>
        </w:numPr>
      </w:pPr>
      <w:r>
        <w:t xml:space="preserve">Retirement date.</w:t>
      </w:r>
    </w:p>
    <w:p>
      <w:pPr>
        <w:pStyle w:val="Compact"/>
        <w:numPr>
          <w:ilvl w:val="0"/>
          <w:numId w:val="1003"/>
        </w:numPr>
      </w:pPr>
      <w:r>
        <w:t xml:space="preserve">Change history.</w:t>
      </w:r>
    </w:p>
    <w:p>
      <w:pPr>
        <w:pStyle w:val="Compact"/>
        <w:numPr>
          <w:ilvl w:val="0"/>
          <w:numId w:val="1003"/>
        </w:numPr>
      </w:pPr>
      <w:r>
        <w:t xml:space="preserve">Control dependencies.</w:t>
      </w:r>
    </w:p>
    <w:p>
      <w:pPr>
        <w:pStyle w:val="Compact"/>
        <w:numPr>
          <w:ilvl w:val="0"/>
          <w:numId w:val="1003"/>
        </w:numPr>
      </w:pPr>
      <w:r>
        <w:t xml:space="preserve">Crosswalk mappings to other frameworks.</w:t>
      </w:r>
    </w:p>
    <w:bookmarkEnd w:id="50"/>
    <w:bookmarkStart w:id="51" w:name="site-qms-passport"/>
    <w:p>
      <w:pPr>
        <w:pStyle w:val="Heading3"/>
      </w:pPr>
      <w:r>
        <w:t xml:space="preserve">2. Site QMS Passport</w:t>
      </w:r>
    </w:p>
    <w:p>
      <w:pPr>
        <w:pStyle w:val="FirstParagraph"/>
      </w:pPr>
      <w:r>
        <w:t xml:space="preserve">The Site QMS Passport is a living trust profile for a clinical research site. It summarizes whether a site has the quality system, people, policies, controls, evidence, and performance capacity necessary to conduct clinical research.</w:t>
      </w:r>
    </w:p>
    <w:p>
      <w:pPr>
        <w:pStyle w:val="BodyText"/>
      </w:pPr>
      <w:r>
        <w:t xml:space="preserve">The Site QMS Passport must include:</w:t>
      </w:r>
    </w:p>
    <w:p>
      <w:pPr>
        <w:pStyle w:val="Compact"/>
        <w:numPr>
          <w:ilvl w:val="0"/>
          <w:numId w:val="1004"/>
        </w:numPr>
      </w:pPr>
      <w:r>
        <w:t xml:space="preserve">Site identity.</w:t>
      </w:r>
    </w:p>
    <w:p>
      <w:pPr>
        <w:pStyle w:val="Compact"/>
        <w:numPr>
          <w:ilvl w:val="0"/>
          <w:numId w:val="1004"/>
        </w:numPr>
      </w:pPr>
      <w:r>
        <w:t xml:space="preserve">Legal entity.</w:t>
      </w:r>
    </w:p>
    <w:p>
      <w:pPr>
        <w:pStyle w:val="Compact"/>
        <w:numPr>
          <w:ilvl w:val="0"/>
          <w:numId w:val="1004"/>
        </w:numPr>
      </w:pPr>
      <w:r>
        <w:t xml:space="preserve">Ownership and corporate structure.</w:t>
      </w:r>
    </w:p>
    <w:p>
      <w:pPr>
        <w:pStyle w:val="Compact"/>
        <w:numPr>
          <w:ilvl w:val="0"/>
          <w:numId w:val="1004"/>
        </w:numPr>
      </w:pPr>
      <w:r>
        <w:t xml:space="preserve">Site locations.</w:t>
      </w:r>
    </w:p>
    <w:p>
      <w:pPr>
        <w:pStyle w:val="Compact"/>
        <w:numPr>
          <w:ilvl w:val="0"/>
          <w:numId w:val="1004"/>
        </w:numPr>
      </w:pPr>
      <w:r>
        <w:t xml:space="preserve">Facility types.</w:t>
      </w:r>
    </w:p>
    <w:p>
      <w:pPr>
        <w:pStyle w:val="Compact"/>
        <w:numPr>
          <w:ilvl w:val="0"/>
          <w:numId w:val="1004"/>
        </w:numPr>
      </w:pPr>
      <w:r>
        <w:t xml:space="preserve">Therapeutic areas.</w:t>
      </w:r>
    </w:p>
    <w:p>
      <w:pPr>
        <w:pStyle w:val="Compact"/>
        <w:numPr>
          <w:ilvl w:val="0"/>
          <w:numId w:val="1004"/>
        </w:numPr>
      </w:pPr>
      <w:r>
        <w:t xml:space="preserve">Investigator roster.</w:t>
      </w:r>
    </w:p>
    <w:p>
      <w:pPr>
        <w:pStyle w:val="Compact"/>
        <w:numPr>
          <w:ilvl w:val="0"/>
          <w:numId w:val="1004"/>
        </w:numPr>
      </w:pPr>
      <w:r>
        <w:t xml:space="preserve">Principal investigator qualifications.</w:t>
      </w:r>
    </w:p>
    <w:p>
      <w:pPr>
        <w:pStyle w:val="Compact"/>
        <w:numPr>
          <w:ilvl w:val="0"/>
          <w:numId w:val="1004"/>
        </w:numPr>
      </w:pPr>
      <w:r>
        <w:t xml:space="preserve">Staff roster.</w:t>
      </w:r>
    </w:p>
    <w:p>
      <w:pPr>
        <w:pStyle w:val="Compact"/>
        <w:numPr>
          <w:ilvl w:val="0"/>
          <w:numId w:val="1004"/>
        </w:numPr>
      </w:pPr>
      <w:r>
        <w:t xml:space="preserve">Role definitions.</w:t>
      </w:r>
    </w:p>
    <w:p>
      <w:pPr>
        <w:pStyle w:val="Compact"/>
        <w:numPr>
          <w:ilvl w:val="0"/>
          <w:numId w:val="1004"/>
        </w:numPr>
      </w:pPr>
      <w:r>
        <w:t xml:space="preserve">Delegation logs.</w:t>
      </w:r>
    </w:p>
    <w:p>
      <w:pPr>
        <w:pStyle w:val="Compact"/>
        <w:numPr>
          <w:ilvl w:val="0"/>
          <w:numId w:val="1004"/>
        </w:numPr>
      </w:pPr>
      <w:r>
        <w:t xml:space="preserve">Competency records.</w:t>
      </w:r>
    </w:p>
    <w:p>
      <w:pPr>
        <w:pStyle w:val="Compact"/>
        <w:numPr>
          <w:ilvl w:val="0"/>
          <w:numId w:val="1004"/>
        </w:numPr>
      </w:pPr>
      <w:r>
        <w:t xml:space="preserve">Training records.</w:t>
      </w:r>
    </w:p>
    <w:p>
      <w:pPr>
        <w:pStyle w:val="Compact"/>
        <w:numPr>
          <w:ilvl w:val="0"/>
          <w:numId w:val="1004"/>
        </w:numPr>
      </w:pPr>
      <w:r>
        <w:t xml:space="preserve">Quality manager designation.</w:t>
      </w:r>
    </w:p>
    <w:p>
      <w:pPr>
        <w:pStyle w:val="Compact"/>
        <w:numPr>
          <w:ilvl w:val="0"/>
          <w:numId w:val="1004"/>
        </w:numPr>
      </w:pPr>
      <w:r>
        <w:t xml:space="preserve">Ethical framework.</w:t>
      </w:r>
    </w:p>
    <w:p>
      <w:pPr>
        <w:pStyle w:val="Compact"/>
        <w:numPr>
          <w:ilvl w:val="0"/>
          <w:numId w:val="1004"/>
        </w:numPr>
      </w:pPr>
      <w:r>
        <w:t xml:space="preserve">Mission, vision, and values.</w:t>
      </w:r>
    </w:p>
    <w:p>
      <w:pPr>
        <w:pStyle w:val="Compact"/>
        <w:numPr>
          <w:ilvl w:val="0"/>
          <w:numId w:val="1004"/>
        </w:numPr>
      </w:pPr>
      <w:r>
        <w:t xml:space="preserve">Site strategy.</w:t>
      </w:r>
    </w:p>
    <w:p>
      <w:pPr>
        <w:pStyle w:val="Compact"/>
        <w:numPr>
          <w:ilvl w:val="0"/>
          <w:numId w:val="1004"/>
        </w:numPr>
      </w:pPr>
      <w:r>
        <w:t xml:space="preserve">Organizational chart.</w:t>
      </w:r>
    </w:p>
    <w:p>
      <w:pPr>
        <w:pStyle w:val="Compact"/>
        <w:numPr>
          <w:ilvl w:val="0"/>
          <w:numId w:val="1004"/>
        </w:numPr>
      </w:pPr>
      <w:r>
        <w:t xml:space="preserve">Communication plan.</w:t>
      </w:r>
    </w:p>
    <w:p>
      <w:pPr>
        <w:pStyle w:val="Compact"/>
        <w:numPr>
          <w:ilvl w:val="0"/>
          <w:numId w:val="1004"/>
        </w:numPr>
      </w:pPr>
      <w:r>
        <w:t xml:space="preserve">Quality plan.</w:t>
      </w:r>
    </w:p>
    <w:p>
      <w:pPr>
        <w:pStyle w:val="Compact"/>
        <w:numPr>
          <w:ilvl w:val="0"/>
          <w:numId w:val="1004"/>
        </w:numPr>
      </w:pPr>
      <w:r>
        <w:t xml:space="preserve">Risk management framework.</w:t>
      </w:r>
    </w:p>
    <w:p>
      <w:pPr>
        <w:pStyle w:val="Compact"/>
        <w:numPr>
          <w:ilvl w:val="0"/>
          <w:numId w:val="1004"/>
        </w:numPr>
      </w:pPr>
      <w:r>
        <w:t xml:space="preserve">Document control status.</w:t>
      </w:r>
    </w:p>
    <w:p>
      <w:pPr>
        <w:pStyle w:val="Compact"/>
        <w:numPr>
          <w:ilvl w:val="0"/>
          <w:numId w:val="1004"/>
        </w:numPr>
      </w:pPr>
      <w:r>
        <w:t xml:space="preserve">SOP inventory.</w:t>
      </w:r>
    </w:p>
    <w:p>
      <w:pPr>
        <w:pStyle w:val="Compact"/>
        <w:numPr>
          <w:ilvl w:val="0"/>
          <w:numId w:val="1004"/>
        </w:numPr>
      </w:pPr>
      <w:r>
        <w:t xml:space="preserve">Equipment inventory.</w:t>
      </w:r>
    </w:p>
    <w:p>
      <w:pPr>
        <w:pStyle w:val="Compact"/>
        <w:numPr>
          <w:ilvl w:val="0"/>
          <w:numId w:val="1004"/>
        </w:numPr>
      </w:pPr>
      <w:r>
        <w:t xml:space="preserve">Calibration records.</w:t>
      </w:r>
    </w:p>
    <w:p>
      <w:pPr>
        <w:pStyle w:val="Compact"/>
        <w:numPr>
          <w:ilvl w:val="0"/>
          <w:numId w:val="1004"/>
        </w:numPr>
      </w:pPr>
      <w:r>
        <w:t xml:space="preserve">Facility readiness evidence.</w:t>
      </w:r>
    </w:p>
    <w:p>
      <w:pPr>
        <w:pStyle w:val="Compact"/>
        <w:numPr>
          <w:ilvl w:val="0"/>
          <w:numId w:val="1004"/>
        </w:numPr>
      </w:pPr>
      <w:r>
        <w:t xml:space="preserve">Clinical trial product handling readiness.</w:t>
      </w:r>
    </w:p>
    <w:p>
      <w:pPr>
        <w:pStyle w:val="Compact"/>
        <w:numPr>
          <w:ilvl w:val="0"/>
          <w:numId w:val="1004"/>
        </w:numPr>
      </w:pPr>
      <w:r>
        <w:t xml:space="preserve">Informed consent process readiness.</w:t>
      </w:r>
    </w:p>
    <w:p>
      <w:pPr>
        <w:pStyle w:val="Compact"/>
        <w:numPr>
          <w:ilvl w:val="0"/>
          <w:numId w:val="1004"/>
        </w:numPr>
      </w:pPr>
      <w:r>
        <w:t xml:space="preserve">Vulnerable population safeguards.</w:t>
      </w:r>
    </w:p>
    <w:p>
      <w:pPr>
        <w:pStyle w:val="Compact"/>
        <w:numPr>
          <w:ilvl w:val="0"/>
          <w:numId w:val="1004"/>
        </w:numPr>
      </w:pPr>
      <w:r>
        <w:t xml:space="preserve">SAE/AE reporting readiness.</w:t>
      </w:r>
    </w:p>
    <w:p>
      <w:pPr>
        <w:pStyle w:val="Compact"/>
        <w:numPr>
          <w:ilvl w:val="0"/>
          <w:numId w:val="1004"/>
        </w:numPr>
      </w:pPr>
      <w:r>
        <w:t xml:space="preserve">Deviation/CAPA readiness.</w:t>
      </w:r>
    </w:p>
    <w:p>
      <w:pPr>
        <w:pStyle w:val="Compact"/>
        <w:numPr>
          <w:ilvl w:val="0"/>
          <w:numId w:val="1004"/>
        </w:numPr>
      </w:pPr>
      <w:r>
        <w:t xml:space="preserve">Internal audit status.</w:t>
      </w:r>
    </w:p>
    <w:p>
      <w:pPr>
        <w:pStyle w:val="Compact"/>
        <w:numPr>
          <w:ilvl w:val="0"/>
          <w:numId w:val="1004"/>
        </w:numPr>
      </w:pPr>
      <w:r>
        <w:t xml:space="preserve">Performance objectives.</w:t>
      </w:r>
    </w:p>
    <w:p>
      <w:pPr>
        <w:pStyle w:val="Compact"/>
        <w:numPr>
          <w:ilvl w:val="0"/>
          <w:numId w:val="1004"/>
        </w:numPr>
      </w:pPr>
      <w:r>
        <w:t xml:space="preserve">KPI trends.</w:t>
      </w:r>
    </w:p>
    <w:p>
      <w:pPr>
        <w:pStyle w:val="Compact"/>
        <w:numPr>
          <w:ilvl w:val="0"/>
          <w:numId w:val="1004"/>
        </w:numPr>
      </w:pPr>
      <w:r>
        <w:t xml:space="preserve">Open findings.</w:t>
      </w:r>
    </w:p>
    <w:p>
      <w:pPr>
        <w:pStyle w:val="Compact"/>
        <w:numPr>
          <w:ilvl w:val="0"/>
          <w:numId w:val="1004"/>
        </w:numPr>
      </w:pPr>
      <w:r>
        <w:t xml:space="preserve">Closed findings.</w:t>
      </w:r>
    </w:p>
    <w:p>
      <w:pPr>
        <w:pStyle w:val="Compact"/>
        <w:numPr>
          <w:ilvl w:val="0"/>
          <w:numId w:val="1004"/>
        </w:numPr>
      </w:pPr>
      <w:r>
        <w:t xml:space="preserve">Sponsor-facing evidence summary.</w:t>
      </w:r>
    </w:p>
    <w:p>
      <w:pPr>
        <w:pStyle w:val="Compact"/>
        <w:numPr>
          <w:ilvl w:val="0"/>
          <w:numId w:val="1004"/>
        </w:numPr>
      </w:pPr>
      <w:r>
        <w:t xml:space="preserve">CRO-facing oversight summary.</w:t>
      </w:r>
    </w:p>
    <w:p>
      <w:pPr>
        <w:pStyle w:val="Compact"/>
        <w:numPr>
          <w:ilvl w:val="0"/>
          <w:numId w:val="1004"/>
        </w:numPr>
      </w:pPr>
      <w:r>
        <w:t xml:space="preserve">Regulatory/inspection history, if provided.</w:t>
      </w:r>
    </w:p>
    <w:p>
      <w:pPr>
        <w:pStyle w:val="Compact"/>
        <w:numPr>
          <w:ilvl w:val="0"/>
          <w:numId w:val="1004"/>
        </w:numPr>
      </w:pPr>
      <w:r>
        <w:t xml:space="preserve">Readiness status.</w:t>
      </w:r>
    </w:p>
    <w:p>
      <w:pPr>
        <w:pStyle w:val="Compact"/>
        <w:numPr>
          <w:ilvl w:val="0"/>
          <w:numId w:val="1004"/>
        </w:numPr>
      </w:pPr>
      <w:r>
        <w:t xml:space="preserve">Quality risk level.</w:t>
      </w:r>
    </w:p>
    <w:p>
      <w:pPr>
        <w:pStyle w:val="Compact"/>
        <w:numPr>
          <w:ilvl w:val="0"/>
          <w:numId w:val="1004"/>
        </w:numPr>
      </w:pPr>
      <w:r>
        <w:t xml:space="preserve">Evidence completeness score.</w:t>
      </w:r>
    </w:p>
    <w:p>
      <w:pPr>
        <w:pStyle w:val="Compact"/>
        <w:numPr>
          <w:ilvl w:val="0"/>
          <w:numId w:val="1004"/>
        </w:numPr>
      </w:pPr>
      <w:r>
        <w:t xml:space="preserve">Evidence freshness score.</w:t>
      </w:r>
    </w:p>
    <w:p>
      <w:pPr>
        <w:pStyle w:val="Compact"/>
        <w:numPr>
          <w:ilvl w:val="0"/>
          <w:numId w:val="1004"/>
        </w:numPr>
      </w:pPr>
      <w:r>
        <w:t xml:space="preserve">Open critical gaps.</w:t>
      </w:r>
    </w:p>
    <w:p>
      <w:pPr>
        <w:pStyle w:val="Compact"/>
        <w:numPr>
          <w:ilvl w:val="0"/>
          <w:numId w:val="1004"/>
        </w:numPr>
      </w:pPr>
      <w:r>
        <w:t xml:space="preserve">Open major gaps.</w:t>
      </w:r>
    </w:p>
    <w:p>
      <w:pPr>
        <w:pStyle w:val="Compact"/>
        <w:numPr>
          <w:ilvl w:val="0"/>
          <w:numId w:val="1004"/>
        </w:numPr>
      </w:pPr>
      <w:r>
        <w:t xml:space="preserve">Open minor gaps.</w:t>
      </w:r>
    </w:p>
    <w:p>
      <w:pPr>
        <w:pStyle w:val="Compact"/>
        <w:numPr>
          <w:ilvl w:val="0"/>
          <w:numId w:val="1004"/>
        </w:numPr>
      </w:pPr>
      <w:r>
        <w:t xml:space="preserve">Last review date.</w:t>
      </w:r>
    </w:p>
    <w:p>
      <w:pPr>
        <w:pStyle w:val="Compact"/>
        <w:numPr>
          <w:ilvl w:val="0"/>
          <w:numId w:val="1004"/>
        </w:numPr>
      </w:pPr>
      <w:r>
        <w:t xml:space="preserve">Next review due date.</w:t>
      </w:r>
    </w:p>
    <w:p>
      <w:pPr>
        <w:pStyle w:val="Compact"/>
        <w:numPr>
          <w:ilvl w:val="0"/>
          <w:numId w:val="1004"/>
        </w:numPr>
      </w:pPr>
      <w:r>
        <w:t xml:space="preserve">Decision Forum determinations.</w:t>
      </w:r>
    </w:p>
    <w:p>
      <w:pPr>
        <w:pStyle w:val="Compact"/>
        <w:numPr>
          <w:ilvl w:val="0"/>
          <w:numId w:val="1004"/>
        </w:numPr>
      </w:pPr>
      <w:r>
        <w:t xml:space="preserve">Exochain evidence receipt references.</w:t>
      </w:r>
    </w:p>
    <w:bookmarkEnd w:id="51"/>
    <w:bookmarkStart w:id="52" w:name="X642211ede0bd730612a9c206d2c32466ac61ae6"/>
    <w:p>
      <w:pPr>
        <w:pStyle w:val="Heading3"/>
      </w:pPr>
      <w:r>
        <w:t xml:space="preserve">3. Protocol Readiness and Trial Startup Governance</w:t>
      </w:r>
    </w:p>
    <w:p>
      <w:pPr>
        <w:pStyle w:val="FirstParagraph"/>
      </w:pPr>
      <w:r>
        <w:t xml:space="preserve">This module assesses whether a site is ready to accept and initiate a specific clinical research trial.</w:t>
      </w:r>
    </w:p>
    <w:p>
      <w:pPr>
        <w:pStyle w:val="BodyText"/>
      </w:pPr>
      <w:r>
        <w:t xml:space="preserve">The module must support:</w:t>
      </w:r>
    </w:p>
    <w:p>
      <w:pPr>
        <w:pStyle w:val="Compact"/>
        <w:numPr>
          <w:ilvl w:val="0"/>
          <w:numId w:val="1005"/>
        </w:numPr>
      </w:pPr>
      <w:r>
        <w:t xml:space="preserve">Protocol intake.</w:t>
      </w:r>
    </w:p>
    <w:p>
      <w:pPr>
        <w:pStyle w:val="Compact"/>
        <w:numPr>
          <w:ilvl w:val="0"/>
          <w:numId w:val="1005"/>
        </w:numPr>
      </w:pPr>
      <w:r>
        <w:t xml:space="preserve">Investigator brochure intake.</w:t>
      </w:r>
    </w:p>
    <w:p>
      <w:pPr>
        <w:pStyle w:val="Compact"/>
        <w:numPr>
          <w:ilvl w:val="0"/>
          <w:numId w:val="1005"/>
        </w:numPr>
      </w:pPr>
      <w:r>
        <w:t xml:space="preserve">Sponsor-provided materials intake.</w:t>
      </w:r>
    </w:p>
    <w:p>
      <w:pPr>
        <w:pStyle w:val="Compact"/>
        <w:numPr>
          <w:ilvl w:val="0"/>
          <w:numId w:val="1005"/>
        </w:numPr>
      </w:pPr>
      <w:r>
        <w:t xml:space="preserve">Clinical trial agreement intake.</w:t>
      </w:r>
    </w:p>
    <w:p>
      <w:pPr>
        <w:pStyle w:val="Compact"/>
        <w:numPr>
          <w:ilvl w:val="0"/>
          <w:numId w:val="1005"/>
        </w:numPr>
      </w:pPr>
      <w:r>
        <w:t xml:space="preserve">Site feasibility review.</w:t>
      </w:r>
    </w:p>
    <w:p>
      <w:pPr>
        <w:pStyle w:val="Compact"/>
        <w:numPr>
          <w:ilvl w:val="0"/>
          <w:numId w:val="1005"/>
        </w:numPr>
      </w:pPr>
      <w:r>
        <w:t xml:space="preserve">Financial feasibility review.</w:t>
      </w:r>
    </w:p>
    <w:p>
      <w:pPr>
        <w:pStyle w:val="Compact"/>
        <w:numPr>
          <w:ilvl w:val="0"/>
          <w:numId w:val="1005"/>
        </w:numPr>
      </w:pPr>
      <w:r>
        <w:t xml:space="preserve">Resource review.</w:t>
      </w:r>
    </w:p>
    <w:p>
      <w:pPr>
        <w:pStyle w:val="Compact"/>
        <w:numPr>
          <w:ilvl w:val="0"/>
          <w:numId w:val="1005"/>
        </w:numPr>
      </w:pPr>
      <w:r>
        <w:t xml:space="preserve">Staffing review.</w:t>
      </w:r>
    </w:p>
    <w:p>
      <w:pPr>
        <w:pStyle w:val="Compact"/>
        <w:numPr>
          <w:ilvl w:val="0"/>
          <w:numId w:val="1005"/>
        </w:numPr>
      </w:pPr>
      <w:r>
        <w:t xml:space="preserve">Skill-mix review.</w:t>
      </w:r>
    </w:p>
    <w:p>
      <w:pPr>
        <w:pStyle w:val="Compact"/>
        <w:numPr>
          <w:ilvl w:val="0"/>
          <w:numId w:val="1005"/>
        </w:numPr>
      </w:pPr>
      <w:r>
        <w:t xml:space="preserve">Facility requirement review.</w:t>
      </w:r>
    </w:p>
    <w:p>
      <w:pPr>
        <w:pStyle w:val="Compact"/>
        <w:numPr>
          <w:ilvl w:val="0"/>
          <w:numId w:val="1005"/>
        </w:numPr>
      </w:pPr>
      <w:r>
        <w:t xml:space="preserve">Equipment requirement review.</w:t>
      </w:r>
    </w:p>
    <w:p>
      <w:pPr>
        <w:pStyle w:val="Compact"/>
        <w:numPr>
          <w:ilvl w:val="0"/>
          <w:numId w:val="1005"/>
        </w:numPr>
      </w:pPr>
      <w:r>
        <w:t xml:space="preserve">Clinical trial product handling review.</w:t>
      </w:r>
    </w:p>
    <w:p>
      <w:pPr>
        <w:pStyle w:val="Compact"/>
        <w:numPr>
          <w:ilvl w:val="0"/>
          <w:numId w:val="1005"/>
        </w:numPr>
      </w:pPr>
      <w:r>
        <w:t xml:space="preserve">Recruitment feasibility review.</w:t>
      </w:r>
    </w:p>
    <w:p>
      <w:pPr>
        <w:pStyle w:val="Compact"/>
        <w:numPr>
          <w:ilvl w:val="0"/>
          <w:numId w:val="1005"/>
        </w:numPr>
      </w:pPr>
      <w:r>
        <w:t xml:space="preserve">Participant population review.</w:t>
      </w:r>
    </w:p>
    <w:p>
      <w:pPr>
        <w:pStyle w:val="Compact"/>
        <w:numPr>
          <w:ilvl w:val="0"/>
          <w:numId w:val="1005"/>
        </w:numPr>
      </w:pPr>
      <w:r>
        <w:t xml:space="preserve">Vulnerable population safeguards review.</w:t>
      </w:r>
    </w:p>
    <w:p>
      <w:pPr>
        <w:pStyle w:val="Compact"/>
        <w:numPr>
          <w:ilvl w:val="0"/>
          <w:numId w:val="1005"/>
        </w:numPr>
      </w:pPr>
      <w:r>
        <w:t xml:space="preserve">Informed consent process review.</w:t>
      </w:r>
    </w:p>
    <w:p>
      <w:pPr>
        <w:pStyle w:val="Compact"/>
        <w:numPr>
          <w:ilvl w:val="0"/>
          <w:numId w:val="1005"/>
        </w:numPr>
      </w:pPr>
      <w:r>
        <w:t xml:space="preserve">Data collection requirements review.</w:t>
      </w:r>
    </w:p>
    <w:p>
      <w:pPr>
        <w:pStyle w:val="Compact"/>
        <w:numPr>
          <w:ilvl w:val="0"/>
          <w:numId w:val="1005"/>
        </w:numPr>
      </w:pPr>
      <w:r>
        <w:t xml:space="preserve">Information management plan review.</w:t>
      </w:r>
    </w:p>
    <w:p>
      <w:pPr>
        <w:pStyle w:val="Compact"/>
        <w:numPr>
          <w:ilvl w:val="0"/>
          <w:numId w:val="1005"/>
        </w:numPr>
      </w:pPr>
      <w:r>
        <w:t xml:space="preserve">SAE/AE reporting requirements review.</w:t>
      </w:r>
    </w:p>
    <w:p>
      <w:pPr>
        <w:pStyle w:val="Compact"/>
        <w:numPr>
          <w:ilvl w:val="0"/>
          <w:numId w:val="1005"/>
        </w:numPr>
      </w:pPr>
      <w:r>
        <w:t xml:space="preserve">DSMB reporting requirements review.</w:t>
      </w:r>
    </w:p>
    <w:p>
      <w:pPr>
        <w:pStyle w:val="Compact"/>
        <w:numPr>
          <w:ilvl w:val="0"/>
          <w:numId w:val="1005"/>
        </w:numPr>
      </w:pPr>
      <w:r>
        <w:t xml:space="preserve">Vendor/subcontractor review.</w:t>
      </w:r>
    </w:p>
    <w:p>
      <w:pPr>
        <w:pStyle w:val="Compact"/>
        <w:numPr>
          <w:ilvl w:val="0"/>
          <w:numId w:val="1005"/>
        </w:numPr>
      </w:pPr>
      <w:r>
        <w:t xml:space="preserve">Laboratory review.</w:t>
      </w:r>
    </w:p>
    <w:p>
      <w:pPr>
        <w:pStyle w:val="Compact"/>
        <w:numPr>
          <w:ilvl w:val="0"/>
          <w:numId w:val="1005"/>
        </w:numPr>
      </w:pPr>
      <w:r>
        <w:t xml:space="preserve">Imaging review.</w:t>
      </w:r>
    </w:p>
    <w:p>
      <w:pPr>
        <w:pStyle w:val="Compact"/>
        <w:numPr>
          <w:ilvl w:val="0"/>
          <w:numId w:val="1005"/>
        </w:numPr>
      </w:pPr>
      <w:r>
        <w:t xml:space="preserve">Pharmacy review.</w:t>
      </w:r>
    </w:p>
    <w:p>
      <w:pPr>
        <w:pStyle w:val="Compact"/>
        <w:numPr>
          <w:ilvl w:val="0"/>
          <w:numId w:val="1005"/>
        </w:numPr>
      </w:pPr>
      <w:r>
        <w:t xml:space="preserve">Logistics review.</w:t>
      </w:r>
    </w:p>
    <w:p>
      <w:pPr>
        <w:pStyle w:val="Compact"/>
        <w:numPr>
          <w:ilvl w:val="0"/>
          <w:numId w:val="1005"/>
        </w:numPr>
      </w:pPr>
      <w:r>
        <w:t xml:space="preserve">Risk assessment.</w:t>
      </w:r>
    </w:p>
    <w:p>
      <w:pPr>
        <w:pStyle w:val="Compact"/>
        <w:numPr>
          <w:ilvl w:val="0"/>
          <w:numId w:val="1005"/>
        </w:numPr>
      </w:pPr>
      <w:r>
        <w:t xml:space="preserve">Benefit-risk documentation.</w:t>
      </w:r>
    </w:p>
    <w:p>
      <w:pPr>
        <w:pStyle w:val="Compact"/>
        <w:numPr>
          <w:ilvl w:val="0"/>
          <w:numId w:val="1005"/>
        </w:numPr>
      </w:pPr>
      <w:r>
        <w:t xml:space="preserve">Insurance/malpractice/negligence protections checklist.</w:t>
      </w:r>
    </w:p>
    <w:p>
      <w:pPr>
        <w:pStyle w:val="Compact"/>
        <w:numPr>
          <w:ilvl w:val="0"/>
          <w:numId w:val="1005"/>
        </w:numPr>
      </w:pPr>
      <w:r>
        <w:t xml:space="preserve">Regulatory requirement identification.</w:t>
      </w:r>
    </w:p>
    <w:p>
      <w:pPr>
        <w:pStyle w:val="Compact"/>
        <w:numPr>
          <w:ilvl w:val="0"/>
          <w:numId w:val="1005"/>
        </w:numPr>
      </w:pPr>
      <w:r>
        <w:t xml:space="preserve">Industry standard identification.</w:t>
      </w:r>
    </w:p>
    <w:p>
      <w:pPr>
        <w:pStyle w:val="Compact"/>
        <w:numPr>
          <w:ilvl w:val="0"/>
          <w:numId w:val="1005"/>
        </w:numPr>
      </w:pPr>
      <w:r>
        <w:t xml:space="preserve">IEC/IRB approval dependency tracking.</w:t>
      </w:r>
    </w:p>
    <w:p>
      <w:pPr>
        <w:pStyle w:val="Compact"/>
        <w:numPr>
          <w:ilvl w:val="0"/>
          <w:numId w:val="1005"/>
        </w:numPr>
      </w:pPr>
      <w:r>
        <w:t xml:space="preserve">Sponsor approval dependency tracking.</w:t>
      </w:r>
    </w:p>
    <w:p>
      <w:pPr>
        <w:pStyle w:val="Compact"/>
        <w:numPr>
          <w:ilvl w:val="0"/>
          <w:numId w:val="1005"/>
        </w:numPr>
      </w:pPr>
      <w:r>
        <w:t xml:space="preserve">Site authorization gate.</w:t>
      </w:r>
    </w:p>
    <w:p>
      <w:pPr>
        <w:pStyle w:val="Compact"/>
        <w:numPr>
          <w:ilvl w:val="0"/>
          <w:numId w:val="1005"/>
        </w:numPr>
      </w:pPr>
      <w:r>
        <w:t xml:space="preserve">Trial launch gate.</w:t>
      </w:r>
    </w:p>
    <w:p>
      <w:pPr>
        <w:pStyle w:val="Compact"/>
        <w:numPr>
          <w:ilvl w:val="0"/>
          <w:numId w:val="1005"/>
        </w:numPr>
      </w:pPr>
      <w:r>
        <w:t xml:space="preserve">Enrollment authorization gate.</w:t>
      </w:r>
    </w:p>
    <w:p>
      <w:pPr>
        <w:pStyle w:val="Compact"/>
        <w:numPr>
          <w:ilvl w:val="0"/>
          <w:numId w:val="1005"/>
        </w:numPr>
      </w:pPr>
      <w:r>
        <w:t xml:space="preserve">Readiness decision record.</w:t>
      </w:r>
    </w:p>
    <w:p>
      <w:pPr>
        <w:pStyle w:val="Compact"/>
        <w:numPr>
          <w:ilvl w:val="0"/>
          <w:numId w:val="1005"/>
        </w:numPr>
      </w:pPr>
      <w:r>
        <w:t xml:space="preserve">Escalation path for unresolved gaps.</w:t>
      </w:r>
    </w:p>
    <w:p>
      <w:pPr>
        <w:pStyle w:val="Compact"/>
        <w:numPr>
          <w:ilvl w:val="0"/>
          <w:numId w:val="1005"/>
        </w:numPr>
      </w:pPr>
      <w:r>
        <w:t xml:space="preserve">Sponsor-facing readiness packet.</w:t>
      </w:r>
    </w:p>
    <w:p>
      <w:pPr>
        <w:pStyle w:val="Compact"/>
        <w:numPr>
          <w:ilvl w:val="0"/>
          <w:numId w:val="1005"/>
        </w:numPr>
      </w:pPr>
      <w:r>
        <w:t xml:space="preserve">CRO operations readiness packet.</w:t>
      </w:r>
    </w:p>
    <w:p>
      <w:pPr>
        <w:pStyle w:val="Compact"/>
        <w:numPr>
          <w:ilvl w:val="0"/>
          <w:numId w:val="1005"/>
        </w:numPr>
      </w:pPr>
      <w:r>
        <w:t xml:space="preserve">Exochain anchored readiness receipt.</w:t>
      </w:r>
    </w:p>
    <w:bookmarkEnd w:id="52"/>
    <w:bookmarkStart w:id="53" w:name="ai-irb-ai-quality-review-layer"/>
    <w:p>
      <w:pPr>
        <w:pStyle w:val="Heading3"/>
      </w:pPr>
      <w:r>
        <w:t xml:space="preserve">4. AI-IRB / AI Quality Review Layer</w:t>
      </w:r>
    </w:p>
    <w:p>
      <w:pPr>
        <w:pStyle w:val="FirstParagraph"/>
      </w:pPr>
      <w:r>
        <w:t xml:space="preserve">The AI Quality Review Layer performs structured, explainable, controlled analysis over site evidence, protocols, consent materials, policies, procedures, deviations, CAPAs, training records, and QMS gaps.</w:t>
      </w:r>
    </w:p>
    <w:p>
      <w:pPr>
        <w:pStyle w:val="BodyText"/>
      </w:pPr>
      <w:r>
        <w:t xml:space="preserve">AI review functions must include:</w:t>
      </w:r>
    </w:p>
    <w:p>
      <w:pPr>
        <w:pStyle w:val="Compact"/>
        <w:numPr>
          <w:ilvl w:val="0"/>
          <w:numId w:val="1006"/>
        </w:numPr>
      </w:pPr>
      <w:r>
        <w:t xml:space="preserve">Clause-to-evidence mapping.</w:t>
      </w:r>
    </w:p>
    <w:p>
      <w:pPr>
        <w:pStyle w:val="Compact"/>
        <w:numPr>
          <w:ilvl w:val="0"/>
          <w:numId w:val="1006"/>
        </w:numPr>
      </w:pPr>
      <w:r>
        <w:t xml:space="preserve">Evidence completeness analysis.</w:t>
      </w:r>
    </w:p>
    <w:p>
      <w:pPr>
        <w:pStyle w:val="Compact"/>
        <w:numPr>
          <w:ilvl w:val="0"/>
          <w:numId w:val="1006"/>
        </w:numPr>
      </w:pPr>
      <w:r>
        <w:t xml:space="preserve">Evidence freshness analysis.</w:t>
      </w:r>
    </w:p>
    <w:p>
      <w:pPr>
        <w:pStyle w:val="Compact"/>
        <w:numPr>
          <w:ilvl w:val="0"/>
          <w:numId w:val="1006"/>
        </w:numPr>
      </w:pPr>
      <w:r>
        <w:t xml:space="preserve">Evidence contradiction detection.</w:t>
      </w:r>
    </w:p>
    <w:p>
      <w:pPr>
        <w:pStyle w:val="Compact"/>
        <w:numPr>
          <w:ilvl w:val="0"/>
          <w:numId w:val="1006"/>
        </w:numPr>
      </w:pPr>
      <w:r>
        <w:t xml:space="preserve">Policy/procedure gap detection.</w:t>
      </w:r>
    </w:p>
    <w:p>
      <w:pPr>
        <w:pStyle w:val="Compact"/>
        <w:numPr>
          <w:ilvl w:val="0"/>
          <w:numId w:val="1006"/>
        </w:numPr>
      </w:pPr>
      <w:r>
        <w:t xml:space="preserve">Protocol-to-site fit analysis.</w:t>
      </w:r>
    </w:p>
    <w:p>
      <w:pPr>
        <w:pStyle w:val="Compact"/>
        <w:numPr>
          <w:ilvl w:val="0"/>
          <w:numId w:val="1006"/>
        </w:numPr>
      </w:pPr>
      <w:r>
        <w:t xml:space="preserve">Consent readability analysis.</w:t>
      </w:r>
    </w:p>
    <w:p>
      <w:pPr>
        <w:pStyle w:val="Compact"/>
        <w:numPr>
          <w:ilvl w:val="0"/>
          <w:numId w:val="1006"/>
        </w:numPr>
      </w:pPr>
      <w:r>
        <w:t xml:space="preserve">Consent required-element analysis.</w:t>
      </w:r>
    </w:p>
    <w:p>
      <w:pPr>
        <w:pStyle w:val="Compact"/>
        <w:numPr>
          <w:ilvl w:val="0"/>
          <w:numId w:val="1006"/>
        </w:numPr>
      </w:pPr>
      <w:r>
        <w:t xml:space="preserve">Vulnerable population safeguard review.</w:t>
      </w:r>
    </w:p>
    <w:p>
      <w:pPr>
        <w:pStyle w:val="Compact"/>
        <w:numPr>
          <w:ilvl w:val="0"/>
          <w:numId w:val="1006"/>
        </w:numPr>
      </w:pPr>
      <w:r>
        <w:t xml:space="preserve">Recruitment ethics review.</w:t>
      </w:r>
    </w:p>
    <w:p>
      <w:pPr>
        <w:pStyle w:val="Compact"/>
        <w:numPr>
          <w:ilvl w:val="0"/>
          <w:numId w:val="1006"/>
        </w:numPr>
      </w:pPr>
      <w:r>
        <w:t xml:space="preserve">Risk assessment adequacy review.</w:t>
      </w:r>
    </w:p>
    <w:p>
      <w:pPr>
        <w:pStyle w:val="Compact"/>
        <w:numPr>
          <w:ilvl w:val="0"/>
          <w:numId w:val="1006"/>
        </w:numPr>
      </w:pPr>
      <w:r>
        <w:t xml:space="preserve">SAE/AE procedure completeness review.</w:t>
      </w:r>
    </w:p>
    <w:p>
      <w:pPr>
        <w:pStyle w:val="Compact"/>
        <w:numPr>
          <w:ilvl w:val="0"/>
          <w:numId w:val="1006"/>
        </w:numPr>
      </w:pPr>
      <w:r>
        <w:t xml:space="preserve">Deviation procedure completeness review.</w:t>
      </w:r>
    </w:p>
    <w:p>
      <w:pPr>
        <w:pStyle w:val="Compact"/>
        <w:numPr>
          <w:ilvl w:val="0"/>
          <w:numId w:val="1006"/>
        </w:numPr>
      </w:pPr>
      <w:r>
        <w:t xml:space="preserve">Information management plan review.</w:t>
      </w:r>
    </w:p>
    <w:p>
      <w:pPr>
        <w:pStyle w:val="Compact"/>
        <w:numPr>
          <w:ilvl w:val="0"/>
          <w:numId w:val="1006"/>
        </w:numPr>
      </w:pPr>
      <w:r>
        <w:t xml:space="preserve">ALCOAC support review.</w:t>
      </w:r>
    </w:p>
    <w:p>
      <w:pPr>
        <w:pStyle w:val="Compact"/>
        <w:numPr>
          <w:ilvl w:val="0"/>
          <w:numId w:val="1006"/>
        </w:numPr>
      </w:pPr>
      <w:r>
        <w:t xml:space="preserve">Training gap detection.</w:t>
      </w:r>
    </w:p>
    <w:p>
      <w:pPr>
        <w:pStyle w:val="Compact"/>
        <w:numPr>
          <w:ilvl w:val="0"/>
          <w:numId w:val="1006"/>
        </w:numPr>
      </w:pPr>
      <w:r>
        <w:t xml:space="preserve">Delegation mismatch detection.</w:t>
      </w:r>
    </w:p>
    <w:p>
      <w:pPr>
        <w:pStyle w:val="Compact"/>
        <w:numPr>
          <w:ilvl w:val="0"/>
          <w:numId w:val="1006"/>
        </w:numPr>
      </w:pPr>
      <w:r>
        <w:t xml:space="preserve">Qualification mismatch detection.</w:t>
      </w:r>
    </w:p>
    <w:p>
      <w:pPr>
        <w:pStyle w:val="Compact"/>
        <w:numPr>
          <w:ilvl w:val="0"/>
          <w:numId w:val="1006"/>
        </w:numPr>
      </w:pPr>
      <w:r>
        <w:t xml:space="preserve">Facility/equipment readiness review.</w:t>
      </w:r>
    </w:p>
    <w:p>
      <w:pPr>
        <w:pStyle w:val="Compact"/>
        <w:numPr>
          <w:ilvl w:val="0"/>
          <w:numId w:val="1006"/>
        </w:numPr>
      </w:pPr>
      <w:r>
        <w:t xml:space="preserve">Clinical trial product control review.</w:t>
      </w:r>
    </w:p>
    <w:p>
      <w:pPr>
        <w:pStyle w:val="Compact"/>
        <w:numPr>
          <w:ilvl w:val="0"/>
          <w:numId w:val="1006"/>
        </w:numPr>
      </w:pPr>
      <w:r>
        <w:t xml:space="preserve">Communication plan adequacy review.</w:t>
      </w:r>
    </w:p>
    <w:p>
      <w:pPr>
        <w:pStyle w:val="Compact"/>
        <w:numPr>
          <w:ilvl w:val="0"/>
          <w:numId w:val="1006"/>
        </w:numPr>
      </w:pPr>
      <w:r>
        <w:t xml:space="preserve">Open finding prioritization.</w:t>
      </w:r>
    </w:p>
    <w:p>
      <w:pPr>
        <w:pStyle w:val="Compact"/>
        <w:numPr>
          <w:ilvl w:val="0"/>
          <w:numId w:val="1006"/>
        </w:numPr>
      </w:pPr>
      <w:r>
        <w:t xml:space="preserve">CAPA root cause quality review.</w:t>
      </w:r>
    </w:p>
    <w:p>
      <w:pPr>
        <w:pStyle w:val="Compact"/>
        <w:numPr>
          <w:ilvl w:val="0"/>
          <w:numId w:val="1006"/>
        </w:numPr>
      </w:pPr>
      <w:r>
        <w:t xml:space="preserve">CAPA effectiveness check suggestions.</w:t>
      </w:r>
    </w:p>
    <w:p>
      <w:pPr>
        <w:pStyle w:val="Compact"/>
        <w:numPr>
          <w:ilvl w:val="0"/>
          <w:numId w:val="1006"/>
        </w:numPr>
      </w:pPr>
      <w:r>
        <w:t xml:space="preserve">KPI trend anomaly detection.</w:t>
      </w:r>
    </w:p>
    <w:p>
      <w:pPr>
        <w:pStyle w:val="Compact"/>
        <w:numPr>
          <w:ilvl w:val="0"/>
          <w:numId w:val="1006"/>
        </w:numPr>
      </w:pPr>
      <w:r>
        <w:t xml:space="preserve">Sponsor diligence summary generation.</w:t>
      </w:r>
    </w:p>
    <w:p>
      <w:pPr>
        <w:pStyle w:val="Compact"/>
        <w:numPr>
          <w:ilvl w:val="0"/>
          <w:numId w:val="1006"/>
        </w:numPr>
      </w:pPr>
      <w:r>
        <w:t xml:space="preserve">Audit packet assembly recommendations.</w:t>
      </w:r>
    </w:p>
    <w:p>
      <w:pPr>
        <w:pStyle w:val="Compact"/>
        <w:numPr>
          <w:ilvl w:val="0"/>
          <w:numId w:val="1006"/>
        </w:numPr>
      </w:pPr>
      <w:r>
        <w:t xml:space="preserve">Decision Forum brief generation.</w:t>
      </w:r>
    </w:p>
    <w:p>
      <w:pPr>
        <w:pStyle w:val="Compact"/>
        <w:numPr>
          <w:ilvl w:val="0"/>
          <w:numId w:val="1006"/>
        </w:numPr>
      </w:pPr>
      <w:r>
        <w:t xml:space="preserve">Escalation recommendations.</w:t>
      </w:r>
    </w:p>
    <w:p>
      <w:pPr>
        <w:pStyle w:val="Compact"/>
        <w:numPr>
          <w:ilvl w:val="0"/>
          <w:numId w:val="1006"/>
        </w:numPr>
      </w:pPr>
      <w:r>
        <w:t xml:space="preserve">Human review prompt generation.</w:t>
      </w:r>
    </w:p>
    <w:p>
      <w:pPr>
        <w:pStyle w:val="FirstParagraph"/>
      </w:pPr>
      <w:r>
        <w:t xml:space="preserve">AI outputs must be labeled as assistance, not final authority. Every AI recommendation must include the evidence used, confidence level, limits of analysis, unresolved assumptions, potential conflicts, and recommended human reviewer role.</w:t>
      </w:r>
    </w:p>
    <w:bookmarkEnd w:id="53"/>
    <w:bookmarkStart w:id="54" w:name="empowered-decision-forum"/>
    <w:p>
      <w:pPr>
        <w:pStyle w:val="Heading3"/>
      </w:pPr>
      <w:r>
        <w:t xml:space="preserve">5. Empowered Decision Forum</w:t>
      </w:r>
    </w:p>
    <w:p>
      <w:pPr>
        <w:pStyle w:val="FirstParagraph"/>
      </w:pPr>
      <w:r>
        <w:t xml:space="preserve">The Empowered Decision Forum is the human-governed review and decision layer for material quality, risk, readiness, policy, and exception decisions.</w:t>
      </w:r>
    </w:p>
    <w:p>
      <w:pPr>
        <w:pStyle w:val="BodyText"/>
      </w:pPr>
      <w:r>
        <w:t xml:space="preserve">Decision Forum functions must include:</w:t>
      </w:r>
    </w:p>
    <w:p>
      <w:pPr>
        <w:pStyle w:val="Compact"/>
        <w:numPr>
          <w:ilvl w:val="0"/>
          <w:numId w:val="1007"/>
        </w:numPr>
      </w:pPr>
      <w:r>
        <w:t xml:space="preserve">Create decision matter.</w:t>
      </w:r>
    </w:p>
    <w:p>
      <w:pPr>
        <w:pStyle w:val="Compact"/>
        <w:numPr>
          <w:ilvl w:val="0"/>
          <w:numId w:val="1007"/>
        </w:numPr>
      </w:pPr>
      <w:r>
        <w:t xml:space="preserve">Define decision type.</w:t>
      </w:r>
    </w:p>
    <w:p>
      <w:pPr>
        <w:pStyle w:val="Compact"/>
        <w:numPr>
          <w:ilvl w:val="0"/>
          <w:numId w:val="1007"/>
        </w:numPr>
      </w:pPr>
      <w:r>
        <w:t xml:space="preserve">Attach evidence bundle.</w:t>
      </w:r>
    </w:p>
    <w:p>
      <w:pPr>
        <w:pStyle w:val="Compact"/>
        <w:numPr>
          <w:ilvl w:val="0"/>
          <w:numId w:val="1007"/>
        </w:numPr>
      </w:pPr>
      <w:r>
        <w:t xml:space="preserve">Attach AI analysis.</w:t>
      </w:r>
    </w:p>
    <w:p>
      <w:pPr>
        <w:pStyle w:val="Compact"/>
        <w:numPr>
          <w:ilvl w:val="0"/>
          <w:numId w:val="1007"/>
        </w:numPr>
      </w:pPr>
      <w:r>
        <w:t xml:space="preserve">Identify applicable controls.</w:t>
      </w:r>
    </w:p>
    <w:p>
      <w:pPr>
        <w:pStyle w:val="Compact"/>
        <w:numPr>
          <w:ilvl w:val="0"/>
          <w:numId w:val="1007"/>
        </w:numPr>
      </w:pPr>
      <w:r>
        <w:t xml:space="preserve">Identify required quorum.</w:t>
      </w:r>
    </w:p>
    <w:p>
      <w:pPr>
        <w:pStyle w:val="Compact"/>
        <w:numPr>
          <w:ilvl w:val="0"/>
          <w:numId w:val="1007"/>
        </w:numPr>
      </w:pPr>
      <w:r>
        <w:t xml:space="preserve">Identify required voting roles.</w:t>
      </w:r>
    </w:p>
    <w:p>
      <w:pPr>
        <w:pStyle w:val="Compact"/>
        <w:numPr>
          <w:ilvl w:val="0"/>
          <w:numId w:val="1007"/>
        </w:numPr>
      </w:pPr>
      <w:r>
        <w:t xml:space="preserve">Identify conflicts of interest.</w:t>
      </w:r>
    </w:p>
    <w:p>
      <w:pPr>
        <w:pStyle w:val="Compact"/>
        <w:numPr>
          <w:ilvl w:val="0"/>
          <w:numId w:val="1007"/>
        </w:numPr>
      </w:pPr>
      <w:r>
        <w:t xml:space="preserve">Require disclosures.</w:t>
      </w:r>
    </w:p>
    <w:p>
      <w:pPr>
        <w:pStyle w:val="Compact"/>
        <w:numPr>
          <w:ilvl w:val="0"/>
          <w:numId w:val="1007"/>
        </w:numPr>
      </w:pPr>
      <w:r>
        <w:t xml:space="preserve">Support recusal.</w:t>
      </w:r>
    </w:p>
    <w:p>
      <w:pPr>
        <w:pStyle w:val="Compact"/>
        <w:numPr>
          <w:ilvl w:val="0"/>
          <w:numId w:val="1007"/>
        </w:numPr>
      </w:pPr>
      <w:r>
        <w:t xml:space="preserve">Support abstention.</w:t>
      </w:r>
    </w:p>
    <w:p>
      <w:pPr>
        <w:pStyle w:val="Compact"/>
        <w:numPr>
          <w:ilvl w:val="0"/>
          <w:numId w:val="1007"/>
        </w:numPr>
      </w:pPr>
      <w:r>
        <w:t xml:space="preserve">Support approve, approve with conditions, defer, reject, escalate, contest, emergency authorize, and revoke decisions.</w:t>
      </w:r>
    </w:p>
    <w:p>
      <w:pPr>
        <w:pStyle w:val="Compact"/>
        <w:numPr>
          <w:ilvl w:val="0"/>
          <w:numId w:val="1007"/>
        </w:numPr>
      </w:pPr>
      <w:r>
        <w:t xml:space="preserve">Capture rationale.</w:t>
      </w:r>
    </w:p>
    <w:p>
      <w:pPr>
        <w:pStyle w:val="Compact"/>
        <w:numPr>
          <w:ilvl w:val="0"/>
          <w:numId w:val="1007"/>
        </w:numPr>
      </w:pPr>
      <w:r>
        <w:t xml:space="preserve">Capture minority views.</w:t>
      </w:r>
    </w:p>
    <w:p>
      <w:pPr>
        <w:pStyle w:val="Compact"/>
        <w:numPr>
          <w:ilvl w:val="0"/>
          <w:numId w:val="1007"/>
        </w:numPr>
      </w:pPr>
      <w:r>
        <w:t xml:space="preserve">Capture dissent.</w:t>
      </w:r>
    </w:p>
    <w:p>
      <w:pPr>
        <w:pStyle w:val="Compact"/>
        <w:numPr>
          <w:ilvl w:val="0"/>
          <w:numId w:val="1007"/>
        </w:numPr>
      </w:pPr>
      <w:r>
        <w:t xml:space="preserve">Capture conditions.</w:t>
      </w:r>
    </w:p>
    <w:p>
      <w:pPr>
        <w:pStyle w:val="Compact"/>
        <w:numPr>
          <w:ilvl w:val="0"/>
          <w:numId w:val="1007"/>
        </w:numPr>
      </w:pPr>
      <w:r>
        <w:t xml:space="preserve">Capture expiration of decision.</w:t>
      </w:r>
    </w:p>
    <w:p>
      <w:pPr>
        <w:pStyle w:val="Compact"/>
        <w:numPr>
          <w:ilvl w:val="0"/>
          <w:numId w:val="1007"/>
        </w:numPr>
      </w:pPr>
      <w:r>
        <w:t xml:space="preserve">Capture required follow-up actions.</w:t>
      </w:r>
    </w:p>
    <w:p>
      <w:pPr>
        <w:pStyle w:val="Compact"/>
        <w:numPr>
          <w:ilvl w:val="0"/>
          <w:numId w:val="1007"/>
        </w:numPr>
      </w:pPr>
      <w:r>
        <w:t xml:space="preserve">Capture CAPA linkage.</w:t>
      </w:r>
    </w:p>
    <w:p>
      <w:pPr>
        <w:pStyle w:val="Compact"/>
        <w:numPr>
          <w:ilvl w:val="0"/>
          <w:numId w:val="1007"/>
        </w:numPr>
      </w:pPr>
      <w:r>
        <w:t xml:space="preserve">Capture sponsor/CRO notification requirement.</w:t>
      </w:r>
    </w:p>
    <w:p>
      <w:pPr>
        <w:pStyle w:val="Compact"/>
        <w:numPr>
          <w:ilvl w:val="0"/>
          <w:numId w:val="1007"/>
        </w:numPr>
      </w:pPr>
      <w:r>
        <w:t xml:space="preserve">Capture IRB/IEC notification requirement.</w:t>
      </w:r>
    </w:p>
    <w:p>
      <w:pPr>
        <w:pStyle w:val="Compact"/>
        <w:numPr>
          <w:ilvl w:val="0"/>
          <w:numId w:val="1007"/>
        </w:numPr>
      </w:pPr>
      <w:r>
        <w:t xml:space="preserve">Capture regulatory notification requirement.</w:t>
      </w:r>
    </w:p>
    <w:p>
      <w:pPr>
        <w:pStyle w:val="Compact"/>
        <w:numPr>
          <w:ilvl w:val="0"/>
          <w:numId w:val="1007"/>
        </w:numPr>
      </w:pPr>
      <w:r>
        <w:t xml:space="preserve">Trigger evidence receipts.</w:t>
      </w:r>
    </w:p>
    <w:p>
      <w:pPr>
        <w:pStyle w:val="Compact"/>
        <w:numPr>
          <w:ilvl w:val="0"/>
          <w:numId w:val="1007"/>
        </w:numPr>
      </w:pPr>
      <w:r>
        <w:t xml:space="preserve">Trigger audit entries.</w:t>
      </w:r>
    </w:p>
    <w:p>
      <w:pPr>
        <w:pStyle w:val="Compact"/>
        <w:numPr>
          <w:ilvl w:val="0"/>
          <w:numId w:val="1007"/>
        </w:numPr>
      </w:pPr>
      <w:r>
        <w:t xml:space="preserve">Trigger authority checks.</w:t>
      </w:r>
    </w:p>
    <w:p>
      <w:pPr>
        <w:pStyle w:val="Compact"/>
        <w:numPr>
          <w:ilvl w:val="0"/>
          <w:numId w:val="1007"/>
        </w:numPr>
      </w:pPr>
      <w:r>
        <w:t xml:space="preserve">Trigger revocation or suspension where required.</w:t>
      </w:r>
    </w:p>
    <w:p>
      <w:pPr>
        <w:pStyle w:val="Compact"/>
        <w:numPr>
          <w:ilvl w:val="0"/>
          <w:numId w:val="1007"/>
        </w:numPr>
      </w:pPr>
      <w:r>
        <w:t xml:space="preserve">Support appeal or contestation.</w:t>
      </w:r>
    </w:p>
    <w:p>
      <w:pPr>
        <w:pStyle w:val="Compact"/>
        <w:numPr>
          <w:ilvl w:val="0"/>
          <w:numId w:val="1007"/>
        </w:numPr>
      </w:pPr>
      <w:r>
        <w:t xml:space="preserve">Support emergency escalation.</w:t>
      </w:r>
    </w:p>
    <w:p>
      <w:pPr>
        <w:pStyle w:val="Compact"/>
        <w:numPr>
          <w:ilvl w:val="0"/>
          <w:numId w:val="1007"/>
        </w:numPr>
      </w:pPr>
      <w:r>
        <w:t xml:space="preserve">Support retrospective review of emergency actions.</w:t>
      </w:r>
    </w:p>
    <w:p>
      <w:pPr>
        <w:pStyle w:val="Compact"/>
        <w:numPr>
          <w:ilvl w:val="0"/>
          <w:numId w:val="1007"/>
        </w:numPr>
      </w:pPr>
      <w:r>
        <w:t xml:space="preserve">Produce decision certificate.</w:t>
      </w:r>
    </w:p>
    <w:bookmarkEnd w:id="54"/>
    <w:bookmarkStart w:id="55" w:name="evidence-and-chain-of-custody-layer"/>
    <w:p>
      <w:pPr>
        <w:pStyle w:val="Heading3"/>
      </w:pPr>
      <w:r>
        <w:t xml:space="preserve">6. Evidence and Chain-of-Custody Layer</w:t>
      </w:r>
    </w:p>
    <w:p>
      <w:pPr>
        <w:pStyle w:val="FirstParagraph"/>
      </w:pPr>
      <w:r>
        <w:t xml:space="preserve">The Evidence Layer manages artifacts supporting quality claims and decisions. Evidence may include documents, attestations, signatures, screenshots, system exports, SOPs, training certificates, logs, calibration records, policies, procedures, reports, meeting minutes, consent forms, review records, audit findings, CAPA records, communications, and external certifications.</w:t>
      </w:r>
    </w:p>
    <w:p>
      <w:pPr>
        <w:pStyle w:val="BodyText"/>
      </w:pPr>
      <w:r>
        <w:t xml:space="preserve">Evidence objects must include:</w:t>
      </w:r>
    </w:p>
    <w:p>
      <w:pPr>
        <w:pStyle w:val="Compact"/>
        <w:numPr>
          <w:ilvl w:val="0"/>
          <w:numId w:val="1008"/>
        </w:numPr>
      </w:pPr>
      <w:r>
        <w:t xml:space="preserve">Evidence identifier.</w:t>
      </w:r>
    </w:p>
    <w:p>
      <w:pPr>
        <w:pStyle w:val="Compact"/>
        <w:numPr>
          <w:ilvl w:val="0"/>
          <w:numId w:val="1008"/>
        </w:numPr>
      </w:pPr>
      <w:r>
        <w:t xml:space="preserve">Evidence type.</w:t>
      </w:r>
    </w:p>
    <w:p>
      <w:pPr>
        <w:pStyle w:val="Compact"/>
        <w:numPr>
          <w:ilvl w:val="0"/>
          <w:numId w:val="1008"/>
        </w:numPr>
      </w:pPr>
      <w:r>
        <w:t xml:space="preserve">Title.</w:t>
      </w:r>
    </w:p>
    <w:p>
      <w:pPr>
        <w:pStyle w:val="Compact"/>
        <w:numPr>
          <w:ilvl w:val="0"/>
          <w:numId w:val="1008"/>
        </w:numPr>
      </w:pPr>
      <w:r>
        <w:t xml:space="preserve">Description.</w:t>
      </w:r>
    </w:p>
    <w:p>
      <w:pPr>
        <w:pStyle w:val="Compact"/>
        <w:numPr>
          <w:ilvl w:val="0"/>
          <w:numId w:val="1008"/>
        </w:numPr>
      </w:pPr>
      <w:r>
        <w:t xml:space="preserve">Source system.</w:t>
      </w:r>
    </w:p>
    <w:p>
      <w:pPr>
        <w:pStyle w:val="Compact"/>
        <w:numPr>
          <w:ilvl w:val="0"/>
          <w:numId w:val="1008"/>
        </w:numPr>
      </w:pPr>
      <w:r>
        <w:t xml:space="preserve">Creator.</w:t>
      </w:r>
    </w:p>
    <w:p>
      <w:pPr>
        <w:pStyle w:val="Compact"/>
        <w:numPr>
          <w:ilvl w:val="0"/>
          <w:numId w:val="1008"/>
        </w:numPr>
      </w:pPr>
      <w:r>
        <w:t xml:space="preserve">Uploader.</w:t>
      </w:r>
    </w:p>
    <w:p>
      <w:pPr>
        <w:pStyle w:val="Compact"/>
        <w:numPr>
          <w:ilvl w:val="0"/>
          <w:numId w:val="1008"/>
        </w:numPr>
      </w:pPr>
      <w:r>
        <w:t xml:space="preserve">Current custodian.</w:t>
      </w:r>
    </w:p>
    <w:p>
      <w:pPr>
        <w:pStyle w:val="Compact"/>
        <w:numPr>
          <w:ilvl w:val="0"/>
          <w:numId w:val="1008"/>
        </w:numPr>
      </w:pPr>
      <w:r>
        <w:t xml:space="preserve">Owner role.</w:t>
      </w:r>
    </w:p>
    <w:p>
      <w:pPr>
        <w:pStyle w:val="Compact"/>
        <w:numPr>
          <w:ilvl w:val="0"/>
          <w:numId w:val="1008"/>
        </w:numPr>
      </w:pPr>
      <w:r>
        <w:t xml:space="preserve">Linked control.</w:t>
      </w:r>
    </w:p>
    <w:p>
      <w:pPr>
        <w:pStyle w:val="Compact"/>
        <w:numPr>
          <w:ilvl w:val="0"/>
          <w:numId w:val="1008"/>
        </w:numPr>
      </w:pPr>
      <w:r>
        <w:t xml:space="preserve">Linked site.</w:t>
      </w:r>
    </w:p>
    <w:p>
      <w:pPr>
        <w:pStyle w:val="Compact"/>
        <w:numPr>
          <w:ilvl w:val="0"/>
          <w:numId w:val="1008"/>
        </w:numPr>
      </w:pPr>
      <w:r>
        <w:t xml:space="preserve">Linked protocol.</w:t>
      </w:r>
    </w:p>
    <w:p>
      <w:pPr>
        <w:pStyle w:val="Compact"/>
        <w:numPr>
          <w:ilvl w:val="0"/>
          <w:numId w:val="1008"/>
        </w:numPr>
      </w:pPr>
      <w:r>
        <w:t xml:space="preserve">Linked study.</w:t>
      </w:r>
    </w:p>
    <w:p>
      <w:pPr>
        <w:pStyle w:val="Compact"/>
        <w:numPr>
          <w:ilvl w:val="0"/>
          <w:numId w:val="1008"/>
        </w:numPr>
      </w:pPr>
      <w:r>
        <w:t xml:space="preserve">Linked participant status, if applicable and permitted.</w:t>
      </w:r>
    </w:p>
    <w:p>
      <w:pPr>
        <w:pStyle w:val="Compact"/>
        <w:numPr>
          <w:ilvl w:val="0"/>
          <w:numId w:val="1008"/>
        </w:numPr>
      </w:pPr>
      <w:r>
        <w:t xml:space="preserve">Linked staff member, if applicable and permitted.</w:t>
      </w:r>
    </w:p>
    <w:p>
      <w:pPr>
        <w:pStyle w:val="Compact"/>
        <w:numPr>
          <w:ilvl w:val="0"/>
          <w:numId w:val="1008"/>
        </w:numPr>
      </w:pPr>
      <w:r>
        <w:t xml:space="preserve">Linked equipment, if applicable.</w:t>
      </w:r>
    </w:p>
    <w:p>
      <w:pPr>
        <w:pStyle w:val="Compact"/>
        <w:numPr>
          <w:ilvl w:val="0"/>
          <w:numId w:val="1008"/>
        </w:numPr>
      </w:pPr>
      <w:r>
        <w:t xml:space="preserve">Linked facility, if applicable.</w:t>
      </w:r>
    </w:p>
    <w:p>
      <w:pPr>
        <w:pStyle w:val="Compact"/>
        <w:numPr>
          <w:ilvl w:val="0"/>
          <w:numId w:val="1008"/>
        </w:numPr>
      </w:pPr>
      <w:r>
        <w:t xml:space="preserve">Linked vendor, if applicable.</w:t>
      </w:r>
    </w:p>
    <w:p>
      <w:pPr>
        <w:pStyle w:val="Compact"/>
        <w:numPr>
          <w:ilvl w:val="0"/>
          <w:numId w:val="1008"/>
        </w:numPr>
      </w:pPr>
      <w:r>
        <w:t xml:space="preserve">Linked decision matter.</w:t>
      </w:r>
    </w:p>
    <w:p>
      <w:pPr>
        <w:pStyle w:val="Compact"/>
        <w:numPr>
          <w:ilvl w:val="0"/>
          <w:numId w:val="1008"/>
        </w:numPr>
      </w:pPr>
      <w:r>
        <w:t xml:space="preserve">Hash.</w:t>
      </w:r>
    </w:p>
    <w:p>
      <w:pPr>
        <w:pStyle w:val="Compact"/>
        <w:numPr>
          <w:ilvl w:val="0"/>
          <w:numId w:val="1008"/>
        </w:numPr>
      </w:pPr>
      <w:r>
        <w:t xml:space="preserve">Version.</w:t>
      </w:r>
    </w:p>
    <w:p>
      <w:pPr>
        <w:pStyle w:val="Compact"/>
        <w:numPr>
          <w:ilvl w:val="0"/>
          <w:numId w:val="1008"/>
        </w:numPr>
      </w:pPr>
      <w:r>
        <w:t xml:space="preserve">Effective date.</w:t>
      </w:r>
    </w:p>
    <w:p>
      <w:pPr>
        <w:pStyle w:val="Compact"/>
        <w:numPr>
          <w:ilvl w:val="0"/>
          <w:numId w:val="1008"/>
        </w:numPr>
      </w:pPr>
      <w:r>
        <w:t xml:space="preserve">Expiration date.</w:t>
      </w:r>
    </w:p>
    <w:p>
      <w:pPr>
        <w:pStyle w:val="Compact"/>
        <w:numPr>
          <w:ilvl w:val="0"/>
          <w:numId w:val="1008"/>
        </w:numPr>
      </w:pPr>
      <w:r>
        <w:t xml:space="preserve">Review status.</w:t>
      </w:r>
    </w:p>
    <w:p>
      <w:pPr>
        <w:pStyle w:val="Compact"/>
        <w:numPr>
          <w:ilvl w:val="0"/>
          <w:numId w:val="1008"/>
        </w:numPr>
      </w:pPr>
      <w:r>
        <w:t xml:space="preserve">Approval status.</w:t>
      </w:r>
    </w:p>
    <w:p>
      <w:pPr>
        <w:pStyle w:val="Compact"/>
        <w:numPr>
          <w:ilvl w:val="0"/>
          <w:numId w:val="1008"/>
        </w:numPr>
      </w:pPr>
      <w:r>
        <w:t xml:space="preserve">Confidentiality classification.</w:t>
      </w:r>
    </w:p>
    <w:p>
      <w:pPr>
        <w:pStyle w:val="Compact"/>
        <w:numPr>
          <w:ilvl w:val="0"/>
          <w:numId w:val="1008"/>
        </w:numPr>
      </w:pPr>
      <w:r>
        <w:t xml:space="preserve">PHI/PII classification.</w:t>
      </w:r>
    </w:p>
    <w:p>
      <w:pPr>
        <w:pStyle w:val="Compact"/>
        <w:numPr>
          <w:ilvl w:val="0"/>
          <w:numId w:val="1008"/>
        </w:numPr>
      </w:pPr>
      <w:r>
        <w:t xml:space="preserve">Sponsor confidentiality classification.</w:t>
      </w:r>
    </w:p>
    <w:p>
      <w:pPr>
        <w:pStyle w:val="Compact"/>
        <w:numPr>
          <w:ilvl w:val="0"/>
          <w:numId w:val="1008"/>
        </w:numPr>
      </w:pPr>
      <w:r>
        <w:t xml:space="preserve">Retention rule.</w:t>
      </w:r>
    </w:p>
    <w:p>
      <w:pPr>
        <w:pStyle w:val="Compact"/>
        <w:numPr>
          <w:ilvl w:val="0"/>
          <w:numId w:val="1008"/>
        </w:numPr>
      </w:pPr>
      <w:r>
        <w:t xml:space="preserve">Access policy.</w:t>
      </w:r>
    </w:p>
    <w:p>
      <w:pPr>
        <w:pStyle w:val="Compact"/>
        <w:numPr>
          <w:ilvl w:val="0"/>
          <w:numId w:val="1008"/>
        </w:numPr>
      </w:pPr>
      <w:r>
        <w:t xml:space="preserve">Disclosure policy.</w:t>
      </w:r>
    </w:p>
    <w:p>
      <w:pPr>
        <w:pStyle w:val="Compact"/>
        <w:numPr>
          <w:ilvl w:val="0"/>
          <w:numId w:val="1008"/>
        </w:numPr>
      </w:pPr>
      <w:r>
        <w:t xml:space="preserve">Chain-of-custody record.</w:t>
      </w:r>
    </w:p>
    <w:p>
      <w:pPr>
        <w:pStyle w:val="Compact"/>
        <w:numPr>
          <w:ilvl w:val="0"/>
          <w:numId w:val="1008"/>
        </w:numPr>
      </w:pPr>
      <w:r>
        <w:t xml:space="preserve">Admissibility status.</w:t>
      </w:r>
    </w:p>
    <w:p>
      <w:pPr>
        <w:pStyle w:val="Compact"/>
        <w:numPr>
          <w:ilvl w:val="0"/>
          <w:numId w:val="1008"/>
        </w:numPr>
      </w:pPr>
      <w:r>
        <w:t xml:space="preserve">Review history.</w:t>
      </w:r>
    </w:p>
    <w:p>
      <w:pPr>
        <w:pStyle w:val="Compact"/>
        <w:numPr>
          <w:ilvl w:val="0"/>
          <w:numId w:val="1008"/>
        </w:numPr>
      </w:pPr>
      <w:r>
        <w:t xml:space="preserve">Signature history.</w:t>
      </w:r>
    </w:p>
    <w:p>
      <w:pPr>
        <w:pStyle w:val="Compact"/>
        <w:numPr>
          <w:ilvl w:val="0"/>
          <w:numId w:val="1008"/>
        </w:numPr>
      </w:pPr>
      <w:r>
        <w:t xml:space="preserve">Correction history.</w:t>
      </w:r>
    </w:p>
    <w:p>
      <w:pPr>
        <w:pStyle w:val="Compact"/>
        <w:numPr>
          <w:ilvl w:val="0"/>
          <w:numId w:val="1008"/>
        </w:numPr>
      </w:pPr>
      <w:r>
        <w:t xml:space="preserve">Supersession history.</w:t>
      </w:r>
    </w:p>
    <w:p>
      <w:pPr>
        <w:pStyle w:val="Compact"/>
        <w:numPr>
          <w:ilvl w:val="0"/>
          <w:numId w:val="1008"/>
        </w:numPr>
      </w:pPr>
      <w:r>
        <w:t xml:space="preserve">Linked audit log entries.</w:t>
      </w:r>
    </w:p>
    <w:p>
      <w:pPr>
        <w:pStyle w:val="Compact"/>
        <w:numPr>
          <w:ilvl w:val="0"/>
          <w:numId w:val="1008"/>
        </w:numPr>
      </w:pPr>
      <w:r>
        <w:t xml:space="preserve">Exochain receipt.</w:t>
      </w:r>
    </w:p>
    <w:p>
      <w:pPr>
        <w:pStyle w:val="Compact"/>
        <w:numPr>
          <w:ilvl w:val="0"/>
          <w:numId w:val="1008"/>
        </w:numPr>
      </w:pPr>
      <w:r>
        <w:t xml:space="preserve">Export eligibility.</w:t>
      </w:r>
    </w:p>
    <w:bookmarkEnd w:id="55"/>
    <w:bookmarkStart w:id="56" w:name="risk-management-module"/>
    <w:p>
      <w:pPr>
        <w:pStyle w:val="Heading3"/>
      </w:pPr>
      <w:r>
        <w:t xml:space="preserve">7. Risk Management Module</w:t>
      </w:r>
    </w:p>
    <w:p>
      <w:pPr>
        <w:pStyle w:val="FirstParagraph"/>
      </w:pPr>
      <w:r>
        <w:t xml:space="preserve">The Risk Management Module implements a clinical research site risk framework.</w:t>
      </w:r>
    </w:p>
    <w:p>
      <w:pPr>
        <w:pStyle w:val="BodyText"/>
      </w:pPr>
      <w:r>
        <w:t xml:space="preserve">Risk objects must include:</w:t>
      </w:r>
    </w:p>
    <w:p>
      <w:pPr>
        <w:pStyle w:val="Compact"/>
        <w:numPr>
          <w:ilvl w:val="0"/>
          <w:numId w:val="1009"/>
        </w:numPr>
      </w:pPr>
      <w:r>
        <w:t xml:space="preserve">Risk identifier.</w:t>
      </w:r>
    </w:p>
    <w:p>
      <w:pPr>
        <w:pStyle w:val="Compact"/>
        <w:numPr>
          <w:ilvl w:val="0"/>
          <w:numId w:val="1009"/>
        </w:numPr>
      </w:pPr>
      <w:r>
        <w:t xml:space="preserve">Risk title.</w:t>
      </w:r>
    </w:p>
    <w:p>
      <w:pPr>
        <w:pStyle w:val="Compact"/>
        <w:numPr>
          <w:ilvl w:val="0"/>
          <w:numId w:val="1009"/>
        </w:numPr>
      </w:pPr>
      <w:r>
        <w:t xml:space="preserve">Risk description.</w:t>
      </w:r>
    </w:p>
    <w:p>
      <w:pPr>
        <w:pStyle w:val="Compact"/>
        <w:numPr>
          <w:ilvl w:val="0"/>
          <w:numId w:val="1009"/>
        </w:numPr>
      </w:pPr>
      <w:r>
        <w:t xml:space="preserve">Source.</w:t>
      </w:r>
    </w:p>
    <w:p>
      <w:pPr>
        <w:pStyle w:val="Compact"/>
        <w:numPr>
          <w:ilvl w:val="0"/>
          <w:numId w:val="1009"/>
        </w:numPr>
      </w:pPr>
      <w:r>
        <w:t xml:space="preserve">Risk category.</w:t>
      </w:r>
    </w:p>
    <w:p>
      <w:pPr>
        <w:pStyle w:val="Compact"/>
        <w:numPr>
          <w:ilvl w:val="0"/>
          <w:numId w:val="1009"/>
        </w:numPr>
      </w:pPr>
      <w:r>
        <w:t xml:space="preserve">Participant safety impact.</w:t>
      </w:r>
    </w:p>
    <w:p>
      <w:pPr>
        <w:pStyle w:val="Compact"/>
        <w:numPr>
          <w:ilvl w:val="0"/>
          <w:numId w:val="1009"/>
        </w:numPr>
      </w:pPr>
      <w:r>
        <w:t xml:space="preserve">Data integrity impact.</w:t>
      </w:r>
    </w:p>
    <w:p>
      <w:pPr>
        <w:pStyle w:val="Compact"/>
        <w:numPr>
          <w:ilvl w:val="0"/>
          <w:numId w:val="1009"/>
        </w:numPr>
      </w:pPr>
      <w:r>
        <w:t xml:space="preserve">Ethical impact.</w:t>
      </w:r>
    </w:p>
    <w:p>
      <w:pPr>
        <w:pStyle w:val="Compact"/>
        <w:numPr>
          <w:ilvl w:val="0"/>
          <w:numId w:val="1009"/>
        </w:numPr>
      </w:pPr>
      <w:r>
        <w:t xml:space="preserve">Regulatory impact.</w:t>
      </w:r>
    </w:p>
    <w:p>
      <w:pPr>
        <w:pStyle w:val="Compact"/>
        <w:numPr>
          <w:ilvl w:val="0"/>
          <w:numId w:val="1009"/>
        </w:numPr>
      </w:pPr>
      <w:r>
        <w:t xml:space="preserve">Operational impact.</w:t>
      </w:r>
    </w:p>
    <w:p>
      <w:pPr>
        <w:pStyle w:val="Compact"/>
        <w:numPr>
          <w:ilvl w:val="0"/>
          <w:numId w:val="1009"/>
        </w:numPr>
      </w:pPr>
      <w:r>
        <w:t xml:space="preserve">Financial impact.</w:t>
      </w:r>
    </w:p>
    <w:p>
      <w:pPr>
        <w:pStyle w:val="Compact"/>
        <w:numPr>
          <w:ilvl w:val="0"/>
          <w:numId w:val="1009"/>
        </w:numPr>
      </w:pPr>
      <w:r>
        <w:t xml:space="preserve">Sponsor impact.</w:t>
      </w:r>
    </w:p>
    <w:p>
      <w:pPr>
        <w:pStyle w:val="Compact"/>
        <w:numPr>
          <w:ilvl w:val="0"/>
          <w:numId w:val="1009"/>
        </w:numPr>
      </w:pPr>
      <w:r>
        <w:t xml:space="preserve">CRO impact.</w:t>
      </w:r>
    </w:p>
    <w:p>
      <w:pPr>
        <w:pStyle w:val="Compact"/>
        <w:numPr>
          <w:ilvl w:val="0"/>
          <w:numId w:val="1009"/>
        </w:numPr>
      </w:pPr>
      <w:r>
        <w:t xml:space="preserve">Probability.</w:t>
      </w:r>
    </w:p>
    <w:p>
      <w:pPr>
        <w:pStyle w:val="Compact"/>
        <w:numPr>
          <w:ilvl w:val="0"/>
          <w:numId w:val="1009"/>
        </w:numPr>
      </w:pPr>
      <w:r>
        <w:t xml:space="preserve">Severity.</w:t>
      </w:r>
    </w:p>
    <w:p>
      <w:pPr>
        <w:pStyle w:val="Compact"/>
        <w:numPr>
          <w:ilvl w:val="0"/>
          <w:numId w:val="1009"/>
        </w:numPr>
      </w:pPr>
      <w:r>
        <w:t xml:space="preserve">Detectability.</w:t>
      </w:r>
    </w:p>
    <w:p>
      <w:pPr>
        <w:pStyle w:val="Compact"/>
        <w:numPr>
          <w:ilvl w:val="0"/>
          <w:numId w:val="1009"/>
        </w:numPr>
      </w:pPr>
      <w:r>
        <w:t xml:space="preserve">Overall risk rating.</w:t>
      </w:r>
    </w:p>
    <w:p>
      <w:pPr>
        <w:pStyle w:val="Compact"/>
        <w:numPr>
          <w:ilvl w:val="0"/>
          <w:numId w:val="1009"/>
        </w:numPr>
      </w:pPr>
      <w:r>
        <w:t xml:space="preserve">Risk owner.</w:t>
      </w:r>
    </w:p>
    <w:p>
      <w:pPr>
        <w:pStyle w:val="Compact"/>
        <w:numPr>
          <w:ilvl w:val="0"/>
          <w:numId w:val="1009"/>
        </w:numPr>
      </w:pPr>
      <w:r>
        <w:t xml:space="preserve">Linked control.</w:t>
      </w:r>
    </w:p>
    <w:p>
      <w:pPr>
        <w:pStyle w:val="Compact"/>
        <w:numPr>
          <w:ilvl w:val="0"/>
          <w:numId w:val="1009"/>
        </w:numPr>
      </w:pPr>
      <w:r>
        <w:t xml:space="preserve">Linked protocol.</w:t>
      </w:r>
    </w:p>
    <w:p>
      <w:pPr>
        <w:pStyle w:val="Compact"/>
        <w:numPr>
          <w:ilvl w:val="0"/>
          <w:numId w:val="1009"/>
        </w:numPr>
      </w:pPr>
      <w:r>
        <w:t xml:space="preserve">Linked site process.</w:t>
      </w:r>
    </w:p>
    <w:p>
      <w:pPr>
        <w:pStyle w:val="Compact"/>
        <w:numPr>
          <w:ilvl w:val="0"/>
          <w:numId w:val="1009"/>
        </w:numPr>
      </w:pPr>
      <w:r>
        <w:t xml:space="preserve">Linked evidence.</w:t>
      </w:r>
    </w:p>
    <w:p>
      <w:pPr>
        <w:pStyle w:val="Compact"/>
        <w:numPr>
          <w:ilvl w:val="0"/>
          <w:numId w:val="1009"/>
        </w:numPr>
      </w:pPr>
      <w:r>
        <w:t xml:space="preserve">Mitigation plan.</w:t>
      </w:r>
    </w:p>
    <w:p>
      <w:pPr>
        <w:pStyle w:val="Compact"/>
        <w:numPr>
          <w:ilvl w:val="0"/>
          <w:numId w:val="1009"/>
        </w:numPr>
      </w:pPr>
      <w:r>
        <w:t xml:space="preserve">Safety plan, if applicable.</w:t>
      </w:r>
    </w:p>
    <w:p>
      <w:pPr>
        <w:pStyle w:val="Compact"/>
        <w:numPr>
          <w:ilvl w:val="0"/>
          <w:numId w:val="1009"/>
        </w:numPr>
      </w:pPr>
      <w:r>
        <w:t xml:space="preserve">Preventive action.</w:t>
      </w:r>
    </w:p>
    <w:p>
      <w:pPr>
        <w:pStyle w:val="Compact"/>
        <w:numPr>
          <w:ilvl w:val="0"/>
          <w:numId w:val="1009"/>
        </w:numPr>
      </w:pPr>
      <w:r>
        <w:t xml:space="preserve">Corrective action.</w:t>
      </w:r>
    </w:p>
    <w:p>
      <w:pPr>
        <w:pStyle w:val="Compact"/>
        <w:numPr>
          <w:ilvl w:val="0"/>
          <w:numId w:val="1009"/>
        </w:numPr>
      </w:pPr>
      <w:r>
        <w:t xml:space="preserve">Monitoring metric.</w:t>
      </w:r>
    </w:p>
    <w:p>
      <w:pPr>
        <w:pStyle w:val="Compact"/>
        <w:numPr>
          <w:ilvl w:val="0"/>
          <w:numId w:val="1009"/>
        </w:numPr>
      </w:pPr>
      <w:r>
        <w:t xml:space="preserve">Review frequency.</w:t>
      </w:r>
    </w:p>
    <w:p>
      <w:pPr>
        <w:pStyle w:val="Compact"/>
        <w:numPr>
          <w:ilvl w:val="0"/>
          <w:numId w:val="1009"/>
        </w:numPr>
      </w:pPr>
      <w:r>
        <w:t xml:space="preserve">Trigger conditions.</w:t>
      </w:r>
    </w:p>
    <w:p>
      <w:pPr>
        <w:pStyle w:val="Compact"/>
        <w:numPr>
          <w:ilvl w:val="0"/>
          <w:numId w:val="1009"/>
        </w:numPr>
      </w:pPr>
      <w:r>
        <w:t xml:space="preserve">Escalation threshold.</w:t>
      </w:r>
    </w:p>
    <w:p>
      <w:pPr>
        <w:pStyle w:val="Compact"/>
        <w:numPr>
          <w:ilvl w:val="0"/>
          <w:numId w:val="1009"/>
        </w:numPr>
      </w:pPr>
      <w:r>
        <w:t xml:space="preserve">Decision Forum linkage.</w:t>
      </w:r>
    </w:p>
    <w:p>
      <w:pPr>
        <w:pStyle w:val="Compact"/>
        <w:numPr>
          <w:ilvl w:val="0"/>
          <w:numId w:val="1009"/>
        </w:numPr>
      </w:pPr>
      <w:r>
        <w:t xml:space="preserve">Residual risk.</w:t>
      </w:r>
    </w:p>
    <w:p>
      <w:pPr>
        <w:pStyle w:val="Compact"/>
        <w:numPr>
          <w:ilvl w:val="0"/>
          <w:numId w:val="1009"/>
        </w:numPr>
      </w:pPr>
      <w:r>
        <w:t xml:space="preserve">Acceptance rationale.</w:t>
      </w:r>
    </w:p>
    <w:p>
      <w:pPr>
        <w:pStyle w:val="Compact"/>
        <w:numPr>
          <w:ilvl w:val="0"/>
          <w:numId w:val="1009"/>
        </w:numPr>
      </w:pPr>
      <w:r>
        <w:t xml:space="preserve">Approver.</w:t>
      </w:r>
    </w:p>
    <w:p>
      <w:pPr>
        <w:pStyle w:val="Compact"/>
        <w:numPr>
          <w:ilvl w:val="0"/>
          <w:numId w:val="1009"/>
        </w:numPr>
      </w:pPr>
      <w:r>
        <w:t xml:space="preserve">Review history.</w:t>
      </w:r>
    </w:p>
    <w:p>
      <w:pPr>
        <w:pStyle w:val="Compact"/>
        <w:numPr>
          <w:ilvl w:val="0"/>
          <w:numId w:val="1009"/>
        </w:numPr>
      </w:pPr>
      <w:r>
        <w:t xml:space="preserve">Closure evidence.</w:t>
      </w:r>
    </w:p>
    <w:p>
      <w:pPr>
        <w:pStyle w:val="Compact"/>
        <w:numPr>
          <w:ilvl w:val="0"/>
          <w:numId w:val="1009"/>
        </w:numPr>
      </w:pPr>
      <w:r>
        <w:t xml:space="preserve">Exochain receipt.</w:t>
      </w:r>
    </w:p>
    <w:p>
      <w:pPr>
        <w:pStyle w:val="FirstParagraph"/>
      </w:pPr>
      <w:r>
        <w:t xml:space="preserve">The system must support risk identification, risk assessment, risk treatment, risk control, risk reporting, and continuous reassessment.</w:t>
      </w:r>
    </w:p>
    <w:bookmarkEnd w:id="56"/>
    <w:bookmarkStart w:id="57" w:name="X044c6674fa2ea918b6fa4a7e51896decf1dc61e"/>
    <w:p>
      <w:pPr>
        <w:pStyle w:val="Heading3"/>
      </w:pPr>
      <w:r>
        <w:t xml:space="preserve">8. Quality Planning and Continuous Quality Improvement Module</w:t>
      </w:r>
    </w:p>
    <w:p>
      <w:pPr>
        <w:pStyle w:val="FirstParagraph"/>
      </w:pPr>
      <w:r>
        <w:t xml:space="preserve">The CQI module manages quality planning, improvements, innovation projects, lessons learned, stakeholder feedback, staff feedback, internal audits, self-assessments, complaints, nonconformity reporting, CAPA, and effectiveness checks.</w:t>
      </w:r>
    </w:p>
    <w:p>
      <w:pPr>
        <w:pStyle w:val="BodyText"/>
      </w:pPr>
      <w:r>
        <w:t xml:space="preserve">CQI objects must include:</w:t>
      </w:r>
    </w:p>
    <w:p>
      <w:pPr>
        <w:pStyle w:val="Compact"/>
        <w:numPr>
          <w:ilvl w:val="0"/>
          <w:numId w:val="1010"/>
        </w:numPr>
      </w:pPr>
      <w:r>
        <w:t xml:space="preserve">Improvement identifier.</w:t>
      </w:r>
    </w:p>
    <w:p>
      <w:pPr>
        <w:pStyle w:val="Compact"/>
        <w:numPr>
          <w:ilvl w:val="0"/>
          <w:numId w:val="1010"/>
        </w:numPr>
      </w:pPr>
      <w:r>
        <w:t xml:space="preserve">Improvement source.</w:t>
      </w:r>
    </w:p>
    <w:p>
      <w:pPr>
        <w:pStyle w:val="Compact"/>
        <w:numPr>
          <w:ilvl w:val="0"/>
          <w:numId w:val="1010"/>
        </w:numPr>
      </w:pPr>
      <w:r>
        <w:t xml:space="preserve">Problem statement.</w:t>
      </w:r>
    </w:p>
    <w:p>
      <w:pPr>
        <w:pStyle w:val="Compact"/>
        <w:numPr>
          <w:ilvl w:val="0"/>
          <w:numId w:val="1010"/>
        </w:numPr>
      </w:pPr>
      <w:r>
        <w:t xml:space="preserve">Related control.</w:t>
      </w:r>
    </w:p>
    <w:p>
      <w:pPr>
        <w:pStyle w:val="Compact"/>
        <w:numPr>
          <w:ilvl w:val="0"/>
          <w:numId w:val="1010"/>
        </w:numPr>
      </w:pPr>
      <w:r>
        <w:t xml:space="preserve">Related process.</w:t>
      </w:r>
    </w:p>
    <w:p>
      <w:pPr>
        <w:pStyle w:val="Compact"/>
        <w:numPr>
          <w:ilvl w:val="0"/>
          <w:numId w:val="1010"/>
        </w:numPr>
      </w:pPr>
      <w:r>
        <w:t xml:space="preserve">Related risk.</w:t>
      </w:r>
    </w:p>
    <w:p>
      <w:pPr>
        <w:pStyle w:val="Compact"/>
        <w:numPr>
          <w:ilvl w:val="0"/>
          <w:numId w:val="1010"/>
        </w:numPr>
      </w:pPr>
      <w:r>
        <w:t xml:space="preserve">Related deviation.</w:t>
      </w:r>
    </w:p>
    <w:p>
      <w:pPr>
        <w:pStyle w:val="Compact"/>
        <w:numPr>
          <w:ilvl w:val="0"/>
          <w:numId w:val="1010"/>
        </w:numPr>
      </w:pPr>
      <w:r>
        <w:t xml:space="preserve">Related complaint.</w:t>
      </w:r>
    </w:p>
    <w:p>
      <w:pPr>
        <w:pStyle w:val="Compact"/>
        <w:numPr>
          <w:ilvl w:val="0"/>
          <w:numId w:val="1010"/>
        </w:numPr>
      </w:pPr>
      <w:r>
        <w:t xml:space="preserve">Root cause analysis.</w:t>
      </w:r>
    </w:p>
    <w:p>
      <w:pPr>
        <w:pStyle w:val="Compact"/>
        <w:numPr>
          <w:ilvl w:val="0"/>
          <w:numId w:val="1010"/>
        </w:numPr>
      </w:pPr>
      <w:r>
        <w:t xml:space="preserve">Proposed change.</w:t>
      </w:r>
    </w:p>
    <w:p>
      <w:pPr>
        <w:pStyle w:val="Compact"/>
        <w:numPr>
          <w:ilvl w:val="0"/>
          <w:numId w:val="1010"/>
        </w:numPr>
      </w:pPr>
      <w:r>
        <w:t xml:space="preserve">Expected benefit.</w:t>
      </w:r>
    </w:p>
    <w:p>
      <w:pPr>
        <w:pStyle w:val="Compact"/>
        <w:numPr>
          <w:ilvl w:val="0"/>
          <w:numId w:val="1010"/>
        </w:numPr>
      </w:pPr>
      <w:r>
        <w:t xml:space="preserve">Potential risk.</w:t>
      </w:r>
    </w:p>
    <w:p>
      <w:pPr>
        <w:pStyle w:val="Compact"/>
        <w:numPr>
          <w:ilvl w:val="0"/>
          <w:numId w:val="1010"/>
        </w:numPr>
      </w:pPr>
      <w:r>
        <w:t xml:space="preserve">Required resources.</w:t>
      </w:r>
    </w:p>
    <w:p>
      <w:pPr>
        <w:pStyle w:val="Compact"/>
        <w:numPr>
          <w:ilvl w:val="0"/>
          <w:numId w:val="1010"/>
        </w:numPr>
      </w:pPr>
      <w:r>
        <w:t xml:space="preserve">Owner.</w:t>
      </w:r>
    </w:p>
    <w:p>
      <w:pPr>
        <w:pStyle w:val="Compact"/>
        <w:numPr>
          <w:ilvl w:val="0"/>
          <w:numId w:val="1010"/>
        </w:numPr>
      </w:pPr>
      <w:r>
        <w:t xml:space="preserve">Approver.</w:t>
      </w:r>
    </w:p>
    <w:p>
      <w:pPr>
        <w:pStyle w:val="Compact"/>
        <w:numPr>
          <w:ilvl w:val="0"/>
          <w:numId w:val="1010"/>
        </w:numPr>
      </w:pPr>
      <w:r>
        <w:t xml:space="preserve">Implementation plan.</w:t>
      </w:r>
    </w:p>
    <w:p>
      <w:pPr>
        <w:pStyle w:val="Compact"/>
        <w:numPr>
          <w:ilvl w:val="0"/>
          <w:numId w:val="1010"/>
        </w:numPr>
      </w:pPr>
      <w:r>
        <w:t xml:space="preserve">Due date.</w:t>
      </w:r>
    </w:p>
    <w:p>
      <w:pPr>
        <w:pStyle w:val="Compact"/>
        <w:numPr>
          <w:ilvl w:val="0"/>
          <w:numId w:val="1010"/>
        </w:numPr>
      </w:pPr>
      <w:r>
        <w:t xml:space="preserve">Training impact.</w:t>
      </w:r>
    </w:p>
    <w:p>
      <w:pPr>
        <w:pStyle w:val="Compact"/>
        <w:numPr>
          <w:ilvl w:val="0"/>
          <w:numId w:val="1010"/>
        </w:numPr>
      </w:pPr>
      <w:r>
        <w:t xml:space="preserve">SOP impact.</w:t>
      </w:r>
    </w:p>
    <w:p>
      <w:pPr>
        <w:pStyle w:val="Compact"/>
        <w:numPr>
          <w:ilvl w:val="0"/>
          <w:numId w:val="1010"/>
        </w:numPr>
      </w:pPr>
      <w:r>
        <w:t xml:space="preserve">Technology impact.</w:t>
      </w:r>
    </w:p>
    <w:p>
      <w:pPr>
        <w:pStyle w:val="Compact"/>
        <w:numPr>
          <w:ilvl w:val="0"/>
          <w:numId w:val="1010"/>
        </w:numPr>
      </w:pPr>
      <w:r>
        <w:t xml:space="preserve">Budget impact.</w:t>
      </w:r>
    </w:p>
    <w:p>
      <w:pPr>
        <w:pStyle w:val="Compact"/>
        <w:numPr>
          <w:ilvl w:val="0"/>
          <w:numId w:val="1010"/>
        </w:numPr>
      </w:pPr>
      <w:r>
        <w:t xml:space="preserve">Stakeholder impact.</w:t>
      </w:r>
    </w:p>
    <w:p>
      <w:pPr>
        <w:pStyle w:val="Compact"/>
        <w:numPr>
          <w:ilvl w:val="0"/>
          <w:numId w:val="1010"/>
        </w:numPr>
      </w:pPr>
      <w:r>
        <w:t xml:space="preserve">Evidence requirement.</w:t>
      </w:r>
    </w:p>
    <w:p>
      <w:pPr>
        <w:pStyle w:val="Compact"/>
        <w:numPr>
          <w:ilvl w:val="0"/>
          <w:numId w:val="1010"/>
        </w:numPr>
      </w:pPr>
      <w:r>
        <w:t xml:space="preserve">Verification method.</w:t>
      </w:r>
    </w:p>
    <w:p>
      <w:pPr>
        <w:pStyle w:val="Compact"/>
        <w:numPr>
          <w:ilvl w:val="0"/>
          <w:numId w:val="1010"/>
        </w:numPr>
      </w:pPr>
      <w:r>
        <w:t xml:space="preserve">Effectiveness check.</w:t>
      </w:r>
    </w:p>
    <w:p>
      <w:pPr>
        <w:pStyle w:val="Compact"/>
        <w:numPr>
          <w:ilvl w:val="0"/>
          <w:numId w:val="1010"/>
        </w:numPr>
      </w:pPr>
      <w:r>
        <w:t xml:space="preserve">Decision Forum linkage.</w:t>
      </w:r>
    </w:p>
    <w:p>
      <w:pPr>
        <w:pStyle w:val="Compact"/>
        <w:numPr>
          <w:ilvl w:val="0"/>
          <w:numId w:val="1010"/>
        </w:numPr>
      </w:pPr>
      <w:r>
        <w:t xml:space="preserve">Closure status.</w:t>
      </w:r>
    </w:p>
    <w:p>
      <w:pPr>
        <w:pStyle w:val="Compact"/>
        <w:numPr>
          <w:ilvl w:val="0"/>
          <w:numId w:val="1010"/>
        </w:numPr>
      </w:pPr>
      <w:r>
        <w:t xml:space="preserve">Lessons learned.</w:t>
      </w:r>
    </w:p>
    <w:p>
      <w:pPr>
        <w:pStyle w:val="Compact"/>
        <w:numPr>
          <w:ilvl w:val="0"/>
          <w:numId w:val="1010"/>
        </w:numPr>
      </w:pPr>
      <w:r>
        <w:t xml:space="preserve">Exochain receipt.</w:t>
      </w:r>
    </w:p>
    <w:bookmarkEnd w:id="57"/>
    <w:bookmarkStart w:id="58" w:name="deviation-nonconformance-and-capa-module"/>
    <w:p>
      <w:pPr>
        <w:pStyle w:val="Heading3"/>
      </w:pPr>
      <w:r>
        <w:t xml:space="preserve">9. Deviation, Nonconformance, and CAPA Module</w:t>
      </w:r>
    </w:p>
    <w:p>
      <w:pPr>
        <w:pStyle w:val="FirstParagraph"/>
      </w:pPr>
      <w:r>
        <w:t xml:space="preserve">This module manages deviations from protocol, nonconformities, errors, unplanned deviations, planned deviations, corrective actions, preventive actions, and effectiveness checks.</w:t>
      </w:r>
    </w:p>
    <w:p>
      <w:pPr>
        <w:pStyle w:val="BodyText"/>
      </w:pPr>
      <w:r>
        <w:t xml:space="preserve">Deviation objects must include:</w:t>
      </w:r>
    </w:p>
    <w:p>
      <w:pPr>
        <w:pStyle w:val="Compact"/>
        <w:numPr>
          <w:ilvl w:val="0"/>
          <w:numId w:val="1011"/>
        </w:numPr>
      </w:pPr>
      <w:r>
        <w:t xml:space="preserve">Deviation identifier.</w:t>
      </w:r>
    </w:p>
    <w:p>
      <w:pPr>
        <w:pStyle w:val="Compact"/>
        <w:numPr>
          <w:ilvl w:val="0"/>
          <w:numId w:val="1011"/>
        </w:numPr>
      </w:pPr>
      <w:r>
        <w:t xml:space="preserve">Study/protocol link.</w:t>
      </w:r>
    </w:p>
    <w:p>
      <w:pPr>
        <w:pStyle w:val="Compact"/>
        <w:numPr>
          <w:ilvl w:val="0"/>
          <w:numId w:val="1011"/>
        </w:numPr>
      </w:pPr>
      <w:r>
        <w:t xml:space="preserve">Site link.</w:t>
      </w:r>
    </w:p>
    <w:p>
      <w:pPr>
        <w:pStyle w:val="Compact"/>
        <w:numPr>
          <w:ilvl w:val="0"/>
          <w:numId w:val="1011"/>
        </w:numPr>
      </w:pPr>
      <w:r>
        <w:t xml:space="preserve">Date/time discovered.</w:t>
      </w:r>
    </w:p>
    <w:p>
      <w:pPr>
        <w:pStyle w:val="Compact"/>
        <w:numPr>
          <w:ilvl w:val="0"/>
          <w:numId w:val="1011"/>
        </w:numPr>
      </w:pPr>
      <w:r>
        <w:t xml:space="preserve">Discoverer.</w:t>
      </w:r>
    </w:p>
    <w:p>
      <w:pPr>
        <w:pStyle w:val="Compact"/>
        <w:numPr>
          <w:ilvl w:val="0"/>
          <w:numId w:val="1011"/>
        </w:numPr>
      </w:pPr>
      <w:r>
        <w:t xml:space="preserve">Discovery method.</w:t>
      </w:r>
    </w:p>
    <w:p>
      <w:pPr>
        <w:pStyle w:val="Compact"/>
        <w:numPr>
          <w:ilvl w:val="0"/>
          <w:numId w:val="1011"/>
        </w:numPr>
      </w:pPr>
      <w:r>
        <w:t xml:space="preserve">Description.</w:t>
      </w:r>
    </w:p>
    <w:p>
      <w:pPr>
        <w:pStyle w:val="Compact"/>
        <w:numPr>
          <w:ilvl w:val="0"/>
          <w:numId w:val="1011"/>
        </w:numPr>
      </w:pPr>
      <w:r>
        <w:t xml:space="preserve">Planned or unplanned.</w:t>
      </w:r>
    </w:p>
    <w:p>
      <w:pPr>
        <w:pStyle w:val="Compact"/>
        <w:numPr>
          <w:ilvl w:val="0"/>
          <w:numId w:val="1011"/>
        </w:numPr>
      </w:pPr>
      <w:r>
        <w:t xml:space="preserve">Immediate participant risk.</w:t>
      </w:r>
    </w:p>
    <w:p>
      <w:pPr>
        <w:pStyle w:val="Compact"/>
        <w:numPr>
          <w:ilvl w:val="0"/>
          <w:numId w:val="1011"/>
        </w:numPr>
      </w:pPr>
      <w:r>
        <w:t xml:space="preserve">Immediate action taken.</w:t>
      </w:r>
    </w:p>
    <w:p>
      <w:pPr>
        <w:pStyle w:val="Compact"/>
        <w:numPr>
          <w:ilvl w:val="0"/>
          <w:numId w:val="1011"/>
        </w:numPr>
      </w:pPr>
      <w:r>
        <w:t xml:space="preserve">Protocol section impacted.</w:t>
      </w:r>
    </w:p>
    <w:p>
      <w:pPr>
        <w:pStyle w:val="Compact"/>
        <w:numPr>
          <w:ilvl w:val="0"/>
          <w:numId w:val="1011"/>
        </w:numPr>
      </w:pPr>
      <w:r>
        <w:t xml:space="preserve">Consent impact.</w:t>
      </w:r>
    </w:p>
    <w:p>
      <w:pPr>
        <w:pStyle w:val="Compact"/>
        <w:numPr>
          <w:ilvl w:val="0"/>
          <w:numId w:val="1011"/>
        </w:numPr>
      </w:pPr>
      <w:r>
        <w:t xml:space="preserve">Data integrity impact.</w:t>
      </w:r>
    </w:p>
    <w:p>
      <w:pPr>
        <w:pStyle w:val="Compact"/>
        <w:numPr>
          <w:ilvl w:val="0"/>
          <w:numId w:val="1011"/>
        </w:numPr>
      </w:pPr>
      <w:r>
        <w:t xml:space="preserve">Randomization impact.</w:t>
      </w:r>
    </w:p>
    <w:p>
      <w:pPr>
        <w:pStyle w:val="Compact"/>
        <w:numPr>
          <w:ilvl w:val="0"/>
          <w:numId w:val="1011"/>
        </w:numPr>
      </w:pPr>
      <w:r>
        <w:t xml:space="preserve">Blinding impact.</w:t>
      </w:r>
    </w:p>
    <w:p>
      <w:pPr>
        <w:pStyle w:val="Compact"/>
        <w:numPr>
          <w:ilvl w:val="0"/>
          <w:numId w:val="1011"/>
        </w:numPr>
      </w:pPr>
      <w:r>
        <w:t xml:space="preserve">SAE/AE linkage.</w:t>
      </w:r>
    </w:p>
    <w:p>
      <w:pPr>
        <w:pStyle w:val="Compact"/>
        <w:numPr>
          <w:ilvl w:val="0"/>
          <w:numId w:val="1011"/>
        </w:numPr>
      </w:pPr>
      <w:r>
        <w:t xml:space="preserve">Sponsor reporting requirement.</w:t>
      </w:r>
    </w:p>
    <w:p>
      <w:pPr>
        <w:pStyle w:val="Compact"/>
        <w:numPr>
          <w:ilvl w:val="0"/>
          <w:numId w:val="1011"/>
        </w:numPr>
      </w:pPr>
      <w:r>
        <w:t xml:space="preserve">IRB/IEC reporting requirement.</w:t>
      </w:r>
    </w:p>
    <w:p>
      <w:pPr>
        <w:pStyle w:val="Compact"/>
        <w:numPr>
          <w:ilvl w:val="0"/>
          <w:numId w:val="1011"/>
        </w:numPr>
      </w:pPr>
      <w:r>
        <w:t xml:space="preserve">Regulatory reporting requirement.</w:t>
      </w:r>
    </w:p>
    <w:p>
      <w:pPr>
        <w:pStyle w:val="Compact"/>
        <w:numPr>
          <w:ilvl w:val="0"/>
          <w:numId w:val="1011"/>
        </w:numPr>
      </w:pPr>
      <w:r>
        <w:t xml:space="preserve">Root cause.</w:t>
      </w:r>
    </w:p>
    <w:p>
      <w:pPr>
        <w:pStyle w:val="Compact"/>
        <w:numPr>
          <w:ilvl w:val="0"/>
          <w:numId w:val="1011"/>
        </w:numPr>
      </w:pPr>
      <w:r>
        <w:t xml:space="preserve">Corrective action.</w:t>
      </w:r>
    </w:p>
    <w:p>
      <w:pPr>
        <w:pStyle w:val="Compact"/>
        <w:numPr>
          <w:ilvl w:val="0"/>
          <w:numId w:val="1011"/>
        </w:numPr>
      </w:pPr>
      <w:r>
        <w:t xml:space="preserve">Preventive action.</w:t>
      </w:r>
    </w:p>
    <w:p>
      <w:pPr>
        <w:pStyle w:val="Compact"/>
        <w:numPr>
          <w:ilvl w:val="0"/>
          <w:numId w:val="1011"/>
        </w:numPr>
      </w:pPr>
      <w:r>
        <w:t xml:space="preserve">Owner.</w:t>
      </w:r>
    </w:p>
    <w:p>
      <w:pPr>
        <w:pStyle w:val="Compact"/>
        <w:numPr>
          <w:ilvl w:val="0"/>
          <w:numId w:val="1011"/>
        </w:numPr>
      </w:pPr>
      <w:r>
        <w:t xml:space="preserve">Due date.</w:t>
      </w:r>
    </w:p>
    <w:p>
      <w:pPr>
        <w:pStyle w:val="Compact"/>
        <w:numPr>
          <w:ilvl w:val="0"/>
          <w:numId w:val="1011"/>
        </w:numPr>
      </w:pPr>
      <w:r>
        <w:t xml:space="preserve">Status.</w:t>
      </w:r>
    </w:p>
    <w:p>
      <w:pPr>
        <w:pStyle w:val="Compact"/>
        <w:numPr>
          <w:ilvl w:val="0"/>
          <w:numId w:val="1011"/>
        </w:numPr>
      </w:pPr>
      <w:r>
        <w:t xml:space="preserve">Verification evidence.</w:t>
      </w:r>
    </w:p>
    <w:p>
      <w:pPr>
        <w:pStyle w:val="Compact"/>
        <w:numPr>
          <w:ilvl w:val="0"/>
          <w:numId w:val="1011"/>
        </w:numPr>
      </w:pPr>
      <w:r>
        <w:t xml:space="preserve">Effectiveness check.</w:t>
      </w:r>
    </w:p>
    <w:p>
      <w:pPr>
        <w:pStyle w:val="Compact"/>
        <w:numPr>
          <w:ilvl w:val="0"/>
          <w:numId w:val="1011"/>
        </w:numPr>
      </w:pPr>
      <w:r>
        <w:t xml:space="preserve">Closure approver.</w:t>
      </w:r>
    </w:p>
    <w:p>
      <w:pPr>
        <w:pStyle w:val="Compact"/>
        <w:numPr>
          <w:ilvl w:val="0"/>
          <w:numId w:val="1011"/>
        </w:numPr>
      </w:pPr>
      <w:r>
        <w:t xml:space="preserve">Decision Forum escalation, if required.</w:t>
      </w:r>
    </w:p>
    <w:p>
      <w:pPr>
        <w:pStyle w:val="Compact"/>
        <w:numPr>
          <w:ilvl w:val="0"/>
          <w:numId w:val="1011"/>
        </w:numPr>
      </w:pPr>
      <w:r>
        <w:t xml:space="preserve">Exochain receipt.</w:t>
      </w:r>
    </w:p>
    <w:p>
      <w:pPr>
        <w:pStyle w:val="FirstParagraph"/>
      </w:pPr>
      <w:r>
        <w:t xml:space="preserve">CAPA objects must include:</w:t>
      </w:r>
    </w:p>
    <w:p>
      <w:pPr>
        <w:pStyle w:val="Compact"/>
        <w:numPr>
          <w:ilvl w:val="0"/>
          <w:numId w:val="1012"/>
        </w:numPr>
      </w:pPr>
      <w:r>
        <w:t xml:space="preserve">CAPA identifier.</w:t>
      </w:r>
    </w:p>
    <w:p>
      <w:pPr>
        <w:pStyle w:val="Compact"/>
        <w:numPr>
          <w:ilvl w:val="0"/>
          <w:numId w:val="1012"/>
        </w:numPr>
      </w:pPr>
      <w:r>
        <w:t xml:space="preserve">CAPA type.</w:t>
      </w:r>
    </w:p>
    <w:p>
      <w:pPr>
        <w:pStyle w:val="Compact"/>
        <w:numPr>
          <w:ilvl w:val="0"/>
          <w:numId w:val="1012"/>
        </w:numPr>
      </w:pPr>
      <w:r>
        <w:t xml:space="preserve">Source event.</w:t>
      </w:r>
    </w:p>
    <w:p>
      <w:pPr>
        <w:pStyle w:val="Compact"/>
        <w:numPr>
          <w:ilvl w:val="0"/>
          <w:numId w:val="1012"/>
        </w:numPr>
      </w:pPr>
      <w:r>
        <w:t xml:space="preserve">Root cause category.</w:t>
      </w:r>
    </w:p>
    <w:p>
      <w:pPr>
        <w:pStyle w:val="Compact"/>
        <w:numPr>
          <w:ilvl w:val="0"/>
          <w:numId w:val="1012"/>
        </w:numPr>
      </w:pPr>
      <w:r>
        <w:t xml:space="preserve">Root cause narrative.</w:t>
      </w:r>
    </w:p>
    <w:p>
      <w:pPr>
        <w:pStyle w:val="Compact"/>
        <w:numPr>
          <w:ilvl w:val="0"/>
          <w:numId w:val="1012"/>
        </w:numPr>
      </w:pPr>
      <w:r>
        <w:t xml:space="preserve">Corrective action plan.</w:t>
      </w:r>
    </w:p>
    <w:p>
      <w:pPr>
        <w:pStyle w:val="Compact"/>
        <w:numPr>
          <w:ilvl w:val="0"/>
          <w:numId w:val="1012"/>
        </w:numPr>
      </w:pPr>
      <w:r>
        <w:t xml:space="preserve">Preventive action plan.</w:t>
      </w:r>
    </w:p>
    <w:p>
      <w:pPr>
        <w:pStyle w:val="Compact"/>
        <w:numPr>
          <w:ilvl w:val="0"/>
          <w:numId w:val="1012"/>
        </w:numPr>
      </w:pPr>
      <w:r>
        <w:t xml:space="preserve">Responsible owner.</w:t>
      </w:r>
    </w:p>
    <w:p>
      <w:pPr>
        <w:pStyle w:val="Compact"/>
        <w:numPr>
          <w:ilvl w:val="0"/>
          <w:numId w:val="1012"/>
        </w:numPr>
      </w:pPr>
      <w:r>
        <w:t xml:space="preserve">Required resources.</w:t>
      </w:r>
    </w:p>
    <w:p>
      <w:pPr>
        <w:pStyle w:val="Compact"/>
        <w:numPr>
          <w:ilvl w:val="0"/>
          <w:numId w:val="1012"/>
        </w:numPr>
      </w:pPr>
      <w:r>
        <w:t xml:space="preserve">Due dates.</w:t>
      </w:r>
    </w:p>
    <w:p>
      <w:pPr>
        <w:pStyle w:val="Compact"/>
        <w:numPr>
          <w:ilvl w:val="0"/>
          <w:numId w:val="1012"/>
        </w:numPr>
      </w:pPr>
      <w:r>
        <w:t xml:space="preserve">Impacted policies.</w:t>
      </w:r>
    </w:p>
    <w:p>
      <w:pPr>
        <w:pStyle w:val="Compact"/>
        <w:numPr>
          <w:ilvl w:val="0"/>
          <w:numId w:val="1012"/>
        </w:numPr>
      </w:pPr>
      <w:r>
        <w:t xml:space="preserve">Impacted SOPs.</w:t>
      </w:r>
    </w:p>
    <w:p>
      <w:pPr>
        <w:pStyle w:val="Compact"/>
        <w:numPr>
          <w:ilvl w:val="0"/>
          <w:numId w:val="1012"/>
        </w:numPr>
      </w:pPr>
      <w:r>
        <w:t xml:space="preserve">Impacted training.</w:t>
      </w:r>
    </w:p>
    <w:p>
      <w:pPr>
        <w:pStyle w:val="Compact"/>
        <w:numPr>
          <w:ilvl w:val="0"/>
          <w:numId w:val="1012"/>
        </w:numPr>
      </w:pPr>
      <w:r>
        <w:t xml:space="preserve">Impacted systems.</w:t>
      </w:r>
    </w:p>
    <w:p>
      <w:pPr>
        <w:pStyle w:val="Compact"/>
        <w:numPr>
          <w:ilvl w:val="0"/>
          <w:numId w:val="1012"/>
        </w:numPr>
      </w:pPr>
      <w:r>
        <w:t xml:space="preserve">Verification method.</w:t>
      </w:r>
    </w:p>
    <w:p>
      <w:pPr>
        <w:pStyle w:val="Compact"/>
        <w:numPr>
          <w:ilvl w:val="0"/>
          <w:numId w:val="1012"/>
        </w:numPr>
      </w:pPr>
      <w:r>
        <w:t xml:space="preserve">Effectiveness criteria.</w:t>
      </w:r>
    </w:p>
    <w:p>
      <w:pPr>
        <w:pStyle w:val="Compact"/>
        <w:numPr>
          <w:ilvl w:val="0"/>
          <w:numId w:val="1012"/>
        </w:numPr>
      </w:pPr>
      <w:r>
        <w:t xml:space="preserve">Follow-up date.</w:t>
      </w:r>
    </w:p>
    <w:p>
      <w:pPr>
        <w:pStyle w:val="Compact"/>
        <w:numPr>
          <w:ilvl w:val="0"/>
          <w:numId w:val="1012"/>
        </w:numPr>
      </w:pPr>
      <w:r>
        <w:t xml:space="preserve">Evidence package.</w:t>
      </w:r>
    </w:p>
    <w:p>
      <w:pPr>
        <w:pStyle w:val="Compact"/>
        <w:numPr>
          <w:ilvl w:val="0"/>
          <w:numId w:val="1012"/>
        </w:numPr>
      </w:pPr>
      <w:r>
        <w:t xml:space="preserve">Closure decision.</w:t>
      </w:r>
    </w:p>
    <w:p>
      <w:pPr>
        <w:pStyle w:val="Compact"/>
        <w:numPr>
          <w:ilvl w:val="0"/>
          <w:numId w:val="1012"/>
        </w:numPr>
      </w:pPr>
      <w:r>
        <w:t xml:space="preserve">Reopen conditions.</w:t>
      </w:r>
    </w:p>
    <w:p>
      <w:pPr>
        <w:pStyle w:val="Compact"/>
        <w:numPr>
          <w:ilvl w:val="0"/>
          <w:numId w:val="1012"/>
        </w:numPr>
      </w:pPr>
      <w:r>
        <w:t xml:space="preserve">Exochain receipt.</w:t>
      </w:r>
    </w:p>
    <w:bookmarkEnd w:id="58"/>
    <w:bookmarkStart w:id="59" w:name="X1ca3617bb9205c083d6b5e362306f4e6349ca8e"/>
    <w:p>
      <w:pPr>
        <w:pStyle w:val="Heading3"/>
      </w:pPr>
      <w:r>
        <w:t xml:space="preserve">10. Workforce, Training, Competency, and Delegation Module</w:t>
      </w:r>
    </w:p>
    <w:p>
      <w:pPr>
        <w:pStyle w:val="FirstParagraph"/>
      </w:pPr>
      <w:r>
        <w:t xml:space="preserve">This module manages people-centered workforce requirements, skill-mix review, qualifications, competencies, training, orientation, integration, performance review, leadership development, rights, well-being, and delegation.</w:t>
      </w:r>
    </w:p>
    <w:p>
      <w:pPr>
        <w:pStyle w:val="BodyText"/>
      </w:pPr>
      <w:r>
        <w:t xml:space="preserve">Staff profile objects must include:</w:t>
      </w:r>
    </w:p>
    <w:p>
      <w:pPr>
        <w:pStyle w:val="Compact"/>
        <w:numPr>
          <w:ilvl w:val="0"/>
          <w:numId w:val="1013"/>
        </w:numPr>
      </w:pPr>
      <w:r>
        <w:t xml:space="preserve">Staff identifier.</w:t>
      </w:r>
    </w:p>
    <w:p>
      <w:pPr>
        <w:pStyle w:val="Compact"/>
        <w:numPr>
          <w:ilvl w:val="0"/>
          <w:numId w:val="1013"/>
        </w:numPr>
      </w:pPr>
      <w:r>
        <w:t xml:space="preserve">Name.</w:t>
      </w:r>
    </w:p>
    <w:p>
      <w:pPr>
        <w:pStyle w:val="Compact"/>
        <w:numPr>
          <w:ilvl w:val="0"/>
          <w:numId w:val="1013"/>
        </w:numPr>
      </w:pPr>
      <w:r>
        <w:t xml:space="preserve">Role.</w:t>
      </w:r>
    </w:p>
    <w:p>
      <w:pPr>
        <w:pStyle w:val="Compact"/>
        <w:numPr>
          <w:ilvl w:val="0"/>
          <w:numId w:val="1013"/>
        </w:numPr>
      </w:pPr>
      <w:r>
        <w:t xml:space="preserve">Title.</w:t>
      </w:r>
    </w:p>
    <w:p>
      <w:pPr>
        <w:pStyle w:val="Compact"/>
        <w:numPr>
          <w:ilvl w:val="0"/>
          <w:numId w:val="1013"/>
        </w:numPr>
      </w:pPr>
      <w:r>
        <w:t xml:space="preserve">Department.</w:t>
      </w:r>
    </w:p>
    <w:p>
      <w:pPr>
        <w:pStyle w:val="Compact"/>
        <w:numPr>
          <w:ilvl w:val="0"/>
          <w:numId w:val="1013"/>
        </w:numPr>
      </w:pPr>
      <w:r>
        <w:t xml:space="preserve">Site.</w:t>
      </w:r>
    </w:p>
    <w:p>
      <w:pPr>
        <w:pStyle w:val="Compact"/>
        <w:numPr>
          <w:ilvl w:val="0"/>
          <w:numId w:val="1013"/>
        </w:numPr>
      </w:pPr>
      <w:r>
        <w:t xml:space="preserve">Employment or contract status.</w:t>
      </w:r>
    </w:p>
    <w:p>
      <w:pPr>
        <w:pStyle w:val="Compact"/>
        <w:numPr>
          <w:ilvl w:val="0"/>
          <w:numId w:val="1013"/>
        </w:numPr>
      </w:pPr>
      <w:r>
        <w:t xml:space="preserve">Qualifications.</w:t>
      </w:r>
    </w:p>
    <w:p>
      <w:pPr>
        <w:pStyle w:val="Compact"/>
        <w:numPr>
          <w:ilvl w:val="0"/>
          <w:numId w:val="1013"/>
        </w:numPr>
      </w:pPr>
      <w:r>
        <w:t xml:space="preserve">Licenses.</w:t>
      </w:r>
    </w:p>
    <w:p>
      <w:pPr>
        <w:pStyle w:val="Compact"/>
        <w:numPr>
          <w:ilvl w:val="0"/>
          <w:numId w:val="1013"/>
        </w:numPr>
      </w:pPr>
      <w:r>
        <w:t xml:space="preserve">Certifications.</w:t>
      </w:r>
    </w:p>
    <w:p>
      <w:pPr>
        <w:pStyle w:val="Compact"/>
        <w:numPr>
          <w:ilvl w:val="0"/>
          <w:numId w:val="1013"/>
        </w:numPr>
      </w:pPr>
      <w:r>
        <w:t xml:space="preserve">Experience.</w:t>
      </w:r>
    </w:p>
    <w:p>
      <w:pPr>
        <w:pStyle w:val="Compact"/>
        <w:numPr>
          <w:ilvl w:val="0"/>
          <w:numId w:val="1013"/>
        </w:numPr>
      </w:pPr>
      <w:r>
        <w:t xml:space="preserve">Training records.</w:t>
      </w:r>
    </w:p>
    <w:p>
      <w:pPr>
        <w:pStyle w:val="Compact"/>
        <w:numPr>
          <w:ilvl w:val="0"/>
          <w:numId w:val="1013"/>
        </w:numPr>
      </w:pPr>
      <w:r>
        <w:t xml:space="preserve">Competency attestations.</w:t>
      </w:r>
    </w:p>
    <w:p>
      <w:pPr>
        <w:pStyle w:val="Compact"/>
        <w:numPr>
          <w:ilvl w:val="0"/>
          <w:numId w:val="1013"/>
        </w:numPr>
      </w:pPr>
      <w:r>
        <w:t xml:space="preserve">Role requirements.</w:t>
      </w:r>
    </w:p>
    <w:p>
      <w:pPr>
        <w:pStyle w:val="Compact"/>
        <w:numPr>
          <w:ilvl w:val="0"/>
          <w:numId w:val="1013"/>
        </w:numPr>
      </w:pPr>
      <w:r>
        <w:t xml:space="preserve">Protocol assignments.</w:t>
      </w:r>
    </w:p>
    <w:p>
      <w:pPr>
        <w:pStyle w:val="Compact"/>
        <w:numPr>
          <w:ilvl w:val="0"/>
          <w:numId w:val="1013"/>
        </w:numPr>
      </w:pPr>
      <w:r>
        <w:t xml:space="preserve">Delegated responsibilities.</w:t>
      </w:r>
    </w:p>
    <w:p>
      <w:pPr>
        <w:pStyle w:val="Compact"/>
        <w:numPr>
          <w:ilvl w:val="0"/>
          <w:numId w:val="1013"/>
        </w:numPr>
      </w:pPr>
      <w:r>
        <w:t xml:space="preserve">Start date.</w:t>
      </w:r>
    </w:p>
    <w:p>
      <w:pPr>
        <w:pStyle w:val="Compact"/>
        <w:numPr>
          <w:ilvl w:val="0"/>
          <w:numId w:val="1013"/>
        </w:numPr>
      </w:pPr>
      <w:r>
        <w:t xml:space="preserve">End date.</w:t>
      </w:r>
    </w:p>
    <w:p>
      <w:pPr>
        <w:pStyle w:val="Compact"/>
        <w:numPr>
          <w:ilvl w:val="0"/>
          <w:numId w:val="1013"/>
        </w:numPr>
      </w:pPr>
      <w:r>
        <w:t xml:space="preserve">Access rights.</w:t>
      </w:r>
    </w:p>
    <w:p>
      <w:pPr>
        <w:pStyle w:val="Compact"/>
        <w:numPr>
          <w:ilvl w:val="0"/>
          <w:numId w:val="1013"/>
        </w:numPr>
      </w:pPr>
      <w:r>
        <w:t xml:space="preserve">System privileges.</w:t>
      </w:r>
    </w:p>
    <w:p>
      <w:pPr>
        <w:pStyle w:val="Compact"/>
        <w:numPr>
          <w:ilvl w:val="0"/>
          <w:numId w:val="1013"/>
        </w:numPr>
      </w:pPr>
      <w:r>
        <w:t xml:space="preserve">Training gaps.</w:t>
      </w:r>
    </w:p>
    <w:p>
      <w:pPr>
        <w:pStyle w:val="Compact"/>
        <w:numPr>
          <w:ilvl w:val="0"/>
          <w:numId w:val="1013"/>
        </w:numPr>
      </w:pPr>
      <w:r>
        <w:t xml:space="preserve">Competency gaps.</w:t>
      </w:r>
    </w:p>
    <w:p>
      <w:pPr>
        <w:pStyle w:val="Compact"/>
        <w:numPr>
          <w:ilvl w:val="0"/>
          <w:numId w:val="1013"/>
        </w:numPr>
      </w:pPr>
      <w:r>
        <w:t xml:space="preserve">Performance review status.</w:t>
      </w:r>
    </w:p>
    <w:p>
      <w:pPr>
        <w:pStyle w:val="Compact"/>
        <w:numPr>
          <w:ilvl w:val="0"/>
          <w:numId w:val="1013"/>
        </w:numPr>
      </w:pPr>
      <w:r>
        <w:t xml:space="preserve">Well-being concern status, if applicable and permitted.</w:t>
      </w:r>
    </w:p>
    <w:p>
      <w:pPr>
        <w:pStyle w:val="Compact"/>
        <w:numPr>
          <w:ilvl w:val="0"/>
          <w:numId w:val="1013"/>
        </w:numPr>
      </w:pPr>
      <w:r>
        <w:t xml:space="preserve">Conflict disclosures.</w:t>
      </w:r>
    </w:p>
    <w:p>
      <w:pPr>
        <w:pStyle w:val="Compact"/>
        <w:numPr>
          <w:ilvl w:val="0"/>
          <w:numId w:val="1013"/>
        </w:numPr>
      </w:pPr>
      <w:r>
        <w:t xml:space="preserve">Recusal records.</w:t>
      </w:r>
    </w:p>
    <w:p>
      <w:pPr>
        <w:pStyle w:val="Compact"/>
        <w:numPr>
          <w:ilvl w:val="0"/>
          <w:numId w:val="1013"/>
        </w:numPr>
      </w:pPr>
      <w:r>
        <w:t xml:space="preserve">Exochain identity/authority linkage.</w:t>
      </w:r>
    </w:p>
    <w:p>
      <w:pPr>
        <w:pStyle w:val="FirstParagraph"/>
      </w:pPr>
      <w:r>
        <w:t xml:space="preserve">Training objects must include:</w:t>
      </w:r>
    </w:p>
    <w:p>
      <w:pPr>
        <w:pStyle w:val="Compact"/>
        <w:numPr>
          <w:ilvl w:val="0"/>
          <w:numId w:val="1014"/>
        </w:numPr>
      </w:pPr>
      <w:r>
        <w:t xml:space="preserve">Training identifier.</w:t>
      </w:r>
    </w:p>
    <w:p>
      <w:pPr>
        <w:pStyle w:val="Compact"/>
        <w:numPr>
          <w:ilvl w:val="0"/>
          <w:numId w:val="1014"/>
        </w:numPr>
      </w:pPr>
      <w:r>
        <w:t xml:space="preserve">Training title.</w:t>
      </w:r>
    </w:p>
    <w:p>
      <w:pPr>
        <w:pStyle w:val="Compact"/>
        <w:numPr>
          <w:ilvl w:val="0"/>
          <w:numId w:val="1014"/>
        </w:numPr>
      </w:pPr>
      <w:r>
        <w:t xml:space="preserve">Training type.</w:t>
      </w:r>
    </w:p>
    <w:p>
      <w:pPr>
        <w:pStyle w:val="Compact"/>
        <w:numPr>
          <w:ilvl w:val="0"/>
          <w:numId w:val="1014"/>
        </w:numPr>
      </w:pPr>
      <w:r>
        <w:t xml:space="preserve">Required roles.</w:t>
      </w:r>
    </w:p>
    <w:p>
      <w:pPr>
        <w:pStyle w:val="Compact"/>
        <w:numPr>
          <w:ilvl w:val="0"/>
          <w:numId w:val="1014"/>
        </w:numPr>
      </w:pPr>
      <w:r>
        <w:t xml:space="preserve">Required protocols.</w:t>
      </w:r>
    </w:p>
    <w:p>
      <w:pPr>
        <w:pStyle w:val="Compact"/>
        <w:numPr>
          <w:ilvl w:val="0"/>
          <w:numId w:val="1014"/>
        </w:numPr>
      </w:pPr>
      <w:r>
        <w:t xml:space="preserve">Required controls.</w:t>
      </w:r>
    </w:p>
    <w:p>
      <w:pPr>
        <w:pStyle w:val="Compact"/>
        <w:numPr>
          <w:ilvl w:val="0"/>
          <w:numId w:val="1014"/>
        </w:numPr>
      </w:pPr>
      <w:r>
        <w:t xml:space="preserve">Required frequency.</w:t>
      </w:r>
    </w:p>
    <w:p>
      <w:pPr>
        <w:pStyle w:val="Compact"/>
        <w:numPr>
          <w:ilvl w:val="0"/>
          <w:numId w:val="1014"/>
        </w:numPr>
      </w:pPr>
      <w:r>
        <w:t xml:space="preserve">Training material.</w:t>
      </w:r>
    </w:p>
    <w:p>
      <w:pPr>
        <w:pStyle w:val="Compact"/>
        <w:numPr>
          <w:ilvl w:val="0"/>
          <w:numId w:val="1014"/>
        </w:numPr>
      </w:pPr>
      <w:r>
        <w:t xml:space="preserve">Training provider.</w:t>
      </w:r>
    </w:p>
    <w:p>
      <w:pPr>
        <w:pStyle w:val="Compact"/>
        <w:numPr>
          <w:ilvl w:val="0"/>
          <w:numId w:val="1014"/>
        </w:numPr>
      </w:pPr>
      <w:r>
        <w:t xml:space="preserve">Completion evidence.</w:t>
      </w:r>
    </w:p>
    <w:p>
      <w:pPr>
        <w:pStyle w:val="Compact"/>
        <w:numPr>
          <w:ilvl w:val="0"/>
          <w:numId w:val="1014"/>
        </w:numPr>
      </w:pPr>
      <w:r>
        <w:t xml:space="preserve">Assessment score.</w:t>
      </w:r>
    </w:p>
    <w:p>
      <w:pPr>
        <w:pStyle w:val="Compact"/>
        <w:numPr>
          <w:ilvl w:val="0"/>
          <w:numId w:val="1014"/>
        </w:numPr>
      </w:pPr>
      <w:r>
        <w:t xml:space="preserve">Competency verification.</w:t>
      </w:r>
    </w:p>
    <w:p>
      <w:pPr>
        <w:pStyle w:val="Compact"/>
        <w:numPr>
          <w:ilvl w:val="0"/>
          <w:numId w:val="1014"/>
        </w:numPr>
      </w:pPr>
      <w:r>
        <w:t xml:space="preserve">Expiration.</w:t>
      </w:r>
    </w:p>
    <w:p>
      <w:pPr>
        <w:pStyle w:val="Compact"/>
        <w:numPr>
          <w:ilvl w:val="0"/>
          <w:numId w:val="1014"/>
        </w:numPr>
      </w:pPr>
      <w:r>
        <w:t xml:space="preserve">Refresher requirement.</w:t>
      </w:r>
    </w:p>
    <w:p>
      <w:pPr>
        <w:pStyle w:val="Compact"/>
        <w:numPr>
          <w:ilvl w:val="0"/>
          <w:numId w:val="1014"/>
        </w:numPr>
      </w:pPr>
      <w:r>
        <w:t xml:space="preserve">Supervisor approval.</w:t>
      </w:r>
    </w:p>
    <w:p>
      <w:pPr>
        <w:pStyle w:val="Compact"/>
        <w:numPr>
          <w:ilvl w:val="0"/>
          <w:numId w:val="1014"/>
        </w:numPr>
      </w:pPr>
      <w:r>
        <w:t xml:space="preserve">External body reporting eligibility.</w:t>
      </w:r>
    </w:p>
    <w:p>
      <w:pPr>
        <w:pStyle w:val="Compact"/>
        <w:numPr>
          <w:ilvl w:val="0"/>
          <w:numId w:val="1014"/>
        </w:numPr>
      </w:pPr>
      <w:r>
        <w:t xml:space="preserve">Exochain receipt.</w:t>
      </w:r>
    </w:p>
    <w:p>
      <w:pPr>
        <w:pStyle w:val="FirstParagraph"/>
      </w:pPr>
      <w:r>
        <w:t xml:space="preserve">Delegation objects must include:</w:t>
      </w:r>
    </w:p>
    <w:p>
      <w:pPr>
        <w:pStyle w:val="Compact"/>
        <w:numPr>
          <w:ilvl w:val="0"/>
          <w:numId w:val="1015"/>
        </w:numPr>
      </w:pPr>
      <w:r>
        <w:t xml:space="preserve">Delegation identifier.</w:t>
      </w:r>
    </w:p>
    <w:p>
      <w:pPr>
        <w:pStyle w:val="Compact"/>
        <w:numPr>
          <w:ilvl w:val="0"/>
          <w:numId w:val="1015"/>
        </w:numPr>
      </w:pPr>
      <w:r>
        <w:t xml:space="preserve">Delegator.</w:t>
      </w:r>
    </w:p>
    <w:p>
      <w:pPr>
        <w:pStyle w:val="Compact"/>
        <w:numPr>
          <w:ilvl w:val="0"/>
          <w:numId w:val="1015"/>
        </w:numPr>
      </w:pPr>
      <w:r>
        <w:t xml:space="preserve">Delegate.</w:t>
      </w:r>
    </w:p>
    <w:p>
      <w:pPr>
        <w:pStyle w:val="Compact"/>
        <w:numPr>
          <w:ilvl w:val="0"/>
          <w:numId w:val="1015"/>
        </w:numPr>
      </w:pPr>
      <w:r>
        <w:t xml:space="preserve">Role delegated.</w:t>
      </w:r>
    </w:p>
    <w:p>
      <w:pPr>
        <w:pStyle w:val="Compact"/>
        <w:numPr>
          <w:ilvl w:val="0"/>
          <w:numId w:val="1015"/>
        </w:numPr>
      </w:pPr>
      <w:r>
        <w:t xml:space="preserve">Scope.</w:t>
      </w:r>
    </w:p>
    <w:p>
      <w:pPr>
        <w:pStyle w:val="Compact"/>
        <w:numPr>
          <w:ilvl w:val="0"/>
          <w:numId w:val="1015"/>
        </w:numPr>
      </w:pPr>
      <w:r>
        <w:t xml:space="preserve">Protocol linkage.</w:t>
      </w:r>
    </w:p>
    <w:p>
      <w:pPr>
        <w:pStyle w:val="Compact"/>
        <w:numPr>
          <w:ilvl w:val="0"/>
          <w:numId w:val="1015"/>
        </w:numPr>
      </w:pPr>
      <w:r>
        <w:t xml:space="preserve">Site linkage.</w:t>
      </w:r>
    </w:p>
    <w:p>
      <w:pPr>
        <w:pStyle w:val="Compact"/>
        <w:numPr>
          <w:ilvl w:val="0"/>
          <w:numId w:val="1015"/>
        </w:numPr>
      </w:pPr>
      <w:r>
        <w:t xml:space="preserve">Start date.</w:t>
      </w:r>
    </w:p>
    <w:p>
      <w:pPr>
        <w:pStyle w:val="Compact"/>
        <w:numPr>
          <w:ilvl w:val="0"/>
          <w:numId w:val="1015"/>
        </w:numPr>
      </w:pPr>
      <w:r>
        <w:t xml:space="preserve">End date.</w:t>
      </w:r>
    </w:p>
    <w:p>
      <w:pPr>
        <w:pStyle w:val="Compact"/>
        <w:numPr>
          <w:ilvl w:val="0"/>
          <w:numId w:val="1015"/>
        </w:numPr>
      </w:pPr>
      <w:r>
        <w:t xml:space="preserve">Required qualifications.</w:t>
      </w:r>
    </w:p>
    <w:p>
      <w:pPr>
        <w:pStyle w:val="Compact"/>
        <w:numPr>
          <w:ilvl w:val="0"/>
          <w:numId w:val="1015"/>
        </w:numPr>
      </w:pPr>
      <w:r>
        <w:t xml:space="preserve">Required training.</w:t>
      </w:r>
    </w:p>
    <w:p>
      <w:pPr>
        <w:pStyle w:val="Compact"/>
        <w:numPr>
          <w:ilvl w:val="0"/>
          <w:numId w:val="1015"/>
        </w:numPr>
      </w:pPr>
      <w:r>
        <w:t xml:space="preserve">Verification status.</w:t>
      </w:r>
    </w:p>
    <w:p>
      <w:pPr>
        <w:pStyle w:val="Compact"/>
        <w:numPr>
          <w:ilvl w:val="0"/>
          <w:numId w:val="1015"/>
        </w:numPr>
      </w:pPr>
      <w:r>
        <w:t xml:space="preserve">Limitations.</w:t>
      </w:r>
    </w:p>
    <w:p>
      <w:pPr>
        <w:pStyle w:val="Compact"/>
        <w:numPr>
          <w:ilvl w:val="0"/>
          <w:numId w:val="1015"/>
        </w:numPr>
      </w:pPr>
      <w:r>
        <w:t xml:space="preserve">Revocation conditions.</w:t>
      </w:r>
    </w:p>
    <w:p>
      <w:pPr>
        <w:pStyle w:val="Compact"/>
        <w:numPr>
          <w:ilvl w:val="0"/>
          <w:numId w:val="1015"/>
        </w:numPr>
      </w:pPr>
      <w:r>
        <w:t xml:space="preserve">Delegation approval.</w:t>
      </w:r>
    </w:p>
    <w:p>
      <w:pPr>
        <w:pStyle w:val="Compact"/>
        <w:numPr>
          <w:ilvl w:val="0"/>
          <w:numId w:val="1015"/>
        </w:numPr>
      </w:pPr>
      <w:r>
        <w:t xml:space="preserve">Linked authority chain.</w:t>
      </w:r>
    </w:p>
    <w:p>
      <w:pPr>
        <w:pStyle w:val="Compact"/>
        <w:numPr>
          <w:ilvl w:val="0"/>
          <w:numId w:val="1015"/>
        </w:numPr>
      </w:pPr>
      <w:r>
        <w:t xml:space="preserve">Audit record.</w:t>
      </w:r>
    </w:p>
    <w:p>
      <w:pPr>
        <w:pStyle w:val="Compact"/>
        <w:numPr>
          <w:ilvl w:val="0"/>
          <w:numId w:val="1015"/>
        </w:numPr>
      </w:pPr>
      <w:r>
        <w:t xml:space="preserve">Exochain receipt.</w:t>
      </w:r>
    </w:p>
    <w:bookmarkEnd w:id="59"/>
    <w:bookmarkStart w:id="60" w:name="Xb0dcdb3c1e5f7049e3d8de0d630480679880d36"/>
    <w:p>
      <w:pPr>
        <w:pStyle w:val="Heading3"/>
      </w:pPr>
      <w:r>
        <w:t xml:space="preserve">11. Ethical Framework and Concern Reporting Module</w:t>
      </w:r>
    </w:p>
    <w:p>
      <w:pPr>
        <w:pStyle w:val="FirstParagraph"/>
      </w:pPr>
      <w:r>
        <w:t xml:space="preserve">This module manages the site ethical framework, code of conduct, societal responsibility, open/inclusive leadership policy, anonymous concerns, no-blame culture, complaint handling, and staff rights.</w:t>
      </w:r>
    </w:p>
    <w:p>
      <w:pPr>
        <w:pStyle w:val="BodyText"/>
      </w:pPr>
      <w:r>
        <w:t xml:space="preserve">Ethics framework must include:</w:t>
      </w:r>
    </w:p>
    <w:p>
      <w:pPr>
        <w:pStyle w:val="Compact"/>
        <w:numPr>
          <w:ilvl w:val="0"/>
          <w:numId w:val="1016"/>
        </w:numPr>
      </w:pPr>
      <w:r>
        <w:t xml:space="preserve">Ethical statement.</w:t>
      </w:r>
    </w:p>
    <w:p>
      <w:pPr>
        <w:pStyle w:val="Compact"/>
        <w:numPr>
          <w:ilvl w:val="0"/>
          <w:numId w:val="1016"/>
        </w:numPr>
      </w:pPr>
      <w:r>
        <w:t xml:space="preserve">Code of conduct.</w:t>
      </w:r>
    </w:p>
    <w:p>
      <w:pPr>
        <w:pStyle w:val="Compact"/>
        <w:numPr>
          <w:ilvl w:val="0"/>
          <w:numId w:val="1016"/>
        </w:numPr>
      </w:pPr>
      <w:r>
        <w:t xml:space="preserve">Societal responsibility statement.</w:t>
      </w:r>
    </w:p>
    <w:p>
      <w:pPr>
        <w:pStyle w:val="Compact"/>
        <w:numPr>
          <w:ilvl w:val="0"/>
          <w:numId w:val="1016"/>
        </w:numPr>
      </w:pPr>
      <w:r>
        <w:t xml:space="preserve">Open and inclusive leadership policy.</w:t>
      </w:r>
    </w:p>
    <w:p>
      <w:pPr>
        <w:pStyle w:val="Compact"/>
        <w:numPr>
          <w:ilvl w:val="0"/>
          <w:numId w:val="1016"/>
        </w:numPr>
      </w:pPr>
      <w:r>
        <w:t xml:space="preserve">Conflict of interest policy.</w:t>
      </w:r>
    </w:p>
    <w:p>
      <w:pPr>
        <w:pStyle w:val="Compact"/>
        <w:numPr>
          <w:ilvl w:val="0"/>
          <w:numId w:val="1016"/>
        </w:numPr>
      </w:pPr>
      <w:r>
        <w:t xml:space="preserve">Recusal policy.</w:t>
      </w:r>
    </w:p>
    <w:p>
      <w:pPr>
        <w:pStyle w:val="Compact"/>
        <w:numPr>
          <w:ilvl w:val="0"/>
          <w:numId w:val="1016"/>
        </w:numPr>
      </w:pPr>
      <w:r>
        <w:t xml:space="preserve">Concern reporting policy.</w:t>
      </w:r>
    </w:p>
    <w:p>
      <w:pPr>
        <w:pStyle w:val="Compact"/>
        <w:numPr>
          <w:ilvl w:val="0"/>
          <w:numId w:val="1016"/>
        </w:numPr>
      </w:pPr>
      <w:r>
        <w:t xml:space="preserve">Anonymous reporting process.</w:t>
      </w:r>
    </w:p>
    <w:p>
      <w:pPr>
        <w:pStyle w:val="Compact"/>
        <w:numPr>
          <w:ilvl w:val="0"/>
          <w:numId w:val="1016"/>
        </w:numPr>
      </w:pPr>
      <w:r>
        <w:t xml:space="preserve">Non-retaliation policy.</w:t>
      </w:r>
    </w:p>
    <w:p>
      <w:pPr>
        <w:pStyle w:val="Compact"/>
        <w:numPr>
          <w:ilvl w:val="0"/>
          <w:numId w:val="1016"/>
        </w:numPr>
      </w:pPr>
      <w:r>
        <w:t xml:space="preserve">No-blame culture policy.</w:t>
      </w:r>
    </w:p>
    <w:p>
      <w:pPr>
        <w:pStyle w:val="Compact"/>
        <w:numPr>
          <w:ilvl w:val="0"/>
          <w:numId w:val="1016"/>
        </w:numPr>
      </w:pPr>
      <w:r>
        <w:t xml:space="preserve">Complaint handling procedure.</w:t>
      </w:r>
    </w:p>
    <w:p>
      <w:pPr>
        <w:pStyle w:val="Compact"/>
        <w:numPr>
          <w:ilvl w:val="0"/>
          <w:numId w:val="1016"/>
        </w:numPr>
      </w:pPr>
      <w:r>
        <w:t xml:space="preserve">Investigation procedure.</w:t>
      </w:r>
    </w:p>
    <w:p>
      <w:pPr>
        <w:pStyle w:val="Compact"/>
        <w:numPr>
          <w:ilvl w:val="0"/>
          <w:numId w:val="1016"/>
        </w:numPr>
      </w:pPr>
      <w:r>
        <w:t xml:space="preserve">Escalation procedure.</w:t>
      </w:r>
    </w:p>
    <w:p>
      <w:pPr>
        <w:pStyle w:val="Compact"/>
        <w:numPr>
          <w:ilvl w:val="0"/>
          <w:numId w:val="1016"/>
        </w:numPr>
      </w:pPr>
      <w:r>
        <w:t xml:space="preserve">Decision Forum linkage.</w:t>
      </w:r>
    </w:p>
    <w:p>
      <w:pPr>
        <w:pStyle w:val="Compact"/>
        <w:numPr>
          <w:ilvl w:val="0"/>
          <w:numId w:val="1016"/>
        </w:numPr>
      </w:pPr>
      <w:r>
        <w:t xml:space="preserve">Training requirement.</w:t>
      </w:r>
    </w:p>
    <w:p>
      <w:pPr>
        <w:pStyle w:val="Compact"/>
        <w:numPr>
          <w:ilvl w:val="0"/>
          <w:numId w:val="1016"/>
        </w:numPr>
      </w:pPr>
      <w:r>
        <w:t xml:space="preserve">Evidence requirements.</w:t>
      </w:r>
    </w:p>
    <w:p>
      <w:pPr>
        <w:pStyle w:val="Compact"/>
        <w:numPr>
          <w:ilvl w:val="0"/>
          <w:numId w:val="1016"/>
        </w:numPr>
      </w:pPr>
      <w:r>
        <w:t xml:space="preserve">Review cadence.</w:t>
      </w:r>
    </w:p>
    <w:p>
      <w:pPr>
        <w:pStyle w:val="Compact"/>
        <w:numPr>
          <w:ilvl w:val="0"/>
          <w:numId w:val="1016"/>
        </w:numPr>
      </w:pPr>
      <w:r>
        <w:t xml:space="preserve">Audit trail.</w:t>
      </w:r>
    </w:p>
    <w:p>
      <w:pPr>
        <w:pStyle w:val="FirstParagraph"/>
      </w:pPr>
      <w:r>
        <w:t xml:space="preserve">Concern objects must include:</w:t>
      </w:r>
    </w:p>
    <w:p>
      <w:pPr>
        <w:pStyle w:val="Compact"/>
        <w:numPr>
          <w:ilvl w:val="0"/>
          <w:numId w:val="1017"/>
        </w:numPr>
      </w:pPr>
      <w:r>
        <w:t xml:space="preserve">Concern identifier.</w:t>
      </w:r>
    </w:p>
    <w:p>
      <w:pPr>
        <w:pStyle w:val="Compact"/>
        <w:numPr>
          <w:ilvl w:val="0"/>
          <w:numId w:val="1017"/>
        </w:numPr>
      </w:pPr>
      <w:r>
        <w:t xml:space="preserve">Reporter identity or anonymous marker.</w:t>
      </w:r>
    </w:p>
    <w:p>
      <w:pPr>
        <w:pStyle w:val="Compact"/>
        <w:numPr>
          <w:ilvl w:val="0"/>
          <w:numId w:val="1017"/>
        </w:numPr>
      </w:pPr>
      <w:r>
        <w:t xml:space="preserve">Date/time.</w:t>
      </w:r>
    </w:p>
    <w:p>
      <w:pPr>
        <w:pStyle w:val="Compact"/>
        <w:numPr>
          <w:ilvl w:val="0"/>
          <w:numId w:val="1017"/>
        </w:numPr>
      </w:pPr>
      <w:r>
        <w:t xml:space="preserve">Concern type.</w:t>
      </w:r>
    </w:p>
    <w:p>
      <w:pPr>
        <w:pStyle w:val="Compact"/>
        <w:numPr>
          <w:ilvl w:val="0"/>
          <w:numId w:val="1017"/>
        </w:numPr>
      </w:pPr>
      <w:r>
        <w:t xml:space="preserve">Description.</w:t>
      </w:r>
    </w:p>
    <w:p>
      <w:pPr>
        <w:pStyle w:val="Compact"/>
        <w:numPr>
          <w:ilvl w:val="0"/>
          <w:numId w:val="1017"/>
        </w:numPr>
      </w:pPr>
      <w:r>
        <w:t xml:space="preserve">Site.</w:t>
      </w:r>
    </w:p>
    <w:p>
      <w:pPr>
        <w:pStyle w:val="Compact"/>
        <w:numPr>
          <w:ilvl w:val="0"/>
          <w:numId w:val="1017"/>
        </w:numPr>
      </w:pPr>
      <w:r>
        <w:t xml:space="preserve">Study/protocol linkage, if applicable.</w:t>
      </w:r>
    </w:p>
    <w:p>
      <w:pPr>
        <w:pStyle w:val="Compact"/>
        <w:numPr>
          <w:ilvl w:val="0"/>
          <w:numId w:val="1017"/>
        </w:numPr>
      </w:pPr>
      <w:r>
        <w:t xml:space="preserve">Participant safety impact.</w:t>
      </w:r>
    </w:p>
    <w:p>
      <w:pPr>
        <w:pStyle w:val="Compact"/>
        <w:numPr>
          <w:ilvl w:val="0"/>
          <w:numId w:val="1017"/>
        </w:numPr>
      </w:pPr>
      <w:r>
        <w:t xml:space="preserve">Ethical impact.</w:t>
      </w:r>
    </w:p>
    <w:p>
      <w:pPr>
        <w:pStyle w:val="Compact"/>
        <w:numPr>
          <w:ilvl w:val="0"/>
          <w:numId w:val="1017"/>
        </w:numPr>
      </w:pPr>
      <w:r>
        <w:t xml:space="preserve">Data integrity impact.</w:t>
      </w:r>
    </w:p>
    <w:p>
      <w:pPr>
        <w:pStyle w:val="Compact"/>
        <w:numPr>
          <w:ilvl w:val="0"/>
          <w:numId w:val="1017"/>
        </w:numPr>
      </w:pPr>
      <w:r>
        <w:t xml:space="preserve">Retaliation risk.</w:t>
      </w:r>
    </w:p>
    <w:p>
      <w:pPr>
        <w:pStyle w:val="Compact"/>
        <w:numPr>
          <w:ilvl w:val="0"/>
          <w:numId w:val="1017"/>
        </w:numPr>
      </w:pPr>
      <w:r>
        <w:t xml:space="preserve">Immediate escalation flag.</w:t>
      </w:r>
    </w:p>
    <w:p>
      <w:pPr>
        <w:pStyle w:val="Compact"/>
        <w:numPr>
          <w:ilvl w:val="0"/>
          <w:numId w:val="1017"/>
        </w:numPr>
      </w:pPr>
      <w:r>
        <w:t xml:space="preserve">Assigned investigator.</w:t>
      </w:r>
    </w:p>
    <w:p>
      <w:pPr>
        <w:pStyle w:val="Compact"/>
        <w:numPr>
          <w:ilvl w:val="0"/>
          <w:numId w:val="1017"/>
        </w:numPr>
      </w:pPr>
      <w:r>
        <w:t xml:space="preserve">Investigation status.</w:t>
      </w:r>
    </w:p>
    <w:p>
      <w:pPr>
        <w:pStyle w:val="Compact"/>
        <w:numPr>
          <w:ilvl w:val="0"/>
          <w:numId w:val="1017"/>
        </w:numPr>
      </w:pPr>
      <w:r>
        <w:t xml:space="preserve">Findings.</w:t>
      </w:r>
    </w:p>
    <w:p>
      <w:pPr>
        <w:pStyle w:val="Compact"/>
        <w:numPr>
          <w:ilvl w:val="0"/>
          <w:numId w:val="1017"/>
        </w:numPr>
      </w:pPr>
      <w:r>
        <w:t xml:space="preserve">Corrective action.</w:t>
      </w:r>
    </w:p>
    <w:p>
      <w:pPr>
        <w:pStyle w:val="Compact"/>
        <w:numPr>
          <w:ilvl w:val="0"/>
          <w:numId w:val="1017"/>
        </w:numPr>
      </w:pPr>
      <w:r>
        <w:t xml:space="preserve">Communication record.</w:t>
      </w:r>
    </w:p>
    <w:p>
      <w:pPr>
        <w:pStyle w:val="Compact"/>
        <w:numPr>
          <w:ilvl w:val="0"/>
          <w:numId w:val="1017"/>
        </w:numPr>
      </w:pPr>
      <w:r>
        <w:t xml:space="preserve">Closure decision.</w:t>
      </w:r>
    </w:p>
    <w:p>
      <w:pPr>
        <w:pStyle w:val="Compact"/>
        <w:numPr>
          <w:ilvl w:val="0"/>
          <w:numId w:val="1017"/>
        </w:numPr>
      </w:pPr>
      <w:r>
        <w:t xml:space="preserve">Reporter notification status, if permitted.</w:t>
      </w:r>
    </w:p>
    <w:p>
      <w:pPr>
        <w:pStyle w:val="Compact"/>
        <w:numPr>
          <w:ilvl w:val="0"/>
          <w:numId w:val="1017"/>
        </w:numPr>
      </w:pPr>
      <w:r>
        <w:t xml:space="preserve">Exochain receipt.</w:t>
      </w:r>
    </w:p>
    <w:bookmarkEnd w:id="60"/>
    <w:bookmarkStart w:id="61" w:name="Xdb50018838116869bbf608b63bcc4322e2d6653"/>
    <w:p>
      <w:pPr>
        <w:pStyle w:val="Heading3"/>
      </w:pPr>
      <w:r>
        <w:t xml:space="preserve">12. Participant Protection and Informed Consent Module</w:t>
      </w:r>
    </w:p>
    <w:p>
      <w:pPr>
        <w:pStyle w:val="FirstParagraph"/>
      </w:pPr>
      <w:r>
        <w:t xml:space="preserve">This module manages informed consent policies, participant communications, consent documentation, assent, reconsent, legally authorized representatives, vulnerable populations, withdrawal, early termination, suspension, data sharing consent, and participant rights.</w:t>
      </w:r>
    </w:p>
    <w:p>
      <w:pPr>
        <w:pStyle w:val="BodyText"/>
      </w:pPr>
      <w:r>
        <w:t xml:space="preserve">Consent process objects must include:</w:t>
      </w:r>
    </w:p>
    <w:p>
      <w:pPr>
        <w:pStyle w:val="Compact"/>
        <w:numPr>
          <w:ilvl w:val="0"/>
          <w:numId w:val="1018"/>
        </w:numPr>
      </w:pPr>
      <w:r>
        <w:t xml:space="preserve">Consent process identifier.</w:t>
      </w:r>
    </w:p>
    <w:p>
      <w:pPr>
        <w:pStyle w:val="Compact"/>
        <w:numPr>
          <w:ilvl w:val="0"/>
          <w:numId w:val="1018"/>
        </w:numPr>
      </w:pPr>
      <w:r>
        <w:t xml:space="preserve">Protocol linkage.</w:t>
      </w:r>
    </w:p>
    <w:p>
      <w:pPr>
        <w:pStyle w:val="Compact"/>
        <w:numPr>
          <w:ilvl w:val="0"/>
          <w:numId w:val="1018"/>
        </w:numPr>
      </w:pPr>
      <w:r>
        <w:t xml:space="preserve">Approved consent form version.</w:t>
      </w:r>
    </w:p>
    <w:p>
      <w:pPr>
        <w:pStyle w:val="Compact"/>
        <w:numPr>
          <w:ilvl w:val="0"/>
          <w:numId w:val="1018"/>
        </w:numPr>
      </w:pPr>
      <w:r>
        <w:t xml:space="preserve">IEC/IRB approval record.</w:t>
      </w:r>
    </w:p>
    <w:p>
      <w:pPr>
        <w:pStyle w:val="Compact"/>
        <w:numPr>
          <w:ilvl w:val="0"/>
          <w:numId w:val="1018"/>
        </w:numPr>
      </w:pPr>
      <w:r>
        <w:t xml:space="preserve">Consent language/readability review.</w:t>
      </w:r>
    </w:p>
    <w:p>
      <w:pPr>
        <w:pStyle w:val="Compact"/>
        <w:numPr>
          <w:ilvl w:val="0"/>
          <w:numId w:val="1018"/>
        </w:numPr>
      </w:pPr>
      <w:r>
        <w:t xml:space="preserve">Required consent elements.</w:t>
      </w:r>
    </w:p>
    <w:p>
      <w:pPr>
        <w:pStyle w:val="Compact"/>
        <w:numPr>
          <w:ilvl w:val="0"/>
          <w:numId w:val="1018"/>
        </w:numPr>
      </w:pPr>
      <w:r>
        <w:t xml:space="preserve">Known risks statement.</w:t>
      </w:r>
    </w:p>
    <w:p>
      <w:pPr>
        <w:pStyle w:val="Compact"/>
        <w:numPr>
          <w:ilvl w:val="0"/>
          <w:numId w:val="1018"/>
        </w:numPr>
      </w:pPr>
      <w:r>
        <w:t xml:space="preserve">Unknown risks statement.</w:t>
      </w:r>
    </w:p>
    <w:p>
      <w:pPr>
        <w:pStyle w:val="Compact"/>
        <w:numPr>
          <w:ilvl w:val="0"/>
          <w:numId w:val="1018"/>
        </w:numPr>
      </w:pPr>
      <w:r>
        <w:t xml:space="preserve">Privacy compliance statement.</w:t>
      </w:r>
    </w:p>
    <w:p>
      <w:pPr>
        <w:pStyle w:val="Compact"/>
        <w:numPr>
          <w:ilvl w:val="0"/>
          <w:numId w:val="1018"/>
        </w:numPr>
      </w:pPr>
      <w:r>
        <w:t xml:space="preserve">Non-waiver of legal rights check.</w:t>
      </w:r>
    </w:p>
    <w:p>
      <w:pPr>
        <w:pStyle w:val="Compact"/>
        <w:numPr>
          <w:ilvl w:val="0"/>
          <w:numId w:val="1018"/>
        </w:numPr>
      </w:pPr>
      <w:r>
        <w:t xml:space="preserve">Non-release from negligence check.</w:t>
      </w:r>
    </w:p>
    <w:p>
      <w:pPr>
        <w:pStyle w:val="Compact"/>
        <w:numPr>
          <w:ilvl w:val="0"/>
          <w:numId w:val="1018"/>
        </w:numPr>
      </w:pPr>
      <w:r>
        <w:t xml:space="preserve">Alternative procedures disclosure.</w:t>
      </w:r>
    </w:p>
    <w:p>
      <w:pPr>
        <w:pStyle w:val="Compact"/>
        <w:numPr>
          <w:ilvl w:val="0"/>
          <w:numId w:val="1018"/>
        </w:numPr>
      </w:pPr>
      <w:r>
        <w:t xml:space="preserve">Confidentiality assurance.</w:t>
      </w:r>
    </w:p>
    <w:p>
      <w:pPr>
        <w:pStyle w:val="Compact"/>
        <w:numPr>
          <w:ilvl w:val="0"/>
          <w:numId w:val="1018"/>
        </w:numPr>
      </w:pPr>
      <w:r>
        <w:t xml:space="preserve">Financial consideration disclosure.</w:t>
      </w:r>
    </w:p>
    <w:p>
      <w:pPr>
        <w:pStyle w:val="Compact"/>
        <w:numPr>
          <w:ilvl w:val="0"/>
          <w:numId w:val="1018"/>
        </w:numPr>
      </w:pPr>
      <w:r>
        <w:t xml:space="preserve">Question opportunity procedure.</w:t>
      </w:r>
    </w:p>
    <w:p>
      <w:pPr>
        <w:pStyle w:val="Compact"/>
        <w:numPr>
          <w:ilvl w:val="0"/>
          <w:numId w:val="1018"/>
        </w:numPr>
      </w:pPr>
      <w:r>
        <w:t xml:space="preserve">Non-coercion disclaimer.</w:t>
      </w:r>
    </w:p>
    <w:p>
      <w:pPr>
        <w:pStyle w:val="Compact"/>
        <w:numPr>
          <w:ilvl w:val="0"/>
          <w:numId w:val="1018"/>
        </w:numPr>
      </w:pPr>
      <w:r>
        <w:t xml:space="preserve">Time-to-review procedure.</w:t>
      </w:r>
    </w:p>
    <w:p>
      <w:pPr>
        <w:pStyle w:val="Compact"/>
        <w:numPr>
          <w:ilvl w:val="0"/>
          <w:numId w:val="1018"/>
        </w:numPr>
      </w:pPr>
      <w:r>
        <w:t xml:space="preserve">Private setting procedure.</w:t>
      </w:r>
    </w:p>
    <w:p>
      <w:pPr>
        <w:pStyle w:val="Compact"/>
        <w:numPr>
          <w:ilvl w:val="0"/>
          <w:numId w:val="1018"/>
        </w:numPr>
      </w:pPr>
      <w:r>
        <w:t xml:space="preserve">Witness requirement.</w:t>
      </w:r>
    </w:p>
    <w:p>
      <w:pPr>
        <w:pStyle w:val="Compact"/>
        <w:numPr>
          <w:ilvl w:val="0"/>
          <w:numId w:val="1018"/>
        </w:numPr>
      </w:pPr>
      <w:r>
        <w:t xml:space="preserve">LAR requirement.</w:t>
      </w:r>
    </w:p>
    <w:p>
      <w:pPr>
        <w:pStyle w:val="Compact"/>
        <w:numPr>
          <w:ilvl w:val="0"/>
          <w:numId w:val="1018"/>
        </w:numPr>
      </w:pPr>
      <w:r>
        <w:t xml:space="preserve">Assent requirement.</w:t>
      </w:r>
    </w:p>
    <w:p>
      <w:pPr>
        <w:pStyle w:val="Compact"/>
        <w:numPr>
          <w:ilvl w:val="0"/>
          <w:numId w:val="1018"/>
        </w:numPr>
      </w:pPr>
      <w:r>
        <w:t xml:space="preserve">Vulnerable population safeguards.</w:t>
      </w:r>
    </w:p>
    <w:p>
      <w:pPr>
        <w:pStyle w:val="Compact"/>
        <w:numPr>
          <w:ilvl w:val="0"/>
          <w:numId w:val="1018"/>
        </w:numPr>
      </w:pPr>
      <w:r>
        <w:t xml:space="preserve">Emergency consent exception process.</w:t>
      </w:r>
    </w:p>
    <w:p>
      <w:pPr>
        <w:pStyle w:val="Compact"/>
        <w:numPr>
          <w:ilvl w:val="0"/>
          <w:numId w:val="1018"/>
        </w:numPr>
      </w:pPr>
      <w:r>
        <w:t xml:space="preserve">Waiver of documentation process.</w:t>
      </w:r>
    </w:p>
    <w:p>
      <w:pPr>
        <w:pStyle w:val="Compact"/>
        <w:numPr>
          <w:ilvl w:val="0"/>
          <w:numId w:val="1018"/>
        </w:numPr>
      </w:pPr>
      <w:r>
        <w:t xml:space="preserve">Reconsent trigger rules.</w:t>
      </w:r>
    </w:p>
    <w:p>
      <w:pPr>
        <w:pStyle w:val="Compact"/>
        <w:numPr>
          <w:ilvl w:val="0"/>
          <w:numId w:val="1018"/>
        </w:numPr>
      </w:pPr>
      <w:r>
        <w:t xml:space="preserve">Updated information dissemination rules.</w:t>
      </w:r>
    </w:p>
    <w:p>
      <w:pPr>
        <w:pStyle w:val="Compact"/>
        <w:numPr>
          <w:ilvl w:val="0"/>
          <w:numId w:val="1018"/>
        </w:numPr>
      </w:pPr>
      <w:r>
        <w:t xml:space="preserve">Participant copy delivery evidence.</w:t>
      </w:r>
    </w:p>
    <w:p>
      <w:pPr>
        <w:pStyle w:val="Compact"/>
        <w:numPr>
          <w:ilvl w:val="0"/>
          <w:numId w:val="1018"/>
        </w:numPr>
      </w:pPr>
      <w:r>
        <w:t xml:space="preserve">Withdrawal process.</w:t>
      </w:r>
    </w:p>
    <w:p>
      <w:pPr>
        <w:pStyle w:val="Compact"/>
        <w:numPr>
          <w:ilvl w:val="0"/>
          <w:numId w:val="1018"/>
        </w:numPr>
      </w:pPr>
      <w:r>
        <w:t xml:space="preserve">Lost-to-follow-up process.</w:t>
      </w:r>
    </w:p>
    <w:p>
      <w:pPr>
        <w:pStyle w:val="Compact"/>
        <w:numPr>
          <w:ilvl w:val="0"/>
          <w:numId w:val="1018"/>
        </w:numPr>
      </w:pPr>
      <w:r>
        <w:t xml:space="preserve">Data sharing consent evidence.</w:t>
      </w:r>
    </w:p>
    <w:p>
      <w:pPr>
        <w:pStyle w:val="Compact"/>
        <w:numPr>
          <w:ilvl w:val="0"/>
          <w:numId w:val="1018"/>
        </w:numPr>
      </w:pPr>
      <w:r>
        <w:t xml:space="preserve">Exochain consent/bailment linkage.</w:t>
      </w:r>
    </w:p>
    <w:p>
      <w:pPr>
        <w:pStyle w:val="FirstParagraph"/>
      </w:pPr>
      <w:r>
        <w:t xml:space="preserve">Participant protection workflows must enforce:</w:t>
      </w:r>
    </w:p>
    <w:p>
      <w:pPr>
        <w:pStyle w:val="Compact"/>
        <w:numPr>
          <w:ilvl w:val="0"/>
          <w:numId w:val="1019"/>
        </w:numPr>
      </w:pPr>
      <w:r>
        <w:t xml:space="preserve">No enrollment without applicable consent authorization, unless a documented emergency/waiver process applies.</w:t>
      </w:r>
    </w:p>
    <w:p>
      <w:pPr>
        <w:pStyle w:val="Compact"/>
        <w:numPr>
          <w:ilvl w:val="0"/>
          <w:numId w:val="1019"/>
        </w:numPr>
      </w:pPr>
      <w:r>
        <w:t xml:space="preserve">No use of superseded consent forms after effective date of new approved version.</w:t>
      </w:r>
    </w:p>
    <w:p>
      <w:pPr>
        <w:pStyle w:val="Compact"/>
        <w:numPr>
          <w:ilvl w:val="0"/>
          <w:numId w:val="1019"/>
        </w:numPr>
      </w:pPr>
      <w:r>
        <w:t xml:space="preserve">No consent collection by untrained staff.</w:t>
      </w:r>
    </w:p>
    <w:p>
      <w:pPr>
        <w:pStyle w:val="Compact"/>
        <w:numPr>
          <w:ilvl w:val="0"/>
          <w:numId w:val="1019"/>
        </w:numPr>
      </w:pPr>
      <w:r>
        <w:t xml:space="preserve">No recruitment of vulnerable populations without applicable safeguards.</w:t>
      </w:r>
    </w:p>
    <w:p>
      <w:pPr>
        <w:pStyle w:val="Compact"/>
        <w:numPr>
          <w:ilvl w:val="0"/>
          <w:numId w:val="1019"/>
        </w:numPr>
      </w:pPr>
      <w:r>
        <w:t xml:space="preserve">No continuation after material new information without documented communication/reconsent determination.</w:t>
      </w:r>
    </w:p>
    <w:p>
      <w:pPr>
        <w:pStyle w:val="Compact"/>
        <w:numPr>
          <w:ilvl w:val="0"/>
          <w:numId w:val="1019"/>
        </w:numPr>
      </w:pPr>
      <w:r>
        <w:t xml:space="preserve">No participant-facing material distribution without IEC/IRB approval where required.</w:t>
      </w:r>
    </w:p>
    <w:p>
      <w:pPr>
        <w:pStyle w:val="Compact"/>
        <w:numPr>
          <w:ilvl w:val="0"/>
          <w:numId w:val="1019"/>
        </w:numPr>
      </w:pPr>
      <w:r>
        <w:t xml:space="preserve">No coercive language or waiver of legal rights in participant materials.</w:t>
      </w:r>
    </w:p>
    <w:p>
      <w:pPr>
        <w:pStyle w:val="Compact"/>
        <w:numPr>
          <w:ilvl w:val="0"/>
          <w:numId w:val="1019"/>
        </w:numPr>
      </w:pPr>
      <w:r>
        <w:t xml:space="preserve">No unauthorized data sharing beyond documented consent.</w:t>
      </w:r>
    </w:p>
    <w:bookmarkEnd w:id="61"/>
    <w:bookmarkStart w:id="62" w:name="Xee3d3c81e7d5e9652d619b438418726fb422253"/>
    <w:p>
      <w:pPr>
        <w:pStyle w:val="Heading3"/>
      </w:pPr>
      <w:r>
        <w:t xml:space="preserve">13. Information Management and Data Integrity Module</w:t>
      </w:r>
    </w:p>
    <w:p>
      <w:pPr>
        <w:pStyle w:val="FirstParagraph"/>
      </w:pPr>
      <w:r>
        <w:t xml:space="preserve">This module manages clinical trial information management plans, record lists, source data traceability, document control, CRF media, discrepancy reporting, urgent reporting, SAE/AE/SUSAR reporting, DSMB reporting, document version history, ALCOAC support, correction records, safe-keeping, access, retention, final report requirements, and distribution.</w:t>
      </w:r>
    </w:p>
    <w:p>
      <w:pPr>
        <w:pStyle w:val="BodyText"/>
      </w:pPr>
      <w:r>
        <w:t xml:space="preserve">Information management plan objects must include:</w:t>
      </w:r>
    </w:p>
    <w:p>
      <w:pPr>
        <w:pStyle w:val="Compact"/>
        <w:numPr>
          <w:ilvl w:val="0"/>
          <w:numId w:val="1020"/>
        </w:numPr>
      </w:pPr>
      <w:r>
        <w:t xml:space="preserve">Plan identifier.</w:t>
      </w:r>
    </w:p>
    <w:p>
      <w:pPr>
        <w:pStyle w:val="Compact"/>
        <w:numPr>
          <w:ilvl w:val="0"/>
          <w:numId w:val="1020"/>
        </w:numPr>
      </w:pPr>
      <w:r>
        <w:t xml:space="preserve">Protocol linkage.</w:t>
      </w:r>
    </w:p>
    <w:p>
      <w:pPr>
        <w:pStyle w:val="Compact"/>
        <w:numPr>
          <w:ilvl w:val="0"/>
          <w:numId w:val="1020"/>
        </w:numPr>
      </w:pPr>
      <w:r>
        <w:t xml:space="preserve">Sponsor linkage.</w:t>
      </w:r>
    </w:p>
    <w:p>
      <w:pPr>
        <w:pStyle w:val="Compact"/>
        <w:numPr>
          <w:ilvl w:val="0"/>
          <w:numId w:val="1020"/>
        </w:numPr>
      </w:pPr>
      <w:r>
        <w:t xml:space="preserve">Site linkage.</w:t>
      </w:r>
    </w:p>
    <w:p>
      <w:pPr>
        <w:pStyle w:val="Compact"/>
        <w:numPr>
          <w:ilvl w:val="0"/>
          <w:numId w:val="1020"/>
        </w:numPr>
      </w:pPr>
      <w:r>
        <w:t xml:space="preserve">Milestones.</w:t>
      </w:r>
    </w:p>
    <w:p>
      <w:pPr>
        <w:pStyle w:val="Compact"/>
        <w:numPr>
          <w:ilvl w:val="0"/>
          <w:numId w:val="1020"/>
        </w:numPr>
      </w:pPr>
      <w:r>
        <w:t xml:space="preserve">Deadlines.</w:t>
      </w:r>
    </w:p>
    <w:p>
      <w:pPr>
        <w:pStyle w:val="Compact"/>
        <w:numPr>
          <w:ilvl w:val="0"/>
          <w:numId w:val="1020"/>
        </w:numPr>
      </w:pPr>
      <w:r>
        <w:t xml:space="preserve">Source data definition.</w:t>
      </w:r>
    </w:p>
    <w:p>
      <w:pPr>
        <w:pStyle w:val="Compact"/>
        <w:numPr>
          <w:ilvl w:val="0"/>
          <w:numId w:val="1020"/>
        </w:numPr>
      </w:pPr>
      <w:r>
        <w:t xml:space="preserve">Source data traceability.</w:t>
      </w:r>
    </w:p>
    <w:p>
      <w:pPr>
        <w:pStyle w:val="Compact"/>
        <w:numPr>
          <w:ilvl w:val="0"/>
          <w:numId w:val="1020"/>
        </w:numPr>
      </w:pPr>
      <w:r>
        <w:t xml:space="preserve">Participant code rules.</w:t>
      </w:r>
    </w:p>
    <w:p>
      <w:pPr>
        <w:pStyle w:val="Compact"/>
        <w:numPr>
          <w:ilvl w:val="0"/>
          <w:numId w:val="1020"/>
        </w:numPr>
      </w:pPr>
      <w:r>
        <w:t xml:space="preserve">Required records.</w:t>
      </w:r>
    </w:p>
    <w:p>
      <w:pPr>
        <w:pStyle w:val="Compact"/>
        <w:numPr>
          <w:ilvl w:val="0"/>
          <w:numId w:val="1020"/>
        </w:numPr>
      </w:pPr>
      <w:r>
        <w:t xml:space="preserve">CRF media.</w:t>
      </w:r>
    </w:p>
    <w:p>
      <w:pPr>
        <w:pStyle w:val="Compact"/>
        <w:numPr>
          <w:ilvl w:val="0"/>
          <w:numId w:val="1020"/>
        </w:numPr>
      </w:pPr>
      <w:r>
        <w:t xml:space="preserve">Data elements to report.</w:t>
      </w:r>
    </w:p>
    <w:p>
      <w:pPr>
        <w:pStyle w:val="Compact"/>
        <w:numPr>
          <w:ilvl w:val="0"/>
          <w:numId w:val="1020"/>
        </w:numPr>
      </w:pPr>
      <w:r>
        <w:t xml:space="preserve">Discrepancy reporting procedure.</w:t>
      </w:r>
    </w:p>
    <w:p>
      <w:pPr>
        <w:pStyle w:val="Compact"/>
        <w:numPr>
          <w:ilvl w:val="0"/>
          <w:numId w:val="1020"/>
        </w:numPr>
      </w:pPr>
      <w:r>
        <w:t xml:space="preserve">Urgent change reporting procedure.</w:t>
      </w:r>
    </w:p>
    <w:p>
      <w:pPr>
        <w:pStyle w:val="Compact"/>
        <w:numPr>
          <w:ilvl w:val="0"/>
          <w:numId w:val="1020"/>
        </w:numPr>
      </w:pPr>
      <w:r>
        <w:t xml:space="preserve">SAE reporting procedure.</w:t>
      </w:r>
    </w:p>
    <w:p>
      <w:pPr>
        <w:pStyle w:val="Compact"/>
        <w:numPr>
          <w:ilvl w:val="0"/>
          <w:numId w:val="1020"/>
        </w:numPr>
      </w:pPr>
      <w:r>
        <w:t xml:space="preserve">AE reporting procedure.</w:t>
      </w:r>
    </w:p>
    <w:p>
      <w:pPr>
        <w:pStyle w:val="Compact"/>
        <w:numPr>
          <w:ilvl w:val="0"/>
          <w:numId w:val="1020"/>
        </w:numPr>
      </w:pPr>
      <w:r>
        <w:t xml:space="preserve">SUSAR reporting procedure.</w:t>
      </w:r>
    </w:p>
    <w:p>
      <w:pPr>
        <w:pStyle w:val="Compact"/>
        <w:numPr>
          <w:ilvl w:val="0"/>
          <w:numId w:val="1020"/>
        </w:numPr>
      </w:pPr>
      <w:r>
        <w:t xml:space="preserve">DSMB reporting requirement.</w:t>
      </w:r>
    </w:p>
    <w:p>
      <w:pPr>
        <w:pStyle w:val="Compact"/>
        <w:numPr>
          <w:ilvl w:val="0"/>
          <w:numId w:val="1020"/>
        </w:numPr>
      </w:pPr>
      <w:r>
        <w:t xml:space="preserve">Sponsor reporting frequency.</w:t>
      </w:r>
    </w:p>
    <w:p>
      <w:pPr>
        <w:pStyle w:val="Compact"/>
        <w:numPr>
          <w:ilvl w:val="0"/>
          <w:numId w:val="1020"/>
        </w:numPr>
      </w:pPr>
      <w:r>
        <w:t xml:space="preserve">Document inventory.</w:t>
      </w:r>
    </w:p>
    <w:p>
      <w:pPr>
        <w:pStyle w:val="Compact"/>
        <w:numPr>
          <w:ilvl w:val="0"/>
          <w:numId w:val="1020"/>
        </w:numPr>
      </w:pPr>
      <w:r>
        <w:t xml:space="preserve">Version history.</w:t>
      </w:r>
    </w:p>
    <w:p>
      <w:pPr>
        <w:pStyle w:val="Compact"/>
        <w:numPr>
          <w:ilvl w:val="0"/>
          <w:numId w:val="1020"/>
        </w:numPr>
      </w:pPr>
      <w:r>
        <w:t xml:space="preserve">Approval dates.</w:t>
      </w:r>
    </w:p>
    <w:p>
      <w:pPr>
        <w:pStyle w:val="Compact"/>
        <w:numPr>
          <w:ilvl w:val="0"/>
          <w:numId w:val="1020"/>
        </w:numPr>
      </w:pPr>
      <w:r>
        <w:t xml:space="preserve">ALCOAC requirements.</w:t>
      </w:r>
    </w:p>
    <w:p>
      <w:pPr>
        <w:pStyle w:val="Compact"/>
        <w:numPr>
          <w:ilvl w:val="0"/>
          <w:numId w:val="1020"/>
        </w:numPr>
      </w:pPr>
      <w:r>
        <w:t xml:space="preserve">Correction rules.</w:t>
      </w:r>
    </w:p>
    <w:p>
      <w:pPr>
        <w:pStyle w:val="Compact"/>
        <w:numPr>
          <w:ilvl w:val="0"/>
          <w:numId w:val="1020"/>
        </w:numPr>
      </w:pPr>
      <w:r>
        <w:t xml:space="preserve">Document storage rules.</w:t>
      </w:r>
    </w:p>
    <w:p>
      <w:pPr>
        <w:pStyle w:val="Compact"/>
        <w:numPr>
          <w:ilvl w:val="0"/>
          <w:numId w:val="1020"/>
        </w:numPr>
      </w:pPr>
      <w:r>
        <w:t xml:space="preserve">Document security rules.</w:t>
      </w:r>
    </w:p>
    <w:p>
      <w:pPr>
        <w:pStyle w:val="Compact"/>
        <w:numPr>
          <w:ilvl w:val="0"/>
          <w:numId w:val="1020"/>
        </w:numPr>
      </w:pPr>
      <w:r>
        <w:t xml:space="preserve">Retention period.</w:t>
      </w:r>
    </w:p>
    <w:p>
      <w:pPr>
        <w:pStyle w:val="Compact"/>
        <w:numPr>
          <w:ilvl w:val="0"/>
          <w:numId w:val="1020"/>
        </w:numPr>
      </w:pPr>
      <w:r>
        <w:t xml:space="preserve">Access permissions.</w:t>
      </w:r>
    </w:p>
    <w:p>
      <w:pPr>
        <w:pStyle w:val="Compact"/>
        <w:numPr>
          <w:ilvl w:val="0"/>
          <w:numId w:val="1020"/>
        </w:numPr>
      </w:pPr>
      <w:r>
        <w:t xml:space="preserve">Review frequency.</w:t>
      </w:r>
    </w:p>
    <w:p>
      <w:pPr>
        <w:pStyle w:val="Compact"/>
        <w:numPr>
          <w:ilvl w:val="0"/>
          <w:numId w:val="1020"/>
        </w:numPr>
      </w:pPr>
      <w:r>
        <w:t xml:space="preserve">Final report requirements.</w:t>
      </w:r>
    </w:p>
    <w:p>
      <w:pPr>
        <w:pStyle w:val="Compact"/>
        <w:numPr>
          <w:ilvl w:val="0"/>
          <w:numId w:val="1020"/>
        </w:numPr>
      </w:pPr>
      <w:r>
        <w:t xml:space="preserve">Distribution rules.</w:t>
      </w:r>
    </w:p>
    <w:p>
      <w:pPr>
        <w:pStyle w:val="Compact"/>
        <w:numPr>
          <w:ilvl w:val="0"/>
          <w:numId w:val="1020"/>
        </w:numPr>
      </w:pPr>
      <w:r>
        <w:t xml:space="preserve">Staff communication evidence.</w:t>
      </w:r>
    </w:p>
    <w:p>
      <w:pPr>
        <w:pStyle w:val="FirstParagraph"/>
      </w:pPr>
      <w:r>
        <w:t xml:space="preserve">Electronic systems must support:</w:t>
      </w:r>
    </w:p>
    <w:p>
      <w:pPr>
        <w:pStyle w:val="Compact"/>
        <w:numPr>
          <w:ilvl w:val="0"/>
          <w:numId w:val="1021"/>
        </w:numPr>
      </w:pPr>
      <w:r>
        <w:t xml:space="preserve">Validation evidence.</w:t>
      </w:r>
    </w:p>
    <w:p>
      <w:pPr>
        <w:pStyle w:val="Compact"/>
        <w:numPr>
          <w:ilvl w:val="0"/>
          <w:numId w:val="1021"/>
        </w:numPr>
      </w:pPr>
      <w:r>
        <w:t xml:space="preserve">Verification evidence.</w:t>
      </w:r>
    </w:p>
    <w:p>
      <w:pPr>
        <w:pStyle w:val="Compact"/>
        <w:numPr>
          <w:ilvl w:val="0"/>
          <w:numId w:val="1021"/>
        </w:numPr>
      </w:pPr>
      <w:r>
        <w:t xml:space="preserve">Regulatory compliance mapping.</w:t>
      </w:r>
    </w:p>
    <w:p>
      <w:pPr>
        <w:pStyle w:val="Compact"/>
        <w:numPr>
          <w:ilvl w:val="0"/>
          <w:numId w:val="1021"/>
        </w:numPr>
      </w:pPr>
      <w:r>
        <w:t xml:space="preserve">Unauthorized use protection.</w:t>
      </w:r>
    </w:p>
    <w:p>
      <w:pPr>
        <w:pStyle w:val="Compact"/>
        <w:numPr>
          <w:ilvl w:val="0"/>
          <w:numId w:val="1021"/>
        </w:numPr>
      </w:pPr>
      <w:r>
        <w:t xml:space="preserve">Tampering protection.</w:t>
      </w:r>
    </w:p>
    <w:p>
      <w:pPr>
        <w:pStyle w:val="Compact"/>
        <w:numPr>
          <w:ilvl w:val="0"/>
          <w:numId w:val="1021"/>
        </w:numPr>
      </w:pPr>
      <w:r>
        <w:t xml:space="preserve">Data loss protection.</w:t>
      </w:r>
    </w:p>
    <w:p>
      <w:pPr>
        <w:pStyle w:val="Compact"/>
        <w:numPr>
          <w:ilvl w:val="0"/>
          <w:numId w:val="1021"/>
        </w:numPr>
      </w:pPr>
      <w:r>
        <w:t xml:space="preserve">Data protection regulation checks.</w:t>
      </w:r>
    </w:p>
    <w:p>
      <w:pPr>
        <w:pStyle w:val="Compact"/>
        <w:numPr>
          <w:ilvl w:val="0"/>
          <w:numId w:val="1021"/>
        </w:numPr>
      </w:pPr>
      <w:r>
        <w:t xml:space="preserve">Setup/installation/use procedures.</w:t>
      </w:r>
    </w:p>
    <w:p>
      <w:pPr>
        <w:pStyle w:val="Compact"/>
        <w:numPr>
          <w:ilvl w:val="0"/>
          <w:numId w:val="1021"/>
        </w:numPr>
      </w:pPr>
      <w:r>
        <w:t xml:space="preserve">Confidentiality procedures.</w:t>
      </w:r>
    </w:p>
    <w:p>
      <w:pPr>
        <w:pStyle w:val="Compact"/>
        <w:numPr>
          <w:ilvl w:val="0"/>
          <w:numId w:val="1021"/>
        </w:numPr>
      </w:pPr>
      <w:r>
        <w:t xml:space="preserve">Integrity procedures.</w:t>
      </w:r>
    </w:p>
    <w:p>
      <w:pPr>
        <w:pStyle w:val="Compact"/>
        <w:numPr>
          <w:ilvl w:val="0"/>
          <w:numId w:val="1021"/>
        </w:numPr>
      </w:pPr>
      <w:r>
        <w:t xml:space="preserve">Availability procedures.</w:t>
      </w:r>
    </w:p>
    <w:p>
      <w:pPr>
        <w:pStyle w:val="Compact"/>
        <w:numPr>
          <w:ilvl w:val="0"/>
          <w:numId w:val="1021"/>
        </w:numPr>
      </w:pPr>
      <w:r>
        <w:t xml:space="preserve">Backup procedures.</w:t>
      </w:r>
    </w:p>
    <w:p>
      <w:pPr>
        <w:pStyle w:val="Compact"/>
        <w:numPr>
          <w:ilvl w:val="0"/>
          <w:numId w:val="1021"/>
        </w:numPr>
      </w:pPr>
      <w:r>
        <w:t xml:space="preserve">Recovery procedures.</w:t>
      </w:r>
    </w:p>
    <w:p>
      <w:pPr>
        <w:pStyle w:val="Compact"/>
        <w:numPr>
          <w:ilvl w:val="0"/>
          <w:numId w:val="1021"/>
        </w:numPr>
      </w:pPr>
      <w:r>
        <w:t xml:space="preserve">Maintenance procedures.</w:t>
      </w:r>
    </w:p>
    <w:p>
      <w:pPr>
        <w:pStyle w:val="Compact"/>
        <w:numPr>
          <w:ilvl w:val="0"/>
          <w:numId w:val="1021"/>
        </w:numPr>
      </w:pPr>
      <w:r>
        <w:t xml:space="preserve">Business continuity procedures.</w:t>
      </w:r>
    </w:p>
    <w:p>
      <w:pPr>
        <w:pStyle w:val="Compact"/>
        <w:numPr>
          <w:ilvl w:val="0"/>
          <w:numId w:val="1021"/>
        </w:numPr>
      </w:pPr>
      <w:r>
        <w:t xml:space="preserve">Disaster recovery procedures.</w:t>
      </w:r>
    </w:p>
    <w:p>
      <w:pPr>
        <w:pStyle w:val="Compact"/>
        <w:numPr>
          <w:ilvl w:val="0"/>
          <w:numId w:val="1021"/>
        </w:numPr>
      </w:pPr>
      <w:r>
        <w:t xml:space="preserve">Authorized access list.</w:t>
      </w:r>
    </w:p>
    <w:p>
      <w:pPr>
        <w:pStyle w:val="Compact"/>
        <w:numPr>
          <w:ilvl w:val="0"/>
          <w:numId w:val="1021"/>
        </w:numPr>
      </w:pPr>
      <w:r>
        <w:t xml:space="preserve">Access start date.</w:t>
      </w:r>
    </w:p>
    <w:p>
      <w:pPr>
        <w:pStyle w:val="Compact"/>
        <w:numPr>
          <w:ilvl w:val="0"/>
          <w:numId w:val="1021"/>
        </w:numPr>
      </w:pPr>
      <w:r>
        <w:t xml:space="preserve">Access removal date.</w:t>
      </w:r>
    </w:p>
    <w:p>
      <w:pPr>
        <w:pStyle w:val="Compact"/>
        <w:numPr>
          <w:ilvl w:val="0"/>
          <w:numId w:val="1021"/>
        </w:numPr>
      </w:pPr>
      <w:r>
        <w:t xml:space="preserve">Monitor/auditor/IEC/regulator access controls.</w:t>
      </w:r>
    </w:p>
    <w:bookmarkEnd w:id="62"/>
    <w:bookmarkStart w:id="63" w:name="X2d941ab28646a4addcc30354257b7471e48aae7"/>
    <w:p>
      <w:pPr>
        <w:pStyle w:val="Heading3"/>
      </w:pPr>
      <w:r>
        <w:t xml:space="preserve">14. Facility, Infrastructure, Equipment, and Clinical Trial Product Module</w:t>
      </w:r>
    </w:p>
    <w:p>
      <w:pPr>
        <w:pStyle w:val="FirstParagraph"/>
      </w:pPr>
      <w:r>
        <w:t xml:space="preserve">This module manages physical environment, facility readiness, infrastructure, equipment, calibration, defective equipment handling, clinical trial product receipt/storage/transport/dispensing/access/disposal, stock control, and product accountability.</w:t>
      </w:r>
    </w:p>
    <w:p>
      <w:pPr>
        <w:pStyle w:val="BodyText"/>
      </w:pPr>
      <w:r>
        <w:t xml:space="preserve">Facility readiness objects must include:</w:t>
      </w:r>
    </w:p>
    <w:p>
      <w:pPr>
        <w:pStyle w:val="Compact"/>
        <w:numPr>
          <w:ilvl w:val="0"/>
          <w:numId w:val="1022"/>
        </w:numPr>
      </w:pPr>
      <w:r>
        <w:t xml:space="preserve">Facility identifier.</w:t>
      </w:r>
    </w:p>
    <w:p>
      <w:pPr>
        <w:pStyle w:val="Compact"/>
        <w:numPr>
          <w:ilvl w:val="0"/>
          <w:numId w:val="1022"/>
        </w:numPr>
      </w:pPr>
      <w:r>
        <w:t xml:space="preserve">Location.</w:t>
      </w:r>
    </w:p>
    <w:p>
      <w:pPr>
        <w:pStyle w:val="Compact"/>
        <w:numPr>
          <w:ilvl w:val="0"/>
          <w:numId w:val="1022"/>
        </w:numPr>
      </w:pPr>
      <w:r>
        <w:t xml:space="preserve">Trial-specific requirements.</w:t>
      </w:r>
    </w:p>
    <w:p>
      <w:pPr>
        <w:pStyle w:val="Compact"/>
        <w:numPr>
          <w:ilvl w:val="0"/>
          <w:numId w:val="1022"/>
        </w:numPr>
      </w:pPr>
      <w:r>
        <w:t xml:space="preserve">Work environment assessment.</w:t>
      </w:r>
    </w:p>
    <w:p>
      <w:pPr>
        <w:pStyle w:val="Compact"/>
        <w:numPr>
          <w:ilvl w:val="0"/>
          <w:numId w:val="1022"/>
        </w:numPr>
      </w:pPr>
      <w:r>
        <w:t xml:space="preserve">Participant environment assessment.</w:t>
      </w:r>
    </w:p>
    <w:p>
      <w:pPr>
        <w:pStyle w:val="Compact"/>
        <w:numPr>
          <w:ilvl w:val="0"/>
          <w:numId w:val="1022"/>
        </w:numPr>
      </w:pPr>
      <w:r>
        <w:t xml:space="preserve">Staff well-being assessment.</w:t>
      </w:r>
    </w:p>
    <w:p>
      <w:pPr>
        <w:pStyle w:val="Compact"/>
        <w:numPr>
          <w:ilvl w:val="0"/>
          <w:numId w:val="1022"/>
        </w:numPr>
      </w:pPr>
      <w:r>
        <w:t xml:space="preserve">Health and safety assessment.</w:t>
      </w:r>
    </w:p>
    <w:p>
      <w:pPr>
        <w:pStyle w:val="Compact"/>
        <w:numPr>
          <w:ilvl w:val="0"/>
          <w:numId w:val="1022"/>
        </w:numPr>
      </w:pPr>
      <w:r>
        <w:t xml:space="preserve">Accessibility assessment.</w:t>
      </w:r>
    </w:p>
    <w:p>
      <w:pPr>
        <w:pStyle w:val="Compact"/>
        <w:numPr>
          <w:ilvl w:val="0"/>
          <w:numId w:val="1022"/>
        </w:numPr>
      </w:pPr>
      <w:r>
        <w:t xml:space="preserve">Equipment list.</w:t>
      </w:r>
    </w:p>
    <w:p>
      <w:pPr>
        <w:pStyle w:val="Compact"/>
        <w:numPr>
          <w:ilvl w:val="0"/>
          <w:numId w:val="1022"/>
        </w:numPr>
      </w:pPr>
      <w:r>
        <w:t xml:space="preserve">Infrastructure list.</w:t>
      </w:r>
    </w:p>
    <w:p>
      <w:pPr>
        <w:pStyle w:val="Compact"/>
        <w:numPr>
          <w:ilvl w:val="0"/>
          <w:numId w:val="1022"/>
        </w:numPr>
      </w:pPr>
      <w:r>
        <w:t xml:space="preserve">Maintenance program.</w:t>
      </w:r>
    </w:p>
    <w:p>
      <w:pPr>
        <w:pStyle w:val="Compact"/>
        <w:numPr>
          <w:ilvl w:val="0"/>
          <w:numId w:val="1022"/>
        </w:numPr>
      </w:pPr>
      <w:r>
        <w:t xml:space="preserve">Required utilities.</w:t>
      </w:r>
    </w:p>
    <w:p>
      <w:pPr>
        <w:pStyle w:val="Compact"/>
        <w:numPr>
          <w:ilvl w:val="0"/>
          <w:numId w:val="1022"/>
        </w:numPr>
      </w:pPr>
      <w:r>
        <w:t xml:space="preserve">Required storage.</w:t>
      </w:r>
    </w:p>
    <w:p>
      <w:pPr>
        <w:pStyle w:val="Compact"/>
        <w:numPr>
          <w:ilvl w:val="0"/>
          <w:numId w:val="1022"/>
        </w:numPr>
      </w:pPr>
      <w:r>
        <w:t xml:space="preserve">Required security.</w:t>
      </w:r>
    </w:p>
    <w:p>
      <w:pPr>
        <w:pStyle w:val="Compact"/>
        <w:numPr>
          <w:ilvl w:val="0"/>
          <w:numId w:val="1022"/>
        </w:numPr>
      </w:pPr>
      <w:r>
        <w:t xml:space="preserve">Required privacy.</w:t>
      </w:r>
    </w:p>
    <w:p>
      <w:pPr>
        <w:pStyle w:val="Compact"/>
        <w:numPr>
          <w:ilvl w:val="0"/>
          <w:numId w:val="1022"/>
        </w:numPr>
      </w:pPr>
      <w:r>
        <w:t xml:space="preserve">Monitoring evidence.</w:t>
      </w:r>
    </w:p>
    <w:p>
      <w:pPr>
        <w:pStyle w:val="Compact"/>
        <w:numPr>
          <w:ilvl w:val="0"/>
          <w:numId w:val="1022"/>
        </w:numPr>
      </w:pPr>
      <w:r>
        <w:t xml:space="preserve">Readiness status.</w:t>
      </w:r>
    </w:p>
    <w:p>
      <w:pPr>
        <w:pStyle w:val="Compact"/>
        <w:numPr>
          <w:ilvl w:val="0"/>
          <w:numId w:val="1022"/>
        </w:numPr>
      </w:pPr>
      <w:r>
        <w:t xml:space="preserve">Gap list.</w:t>
      </w:r>
    </w:p>
    <w:p>
      <w:pPr>
        <w:pStyle w:val="Compact"/>
        <w:numPr>
          <w:ilvl w:val="0"/>
          <w:numId w:val="1022"/>
        </w:numPr>
      </w:pPr>
      <w:r>
        <w:t xml:space="preserve">Approval status.</w:t>
      </w:r>
    </w:p>
    <w:p>
      <w:pPr>
        <w:pStyle w:val="Compact"/>
        <w:numPr>
          <w:ilvl w:val="0"/>
          <w:numId w:val="1022"/>
        </w:numPr>
      </w:pPr>
      <w:r>
        <w:t xml:space="preserve">Exochain receipt.</w:t>
      </w:r>
    </w:p>
    <w:p>
      <w:pPr>
        <w:pStyle w:val="FirstParagraph"/>
      </w:pPr>
      <w:r>
        <w:t xml:space="preserve">Equipment objects must include:</w:t>
      </w:r>
    </w:p>
    <w:p>
      <w:pPr>
        <w:pStyle w:val="Compact"/>
        <w:numPr>
          <w:ilvl w:val="0"/>
          <w:numId w:val="1023"/>
        </w:numPr>
      </w:pPr>
      <w:r>
        <w:t xml:space="preserve">Equipment identifier.</w:t>
      </w:r>
    </w:p>
    <w:p>
      <w:pPr>
        <w:pStyle w:val="Compact"/>
        <w:numPr>
          <w:ilvl w:val="0"/>
          <w:numId w:val="1023"/>
        </w:numPr>
      </w:pPr>
      <w:r>
        <w:t xml:space="preserve">Equipment type.</w:t>
      </w:r>
    </w:p>
    <w:p>
      <w:pPr>
        <w:pStyle w:val="Compact"/>
        <w:numPr>
          <w:ilvl w:val="0"/>
          <w:numId w:val="1023"/>
        </w:numPr>
      </w:pPr>
      <w:r>
        <w:t xml:space="preserve">Manufacturer.</w:t>
      </w:r>
    </w:p>
    <w:p>
      <w:pPr>
        <w:pStyle w:val="Compact"/>
        <w:numPr>
          <w:ilvl w:val="0"/>
          <w:numId w:val="1023"/>
        </w:numPr>
      </w:pPr>
      <w:r>
        <w:t xml:space="preserve">Serial number.</w:t>
      </w:r>
    </w:p>
    <w:p>
      <w:pPr>
        <w:pStyle w:val="Compact"/>
        <w:numPr>
          <w:ilvl w:val="0"/>
          <w:numId w:val="1023"/>
        </w:numPr>
      </w:pPr>
      <w:r>
        <w:t xml:space="preserve">Location.</w:t>
      </w:r>
    </w:p>
    <w:p>
      <w:pPr>
        <w:pStyle w:val="Compact"/>
        <w:numPr>
          <w:ilvl w:val="0"/>
          <w:numId w:val="1023"/>
        </w:numPr>
      </w:pPr>
      <w:r>
        <w:t xml:space="preserve">Protocol linkage.</w:t>
      </w:r>
    </w:p>
    <w:p>
      <w:pPr>
        <w:pStyle w:val="Compact"/>
        <w:numPr>
          <w:ilvl w:val="0"/>
          <w:numId w:val="1023"/>
        </w:numPr>
      </w:pPr>
      <w:r>
        <w:t xml:space="preserve">Calibration required flag.</w:t>
      </w:r>
    </w:p>
    <w:p>
      <w:pPr>
        <w:pStyle w:val="Compact"/>
        <w:numPr>
          <w:ilvl w:val="0"/>
          <w:numId w:val="1023"/>
        </w:numPr>
      </w:pPr>
      <w:r>
        <w:t xml:space="preserve">Calibration frequency.</w:t>
      </w:r>
    </w:p>
    <w:p>
      <w:pPr>
        <w:pStyle w:val="Compact"/>
        <w:numPr>
          <w:ilvl w:val="0"/>
          <w:numId w:val="1023"/>
        </w:numPr>
      </w:pPr>
      <w:r>
        <w:t xml:space="preserve">Calibration responsible party.</w:t>
      </w:r>
    </w:p>
    <w:p>
      <w:pPr>
        <w:pStyle w:val="Compact"/>
        <w:numPr>
          <w:ilvl w:val="0"/>
          <w:numId w:val="1023"/>
        </w:numPr>
      </w:pPr>
      <w:r>
        <w:t xml:space="preserve">Calibration standard traceability.</w:t>
      </w:r>
    </w:p>
    <w:p>
      <w:pPr>
        <w:pStyle w:val="Compact"/>
        <w:numPr>
          <w:ilvl w:val="0"/>
          <w:numId w:val="1023"/>
        </w:numPr>
      </w:pPr>
      <w:r>
        <w:t xml:space="preserve">Last calibration date.</w:t>
      </w:r>
    </w:p>
    <w:p>
      <w:pPr>
        <w:pStyle w:val="Compact"/>
        <w:numPr>
          <w:ilvl w:val="0"/>
          <w:numId w:val="1023"/>
        </w:numPr>
      </w:pPr>
      <w:r>
        <w:t xml:space="preserve">Next calibration due.</w:t>
      </w:r>
    </w:p>
    <w:p>
      <w:pPr>
        <w:pStyle w:val="Compact"/>
        <w:numPr>
          <w:ilvl w:val="0"/>
          <w:numId w:val="1023"/>
        </w:numPr>
      </w:pPr>
      <w:r>
        <w:t xml:space="preserve">Calibration evidence.</w:t>
      </w:r>
    </w:p>
    <w:p>
      <w:pPr>
        <w:pStyle w:val="Compact"/>
        <w:numPr>
          <w:ilvl w:val="0"/>
          <w:numId w:val="1023"/>
        </w:numPr>
      </w:pPr>
      <w:r>
        <w:t xml:space="preserve">Check-before-use requirement.</w:t>
      </w:r>
    </w:p>
    <w:p>
      <w:pPr>
        <w:pStyle w:val="Compact"/>
        <w:numPr>
          <w:ilvl w:val="0"/>
          <w:numId w:val="1023"/>
        </w:numPr>
      </w:pPr>
      <w:r>
        <w:t xml:space="preserve">Defect status.</w:t>
      </w:r>
    </w:p>
    <w:p>
      <w:pPr>
        <w:pStyle w:val="Compact"/>
        <w:numPr>
          <w:ilvl w:val="0"/>
          <w:numId w:val="1023"/>
        </w:numPr>
      </w:pPr>
      <w:r>
        <w:t xml:space="preserve">Quarantine status.</w:t>
      </w:r>
    </w:p>
    <w:p>
      <w:pPr>
        <w:pStyle w:val="Compact"/>
        <w:numPr>
          <w:ilvl w:val="0"/>
          <w:numId w:val="1023"/>
        </w:numPr>
      </w:pPr>
      <w:r>
        <w:t xml:space="preserve">Return-to-service approval.</w:t>
      </w:r>
    </w:p>
    <w:p>
      <w:pPr>
        <w:pStyle w:val="Compact"/>
        <w:numPr>
          <w:ilvl w:val="0"/>
          <w:numId w:val="1023"/>
        </w:numPr>
      </w:pPr>
      <w:r>
        <w:t xml:space="preserve">Maintenance record.</w:t>
      </w:r>
    </w:p>
    <w:p>
      <w:pPr>
        <w:pStyle w:val="Compact"/>
        <w:numPr>
          <w:ilvl w:val="0"/>
          <w:numId w:val="1023"/>
        </w:numPr>
      </w:pPr>
      <w:r>
        <w:t xml:space="preserve">Exochain receipt.</w:t>
      </w:r>
    </w:p>
    <w:p>
      <w:pPr>
        <w:pStyle w:val="FirstParagraph"/>
      </w:pPr>
      <w:r>
        <w:t xml:space="preserve">Clinical trial product objects must include:</w:t>
      </w:r>
    </w:p>
    <w:p>
      <w:pPr>
        <w:pStyle w:val="Compact"/>
        <w:numPr>
          <w:ilvl w:val="0"/>
          <w:numId w:val="1024"/>
        </w:numPr>
      </w:pPr>
      <w:r>
        <w:t xml:space="preserve">Product identifier.</w:t>
      </w:r>
    </w:p>
    <w:p>
      <w:pPr>
        <w:pStyle w:val="Compact"/>
        <w:numPr>
          <w:ilvl w:val="0"/>
          <w:numId w:val="1024"/>
        </w:numPr>
      </w:pPr>
      <w:r>
        <w:t xml:space="preserve">Protocol linkage.</w:t>
      </w:r>
    </w:p>
    <w:p>
      <w:pPr>
        <w:pStyle w:val="Compact"/>
        <w:numPr>
          <w:ilvl w:val="0"/>
          <w:numId w:val="1024"/>
        </w:numPr>
      </w:pPr>
      <w:r>
        <w:t xml:space="preserve">Sponsor linkage.</w:t>
      </w:r>
    </w:p>
    <w:p>
      <w:pPr>
        <w:pStyle w:val="Compact"/>
        <w:numPr>
          <w:ilvl w:val="0"/>
          <w:numId w:val="1024"/>
        </w:numPr>
      </w:pPr>
      <w:r>
        <w:t xml:space="preserve">Product type.</w:t>
      </w:r>
    </w:p>
    <w:p>
      <w:pPr>
        <w:pStyle w:val="Compact"/>
        <w:numPr>
          <w:ilvl w:val="0"/>
          <w:numId w:val="1024"/>
        </w:numPr>
      </w:pPr>
      <w:r>
        <w:t xml:space="preserve">Batch/serial number.</w:t>
      </w:r>
    </w:p>
    <w:p>
      <w:pPr>
        <w:pStyle w:val="Compact"/>
        <w:numPr>
          <w:ilvl w:val="0"/>
          <w:numId w:val="1024"/>
        </w:numPr>
      </w:pPr>
      <w:r>
        <w:t xml:space="preserve">Expiration date.</w:t>
      </w:r>
    </w:p>
    <w:p>
      <w:pPr>
        <w:pStyle w:val="Compact"/>
        <w:numPr>
          <w:ilvl w:val="0"/>
          <w:numId w:val="1024"/>
        </w:numPr>
      </w:pPr>
      <w:r>
        <w:t xml:space="preserve">Quantity received.</w:t>
      </w:r>
    </w:p>
    <w:p>
      <w:pPr>
        <w:pStyle w:val="Compact"/>
        <w:numPr>
          <w:ilvl w:val="0"/>
          <w:numId w:val="1024"/>
        </w:numPr>
      </w:pPr>
      <w:r>
        <w:t xml:space="preserve">Receipt record.</w:t>
      </w:r>
    </w:p>
    <w:p>
      <w:pPr>
        <w:pStyle w:val="Compact"/>
        <w:numPr>
          <w:ilvl w:val="0"/>
          <w:numId w:val="1024"/>
        </w:numPr>
      </w:pPr>
      <w:r>
        <w:t xml:space="preserve">Storage requirement.</w:t>
      </w:r>
    </w:p>
    <w:p>
      <w:pPr>
        <w:pStyle w:val="Compact"/>
        <w:numPr>
          <w:ilvl w:val="0"/>
          <w:numId w:val="1024"/>
        </w:numPr>
      </w:pPr>
      <w:r>
        <w:t xml:space="preserve">Storage location.</w:t>
      </w:r>
    </w:p>
    <w:p>
      <w:pPr>
        <w:pStyle w:val="Compact"/>
        <w:numPr>
          <w:ilvl w:val="0"/>
          <w:numId w:val="1024"/>
        </w:numPr>
      </w:pPr>
      <w:r>
        <w:t xml:space="preserve">Temperature/control evidence.</w:t>
      </w:r>
    </w:p>
    <w:p>
      <w:pPr>
        <w:pStyle w:val="Compact"/>
        <w:numPr>
          <w:ilvl w:val="0"/>
          <w:numId w:val="1024"/>
        </w:numPr>
      </w:pPr>
      <w:r>
        <w:t xml:space="preserve">Access permissions.</w:t>
      </w:r>
    </w:p>
    <w:p>
      <w:pPr>
        <w:pStyle w:val="Compact"/>
        <w:numPr>
          <w:ilvl w:val="0"/>
          <w:numId w:val="1024"/>
        </w:numPr>
      </w:pPr>
      <w:r>
        <w:t xml:space="preserve">Dispensing responsibility.</w:t>
      </w:r>
    </w:p>
    <w:p>
      <w:pPr>
        <w:pStyle w:val="Compact"/>
        <w:numPr>
          <w:ilvl w:val="0"/>
          <w:numId w:val="1024"/>
        </w:numPr>
      </w:pPr>
      <w:r>
        <w:t xml:space="preserve">Blinding responsibility.</w:t>
      </w:r>
    </w:p>
    <w:p>
      <w:pPr>
        <w:pStyle w:val="Compact"/>
        <w:numPr>
          <w:ilvl w:val="0"/>
          <w:numId w:val="1024"/>
        </w:numPr>
      </w:pPr>
      <w:r>
        <w:t xml:space="preserve">Transport requirements.</w:t>
      </w:r>
    </w:p>
    <w:p>
      <w:pPr>
        <w:pStyle w:val="Compact"/>
        <w:numPr>
          <w:ilvl w:val="0"/>
          <w:numId w:val="1024"/>
        </w:numPr>
      </w:pPr>
      <w:r>
        <w:t xml:space="preserve">Transit integrity controls.</w:t>
      </w:r>
    </w:p>
    <w:p>
      <w:pPr>
        <w:pStyle w:val="Compact"/>
        <w:numPr>
          <w:ilvl w:val="0"/>
          <w:numId w:val="1024"/>
        </w:numPr>
      </w:pPr>
      <w:r>
        <w:t xml:space="preserve">Unique code number linkage.</w:t>
      </w:r>
    </w:p>
    <w:p>
      <w:pPr>
        <w:pStyle w:val="Compact"/>
        <w:numPr>
          <w:ilvl w:val="0"/>
          <w:numId w:val="1024"/>
        </w:numPr>
      </w:pPr>
      <w:r>
        <w:t xml:space="preserve">Participant administration/prescription records.</w:t>
      </w:r>
    </w:p>
    <w:p>
      <w:pPr>
        <w:pStyle w:val="Compact"/>
        <w:numPr>
          <w:ilvl w:val="0"/>
          <w:numId w:val="1024"/>
        </w:numPr>
      </w:pPr>
      <w:r>
        <w:t xml:space="preserve">Stock reconciliation.</w:t>
      </w:r>
    </w:p>
    <w:p>
      <w:pPr>
        <w:pStyle w:val="Compact"/>
        <w:numPr>
          <w:ilvl w:val="0"/>
          <w:numId w:val="1024"/>
        </w:numPr>
      </w:pPr>
      <w:r>
        <w:t xml:space="preserve">Expired product management.</w:t>
      </w:r>
    </w:p>
    <w:p>
      <w:pPr>
        <w:pStyle w:val="Compact"/>
        <w:numPr>
          <w:ilvl w:val="0"/>
          <w:numId w:val="1024"/>
        </w:numPr>
      </w:pPr>
      <w:r>
        <w:t xml:space="preserve">Damaged/contaminated product management.</w:t>
      </w:r>
    </w:p>
    <w:p>
      <w:pPr>
        <w:pStyle w:val="Compact"/>
        <w:numPr>
          <w:ilvl w:val="0"/>
          <w:numId w:val="1024"/>
        </w:numPr>
      </w:pPr>
      <w:r>
        <w:t xml:space="preserve">Return/disposal record.</w:t>
      </w:r>
    </w:p>
    <w:p>
      <w:pPr>
        <w:pStyle w:val="Compact"/>
        <w:numPr>
          <w:ilvl w:val="0"/>
          <w:numId w:val="1024"/>
        </w:numPr>
      </w:pPr>
      <w:r>
        <w:t xml:space="preserve">Nonconformity linkage.</w:t>
      </w:r>
    </w:p>
    <w:p>
      <w:pPr>
        <w:pStyle w:val="Compact"/>
        <w:numPr>
          <w:ilvl w:val="0"/>
          <w:numId w:val="1024"/>
        </w:numPr>
      </w:pPr>
      <w:r>
        <w:t xml:space="preserve">Exochain receipt.</w:t>
      </w:r>
    </w:p>
    <w:bookmarkEnd w:id="63"/>
    <w:bookmarkStart w:id="64" w:name="Xf349e67c1f247c735337083e697853506b65148"/>
    <w:p>
      <w:pPr>
        <w:pStyle w:val="Heading3"/>
      </w:pPr>
      <w:r>
        <w:t xml:space="preserve">15. Evaluation, Assessment, Audit, KPI, and Reporting Module</w:t>
      </w:r>
    </w:p>
    <w:p>
      <w:pPr>
        <w:pStyle w:val="FirstParagraph"/>
      </w:pPr>
      <w:r>
        <w:t xml:space="preserve">This module manages key performance objectives, monitoring progress, data collection, self-assessment, internal audit, external audit, surveyor review, sponsor monitoring, findings, reporting, dashboards, and export packets.</w:t>
      </w:r>
    </w:p>
    <w:p>
      <w:pPr>
        <w:pStyle w:val="BodyText"/>
      </w:pPr>
      <w:r>
        <w:t xml:space="preserve">KPI objects must include:</w:t>
      </w:r>
    </w:p>
    <w:p>
      <w:pPr>
        <w:pStyle w:val="Compact"/>
        <w:numPr>
          <w:ilvl w:val="0"/>
          <w:numId w:val="1025"/>
        </w:numPr>
      </w:pPr>
      <w:r>
        <w:t xml:space="preserve">KPI identifier.</w:t>
      </w:r>
    </w:p>
    <w:p>
      <w:pPr>
        <w:pStyle w:val="Compact"/>
        <w:numPr>
          <w:ilvl w:val="0"/>
          <w:numId w:val="1025"/>
        </w:numPr>
      </w:pPr>
      <w:r>
        <w:t xml:space="preserve">KPI name.</w:t>
      </w:r>
    </w:p>
    <w:p>
      <w:pPr>
        <w:pStyle w:val="Compact"/>
        <w:numPr>
          <w:ilvl w:val="0"/>
          <w:numId w:val="1025"/>
        </w:numPr>
      </w:pPr>
      <w:r>
        <w:t xml:space="preserve">Source strategy/control.</w:t>
      </w:r>
    </w:p>
    <w:p>
      <w:pPr>
        <w:pStyle w:val="Compact"/>
        <w:numPr>
          <w:ilvl w:val="0"/>
          <w:numId w:val="1025"/>
        </w:numPr>
      </w:pPr>
      <w:r>
        <w:t xml:space="preserve">Definition.</w:t>
      </w:r>
    </w:p>
    <w:p>
      <w:pPr>
        <w:pStyle w:val="Compact"/>
        <w:numPr>
          <w:ilvl w:val="0"/>
          <w:numId w:val="1025"/>
        </w:numPr>
      </w:pPr>
      <w:r>
        <w:t xml:space="preserve">Numerator.</w:t>
      </w:r>
    </w:p>
    <w:p>
      <w:pPr>
        <w:pStyle w:val="Compact"/>
        <w:numPr>
          <w:ilvl w:val="0"/>
          <w:numId w:val="1025"/>
        </w:numPr>
      </w:pPr>
      <w:r>
        <w:t xml:space="preserve">Denominator.</w:t>
      </w:r>
    </w:p>
    <w:p>
      <w:pPr>
        <w:pStyle w:val="Compact"/>
        <w:numPr>
          <w:ilvl w:val="0"/>
          <w:numId w:val="1025"/>
        </w:numPr>
      </w:pPr>
      <w:r>
        <w:t xml:space="preserve">Collection method.</w:t>
      </w:r>
    </w:p>
    <w:p>
      <w:pPr>
        <w:pStyle w:val="Compact"/>
        <w:numPr>
          <w:ilvl w:val="0"/>
          <w:numId w:val="1025"/>
        </w:numPr>
      </w:pPr>
      <w:r>
        <w:t xml:space="preserve">Frequency.</w:t>
      </w:r>
    </w:p>
    <w:p>
      <w:pPr>
        <w:pStyle w:val="Compact"/>
        <w:numPr>
          <w:ilvl w:val="0"/>
          <w:numId w:val="1025"/>
        </w:numPr>
      </w:pPr>
      <w:r>
        <w:t xml:space="preserve">Owner.</w:t>
      </w:r>
    </w:p>
    <w:p>
      <w:pPr>
        <w:pStyle w:val="Compact"/>
        <w:numPr>
          <w:ilvl w:val="0"/>
          <w:numId w:val="1025"/>
        </w:numPr>
      </w:pPr>
      <w:r>
        <w:t xml:space="preserve">Threshold.</w:t>
      </w:r>
    </w:p>
    <w:p>
      <w:pPr>
        <w:pStyle w:val="Compact"/>
        <w:numPr>
          <w:ilvl w:val="0"/>
          <w:numId w:val="1025"/>
        </w:numPr>
      </w:pPr>
      <w:r>
        <w:t xml:space="preserve">Target.</w:t>
      </w:r>
    </w:p>
    <w:p>
      <w:pPr>
        <w:pStyle w:val="Compact"/>
        <w:numPr>
          <w:ilvl w:val="0"/>
          <w:numId w:val="1025"/>
        </w:numPr>
      </w:pPr>
      <w:r>
        <w:t xml:space="preserve">Alert rule.</w:t>
      </w:r>
    </w:p>
    <w:p>
      <w:pPr>
        <w:pStyle w:val="Compact"/>
        <w:numPr>
          <w:ilvl w:val="0"/>
          <w:numId w:val="1025"/>
        </w:numPr>
      </w:pPr>
      <w:r>
        <w:t xml:space="preserve">Risk linkage.</w:t>
      </w:r>
    </w:p>
    <w:p>
      <w:pPr>
        <w:pStyle w:val="Compact"/>
        <w:numPr>
          <w:ilvl w:val="0"/>
          <w:numId w:val="1025"/>
        </w:numPr>
      </w:pPr>
      <w:r>
        <w:t xml:space="preserve">Quality objective linkage.</w:t>
      </w:r>
    </w:p>
    <w:p>
      <w:pPr>
        <w:pStyle w:val="Compact"/>
        <w:numPr>
          <w:ilvl w:val="0"/>
          <w:numId w:val="1025"/>
        </w:numPr>
      </w:pPr>
      <w:r>
        <w:t xml:space="preserve">Reporting audience.</w:t>
      </w:r>
    </w:p>
    <w:p>
      <w:pPr>
        <w:pStyle w:val="Compact"/>
        <w:numPr>
          <w:ilvl w:val="0"/>
          <w:numId w:val="1025"/>
        </w:numPr>
      </w:pPr>
      <w:r>
        <w:t xml:space="preserve">Trend.</w:t>
      </w:r>
    </w:p>
    <w:p>
      <w:pPr>
        <w:pStyle w:val="Compact"/>
        <w:numPr>
          <w:ilvl w:val="0"/>
          <w:numId w:val="1025"/>
        </w:numPr>
      </w:pPr>
      <w:r>
        <w:t xml:space="preserve">Decision use.</w:t>
      </w:r>
    </w:p>
    <w:p>
      <w:pPr>
        <w:pStyle w:val="Compact"/>
        <w:numPr>
          <w:ilvl w:val="0"/>
          <w:numId w:val="1025"/>
        </w:numPr>
      </w:pPr>
      <w:r>
        <w:t xml:space="preserve">Exochain receipt.</w:t>
      </w:r>
    </w:p>
    <w:p>
      <w:pPr>
        <w:pStyle w:val="FirstParagraph"/>
      </w:pPr>
      <w:r>
        <w:t xml:space="preserve">Audit objects must include:</w:t>
      </w:r>
    </w:p>
    <w:p>
      <w:pPr>
        <w:pStyle w:val="Compact"/>
        <w:numPr>
          <w:ilvl w:val="0"/>
          <w:numId w:val="1026"/>
        </w:numPr>
      </w:pPr>
      <w:r>
        <w:t xml:space="preserve">Audit identifier.</w:t>
      </w:r>
    </w:p>
    <w:p>
      <w:pPr>
        <w:pStyle w:val="Compact"/>
        <w:numPr>
          <w:ilvl w:val="0"/>
          <w:numId w:val="1026"/>
        </w:numPr>
      </w:pPr>
      <w:r>
        <w:t xml:space="preserve">Audit type.</w:t>
      </w:r>
    </w:p>
    <w:p>
      <w:pPr>
        <w:pStyle w:val="Compact"/>
        <w:numPr>
          <w:ilvl w:val="0"/>
          <w:numId w:val="1026"/>
        </w:numPr>
      </w:pPr>
      <w:r>
        <w:t xml:space="preserve">Scope.</w:t>
      </w:r>
    </w:p>
    <w:p>
      <w:pPr>
        <w:pStyle w:val="Compact"/>
        <w:numPr>
          <w:ilvl w:val="0"/>
          <w:numId w:val="1026"/>
        </w:numPr>
      </w:pPr>
      <w:r>
        <w:t xml:space="preserve">Site.</w:t>
      </w:r>
    </w:p>
    <w:p>
      <w:pPr>
        <w:pStyle w:val="Compact"/>
        <w:numPr>
          <w:ilvl w:val="0"/>
          <w:numId w:val="1026"/>
        </w:numPr>
      </w:pPr>
      <w:r>
        <w:t xml:space="preserve">Study/protocol linkage.</w:t>
      </w:r>
    </w:p>
    <w:p>
      <w:pPr>
        <w:pStyle w:val="Compact"/>
        <w:numPr>
          <w:ilvl w:val="0"/>
          <w:numId w:val="1026"/>
        </w:numPr>
      </w:pPr>
      <w:r>
        <w:t xml:space="preserve">Auditor.</w:t>
      </w:r>
    </w:p>
    <w:p>
      <w:pPr>
        <w:pStyle w:val="Compact"/>
        <w:numPr>
          <w:ilvl w:val="0"/>
          <w:numId w:val="1026"/>
        </w:numPr>
      </w:pPr>
      <w:r>
        <w:t xml:space="preserve">Auditor independence status.</w:t>
      </w:r>
    </w:p>
    <w:p>
      <w:pPr>
        <w:pStyle w:val="Compact"/>
        <w:numPr>
          <w:ilvl w:val="0"/>
          <w:numId w:val="1026"/>
        </w:numPr>
      </w:pPr>
      <w:r>
        <w:t xml:space="preserve">Date.</w:t>
      </w:r>
    </w:p>
    <w:p>
      <w:pPr>
        <w:pStyle w:val="Compact"/>
        <w:numPr>
          <w:ilvl w:val="0"/>
          <w:numId w:val="1026"/>
        </w:numPr>
      </w:pPr>
      <w:r>
        <w:t xml:space="preserve">Controls reviewed.</w:t>
      </w:r>
    </w:p>
    <w:p>
      <w:pPr>
        <w:pStyle w:val="Compact"/>
        <w:numPr>
          <w:ilvl w:val="0"/>
          <w:numId w:val="1026"/>
        </w:numPr>
      </w:pPr>
      <w:r>
        <w:t xml:space="preserve">Evidence reviewed.</w:t>
      </w:r>
    </w:p>
    <w:p>
      <w:pPr>
        <w:pStyle w:val="Compact"/>
        <w:numPr>
          <w:ilvl w:val="0"/>
          <w:numId w:val="1026"/>
        </w:numPr>
      </w:pPr>
      <w:r>
        <w:t xml:space="preserve">Findings.</w:t>
      </w:r>
    </w:p>
    <w:p>
      <w:pPr>
        <w:pStyle w:val="Compact"/>
        <w:numPr>
          <w:ilvl w:val="0"/>
          <w:numId w:val="1026"/>
        </w:numPr>
      </w:pPr>
      <w:r>
        <w:t xml:space="preserve">Severity.</w:t>
      </w:r>
    </w:p>
    <w:p>
      <w:pPr>
        <w:pStyle w:val="Compact"/>
        <w:numPr>
          <w:ilvl w:val="0"/>
          <w:numId w:val="1026"/>
        </w:numPr>
      </w:pPr>
      <w:r>
        <w:t xml:space="preserve">CAPA linkage.</w:t>
      </w:r>
    </w:p>
    <w:p>
      <w:pPr>
        <w:pStyle w:val="Compact"/>
        <w:numPr>
          <w:ilvl w:val="0"/>
          <w:numId w:val="1026"/>
        </w:numPr>
      </w:pPr>
      <w:r>
        <w:t xml:space="preserve">Report.</w:t>
      </w:r>
    </w:p>
    <w:p>
      <w:pPr>
        <w:pStyle w:val="Compact"/>
        <w:numPr>
          <w:ilvl w:val="0"/>
          <w:numId w:val="1026"/>
        </w:numPr>
      </w:pPr>
      <w:r>
        <w:t xml:space="preserve">Management response.</w:t>
      </w:r>
    </w:p>
    <w:p>
      <w:pPr>
        <w:pStyle w:val="Compact"/>
        <w:numPr>
          <w:ilvl w:val="0"/>
          <w:numId w:val="1026"/>
        </w:numPr>
      </w:pPr>
      <w:r>
        <w:t xml:space="preserve">Closure evidence.</w:t>
      </w:r>
    </w:p>
    <w:p>
      <w:pPr>
        <w:pStyle w:val="Compact"/>
        <w:numPr>
          <w:ilvl w:val="0"/>
          <w:numId w:val="1026"/>
        </w:numPr>
      </w:pPr>
      <w:r>
        <w:t xml:space="preserve">Follow-up requirement.</w:t>
      </w:r>
    </w:p>
    <w:p>
      <w:pPr>
        <w:pStyle w:val="Compact"/>
        <w:numPr>
          <w:ilvl w:val="0"/>
          <w:numId w:val="1026"/>
        </w:numPr>
      </w:pPr>
      <w:r>
        <w:t xml:space="preserve">Export eligibility.</w:t>
      </w:r>
    </w:p>
    <w:p>
      <w:pPr>
        <w:pStyle w:val="Compact"/>
        <w:numPr>
          <w:ilvl w:val="0"/>
          <w:numId w:val="1026"/>
        </w:numPr>
      </w:pPr>
      <w:r>
        <w:t xml:space="preserve">Exochain receipt.</w:t>
      </w:r>
    </w:p>
    <w:p>
      <w:pPr>
        <w:pStyle w:val="FirstParagraph"/>
      </w:pPr>
      <w:r>
        <w:t xml:space="preserve">Assessment objects must include:</w:t>
      </w:r>
    </w:p>
    <w:p>
      <w:pPr>
        <w:pStyle w:val="Compact"/>
        <w:numPr>
          <w:ilvl w:val="0"/>
          <w:numId w:val="1027"/>
        </w:numPr>
      </w:pPr>
      <w:r>
        <w:t xml:space="preserve">Assessment identifier.</w:t>
      </w:r>
    </w:p>
    <w:p>
      <w:pPr>
        <w:pStyle w:val="Compact"/>
        <w:numPr>
          <w:ilvl w:val="0"/>
          <w:numId w:val="1027"/>
        </w:numPr>
      </w:pPr>
      <w:r>
        <w:t xml:space="preserve">Assessment type.</w:t>
      </w:r>
    </w:p>
    <w:p>
      <w:pPr>
        <w:pStyle w:val="Compact"/>
        <w:numPr>
          <w:ilvl w:val="0"/>
          <w:numId w:val="1027"/>
        </w:numPr>
      </w:pPr>
      <w:r>
        <w:t xml:space="preserve">Standard/control set.</w:t>
      </w:r>
    </w:p>
    <w:p>
      <w:pPr>
        <w:pStyle w:val="Compact"/>
        <w:numPr>
          <w:ilvl w:val="0"/>
          <w:numId w:val="1027"/>
        </w:numPr>
      </w:pPr>
      <w:r>
        <w:t xml:space="preserve">Site.</w:t>
      </w:r>
    </w:p>
    <w:p>
      <w:pPr>
        <w:pStyle w:val="Compact"/>
        <w:numPr>
          <w:ilvl w:val="0"/>
          <w:numId w:val="1027"/>
        </w:numPr>
      </w:pPr>
      <w:r>
        <w:t xml:space="preserve">Candidate status.</w:t>
      </w:r>
    </w:p>
    <w:p>
      <w:pPr>
        <w:pStyle w:val="Compact"/>
        <w:numPr>
          <w:ilvl w:val="0"/>
          <w:numId w:val="1027"/>
        </w:numPr>
      </w:pPr>
      <w:r>
        <w:t xml:space="preserve">Submitted evidence.</w:t>
      </w:r>
    </w:p>
    <w:p>
      <w:pPr>
        <w:pStyle w:val="Compact"/>
        <w:numPr>
          <w:ilvl w:val="0"/>
          <w:numId w:val="1027"/>
        </w:numPr>
      </w:pPr>
      <w:r>
        <w:t xml:space="preserve">Reviewer assignments.</w:t>
      </w:r>
    </w:p>
    <w:p>
      <w:pPr>
        <w:pStyle w:val="Compact"/>
        <w:numPr>
          <w:ilvl w:val="0"/>
          <w:numId w:val="1027"/>
        </w:numPr>
      </w:pPr>
      <w:r>
        <w:t xml:space="preserve">Comments.</w:t>
      </w:r>
    </w:p>
    <w:p>
      <w:pPr>
        <w:pStyle w:val="Compact"/>
        <w:numPr>
          <w:ilvl w:val="0"/>
          <w:numId w:val="1027"/>
        </w:numPr>
      </w:pPr>
      <w:r>
        <w:t xml:space="preserve">Recommendations.</w:t>
      </w:r>
    </w:p>
    <w:p>
      <w:pPr>
        <w:pStyle w:val="Compact"/>
        <w:numPr>
          <w:ilvl w:val="0"/>
          <w:numId w:val="1027"/>
        </w:numPr>
      </w:pPr>
      <w:r>
        <w:t xml:space="preserve">Approvals.</w:t>
      </w:r>
    </w:p>
    <w:p>
      <w:pPr>
        <w:pStyle w:val="Compact"/>
        <w:numPr>
          <w:ilvl w:val="0"/>
          <w:numId w:val="1027"/>
        </w:numPr>
      </w:pPr>
      <w:r>
        <w:t xml:space="preserve">Conditions.</w:t>
      </w:r>
    </w:p>
    <w:p>
      <w:pPr>
        <w:pStyle w:val="Compact"/>
        <w:numPr>
          <w:ilvl w:val="0"/>
          <w:numId w:val="1027"/>
        </w:numPr>
      </w:pPr>
      <w:r>
        <w:t xml:space="preserve">Assessment manager.</w:t>
      </w:r>
    </w:p>
    <w:p>
      <w:pPr>
        <w:pStyle w:val="Compact"/>
        <w:numPr>
          <w:ilvl w:val="0"/>
          <w:numId w:val="1027"/>
        </w:numPr>
      </w:pPr>
      <w:r>
        <w:t xml:space="preserve">Close assessment status.</w:t>
      </w:r>
    </w:p>
    <w:p>
      <w:pPr>
        <w:pStyle w:val="Compact"/>
        <w:numPr>
          <w:ilvl w:val="0"/>
          <w:numId w:val="1027"/>
        </w:numPr>
      </w:pPr>
      <w:r>
        <w:t xml:space="preserve">Locked report.</w:t>
      </w:r>
    </w:p>
    <w:p>
      <w:pPr>
        <w:pStyle w:val="Compact"/>
        <w:numPr>
          <w:ilvl w:val="0"/>
          <w:numId w:val="1027"/>
        </w:numPr>
      </w:pPr>
      <w:r>
        <w:t xml:space="preserve">Final recommendation.</w:t>
      </w:r>
    </w:p>
    <w:p>
      <w:pPr>
        <w:pStyle w:val="Compact"/>
        <w:numPr>
          <w:ilvl w:val="0"/>
          <w:numId w:val="1027"/>
        </w:numPr>
      </w:pPr>
      <w:r>
        <w:t xml:space="preserve">Decision Forum linkage.</w:t>
      </w:r>
    </w:p>
    <w:p>
      <w:pPr>
        <w:pStyle w:val="Compact"/>
        <w:numPr>
          <w:ilvl w:val="0"/>
          <w:numId w:val="1027"/>
        </w:numPr>
      </w:pPr>
      <w:r>
        <w:t xml:space="preserve">Exochain receipt.</w:t>
      </w:r>
    </w:p>
    <w:bookmarkEnd w:id="64"/>
    <w:bookmarkEnd w:id="65"/>
    <w:bookmarkStart w:id="106" w:name="core-policies"/>
    <w:p>
      <w:pPr>
        <w:pStyle w:val="Heading2"/>
      </w:pPr>
      <w:r>
        <w:t xml:space="preserve">Core policies</w:t>
      </w:r>
    </w:p>
    <w:bookmarkStart w:id="66" w:name="policy-1-quality-management-policy"/>
    <w:p>
      <w:pPr>
        <w:pStyle w:val="Heading3"/>
      </w:pPr>
      <w:r>
        <w:t xml:space="preserve">Policy 1: Quality Management Policy</w:t>
      </w:r>
    </w:p>
    <w:p>
      <w:pPr>
        <w:pStyle w:val="FirstParagraph"/>
      </w:pPr>
      <w:r>
        <w:t xml:space="preserve">CyberMedica shall require each site to define and maintain a quality management policy stating its commitment to participant protection, reliable data, ethical conduct, risk mitigation, continuous improvement, staff competence, document control, protocol conformance, and stakeholder accountability.</w:t>
      </w:r>
    </w:p>
    <w:p>
      <w:pPr>
        <w:pStyle w:val="BodyText"/>
      </w:pPr>
      <w:r>
        <w:t xml:space="preserve">The policy shall be approved by site leadership, reviewed at least annually, communicated to staff, linked to site strategy, and supported by evidence.</w:t>
      </w:r>
    </w:p>
    <w:bookmarkEnd w:id="66"/>
    <w:bookmarkStart w:id="67" w:name="X063feffad35fe779e6eb0e5ab44f98cefd6f40f"/>
    <w:p>
      <w:pPr>
        <w:pStyle w:val="Heading3"/>
      </w:pPr>
      <w:r>
        <w:t xml:space="preserve">Policy 2: Mission, Vision, and Values Policy</w:t>
      </w:r>
    </w:p>
    <w:p>
      <w:pPr>
        <w:pStyle w:val="FirstParagraph"/>
      </w:pPr>
      <w:r>
        <w:t xml:space="preserve">Each site shall document its mission, vision, and values in consultation with stakeholders. The values shall be people-centered, ethical, quality-oriented, and supportive of innovation and improvement. CyberMedica shall require evidence of stakeholder communication, leadership approval, and review cadence.</w:t>
      </w:r>
    </w:p>
    <w:bookmarkEnd w:id="67"/>
    <w:bookmarkStart w:id="68" w:name="policy-3-site-strategy-policy"/>
    <w:p>
      <w:pPr>
        <w:pStyle w:val="Heading3"/>
      </w:pPr>
      <w:r>
        <w:t xml:space="preserve">Policy 3: Site Strategy Policy</w:t>
      </w:r>
    </w:p>
    <w:p>
      <w:pPr>
        <w:pStyle w:val="FirstParagraph"/>
      </w:pPr>
      <w:r>
        <w:t xml:space="preserve">Each site shall maintain a documented strategy covering mission/vision/values realization, organizational structure, stakeholder expectations, quality management scope, resource needs, technology needs, budgets, and supporting policies.</w:t>
      </w:r>
    </w:p>
    <w:p>
      <w:pPr>
        <w:pStyle w:val="BodyText"/>
      </w:pPr>
      <w:r>
        <w:t xml:space="preserve">CyberMedica shall require annual review, lessons learned, resource planning, and linkage to quality objectives.</w:t>
      </w:r>
    </w:p>
    <w:bookmarkEnd w:id="68"/>
    <w:bookmarkStart w:id="69" w:name="policy-4-ethical-framework-policy"/>
    <w:p>
      <w:pPr>
        <w:pStyle w:val="Heading3"/>
      </w:pPr>
      <w:r>
        <w:t xml:space="preserve">Policy 4: Ethical Framework Policy</w:t>
      </w:r>
    </w:p>
    <w:p>
      <w:pPr>
        <w:pStyle w:val="FirstParagraph"/>
      </w:pPr>
      <w:r>
        <w:t xml:space="preserve">Each site shall maintain an ethical framework including an ethical statement, code of conduct, societal responsibility statement, open/inclusive leadership policy, conflict disclosure policy, recusal policy, concern reporting procedure, and non-retaliation protection.</w:t>
      </w:r>
    </w:p>
    <w:bookmarkEnd w:id="69"/>
    <w:bookmarkStart w:id="70" w:name="X2bbb5e6e79820f1c47448b6c968ddb4462243fa"/>
    <w:p>
      <w:pPr>
        <w:pStyle w:val="Heading3"/>
      </w:pPr>
      <w:r>
        <w:t xml:space="preserve">Policy 5: Independent Ethics Review Policy</w:t>
      </w:r>
    </w:p>
    <w:p>
      <w:pPr>
        <w:pStyle w:val="FirstParagraph"/>
      </w:pPr>
      <w:r>
        <w:t xml:space="preserve">Each clinical research trial shall have documented review and approval by an independent ethics committee or institutional review board, as applicable. CyberMedica shall track approval status, approved materials, amendments, consent forms, continuing review dependencies, and required notifications.</w:t>
      </w:r>
    </w:p>
    <w:p>
      <w:pPr>
        <w:pStyle w:val="BodyText"/>
      </w:pPr>
      <w:r>
        <w:t xml:space="preserve">CyberMedica shall not represent AI review as IEC/IRB approval.</w:t>
      </w:r>
    </w:p>
    <w:bookmarkEnd w:id="70"/>
    <w:bookmarkStart w:id="71" w:name="policy-6-communication-policy"/>
    <w:p>
      <w:pPr>
        <w:pStyle w:val="Heading3"/>
      </w:pPr>
      <w:r>
        <w:t xml:space="preserve">Policy 6: Communication Policy</w:t>
      </w:r>
    </w:p>
    <w:p>
      <w:pPr>
        <w:pStyle w:val="FirstParagraph"/>
      </w:pPr>
      <w:r>
        <w:t xml:space="preserve">Each site shall maintain internal and external communication processes for staff, stakeholders, sponsors, CROs, monitors, auditors, IEC/IRB, and regulators. Communications shall include strategy updates, regulatory changes, protocol requirements, AE/SAE lessons learned, deviations, feedback, safety/governance updates, and quality improvement results.</w:t>
      </w:r>
    </w:p>
    <w:bookmarkEnd w:id="71"/>
    <w:bookmarkStart w:id="72" w:name="X458e686b1d65cfd7fc3947940201c185c5014f2"/>
    <w:p>
      <w:pPr>
        <w:pStyle w:val="Heading3"/>
      </w:pPr>
      <w:r>
        <w:t xml:space="preserve">Policy 7: Concern Reporting and No-Blame Culture Policy</w:t>
      </w:r>
    </w:p>
    <w:p>
      <w:pPr>
        <w:pStyle w:val="FirstParagraph"/>
      </w:pPr>
      <w:r>
        <w:t xml:space="preserve">CyberMedica shall support confidential and anonymous reporting of concerns regarding maladministration, questionable practice, poor practice, ethical concerns, regulatory issues, participant safety, data integrity, staff well-being, or retaliation.</w:t>
      </w:r>
    </w:p>
    <w:p>
      <w:pPr>
        <w:pStyle w:val="BodyText"/>
      </w:pPr>
      <w:r>
        <w:t xml:space="preserve">Concern workflows shall support acknowledgement, investigation, documentation, escalation, closure, and non-retaliation safeguards.</w:t>
      </w:r>
    </w:p>
    <w:bookmarkEnd w:id="72"/>
    <w:bookmarkStart w:id="73" w:name="policy-8-protocol-control-policy"/>
    <w:p>
      <w:pPr>
        <w:pStyle w:val="Heading3"/>
      </w:pPr>
      <w:r>
        <w:t xml:space="preserve">Policy 8: Protocol Control Policy</w:t>
      </w:r>
    </w:p>
    <w:p>
      <w:pPr>
        <w:pStyle w:val="FirstParagraph"/>
      </w:pPr>
      <w:r>
        <w:t xml:space="preserve">The site shall conduct each trial in accordance with the approved protocol and amendments. CyberMedica shall enforce protocol version control, IEC/IRB approval tracking, staff communication, deviation management, document security, and training updates.</w:t>
      </w:r>
    </w:p>
    <w:bookmarkEnd w:id="73"/>
    <w:bookmarkStart w:id="74" w:name="Xca3d83092d81039596bc5b7190c730f04d12162"/>
    <w:p>
      <w:pPr>
        <w:pStyle w:val="Heading3"/>
      </w:pPr>
      <w:r>
        <w:t xml:space="preserve">Policy 9: Trial Acceptance and Feasibility Policy</w:t>
      </w:r>
    </w:p>
    <w:p>
      <w:pPr>
        <w:pStyle w:val="FirstParagraph"/>
      </w:pPr>
      <w:r>
        <w:t xml:space="preserve">Prior to trial acceptance, the site shall complete feasibility review, financial review, risk review, protocol review, product information review, resource review, regulatory requirement identification, and acceptance criteria documentation.</w:t>
      </w:r>
    </w:p>
    <w:bookmarkEnd w:id="74"/>
    <w:bookmarkStart w:id="75" w:name="X5957254c91e54070a7e633978196e266465ee43"/>
    <w:p>
      <w:pPr>
        <w:pStyle w:val="Heading3"/>
      </w:pPr>
      <w:r>
        <w:t xml:space="preserve">Policy 10: Clinical Trial Agreement Review Policy</w:t>
      </w:r>
    </w:p>
    <w:p>
      <w:pPr>
        <w:pStyle w:val="FirstParagraph"/>
      </w:pPr>
      <w:r>
        <w:t xml:space="preserve">Clinical trial agreements shall be reviewed before execution for duties, functions, financial requirements, QA/QC requirements, reporting procedures, termination/suspension requirements, document retention, data access, monitoring, inspection, and audit rights.</w:t>
      </w:r>
    </w:p>
    <w:bookmarkEnd w:id="75"/>
    <w:bookmarkStart w:id="76" w:name="X82364f9be014fbc03d3a409db4b53937908efb4"/>
    <w:p>
      <w:pPr>
        <w:pStyle w:val="Heading3"/>
      </w:pPr>
      <w:r>
        <w:t xml:space="preserve">Policy 11: Delegation and Authority Policy</w:t>
      </w:r>
    </w:p>
    <w:p>
      <w:pPr>
        <w:pStyle w:val="FirstParagraph"/>
      </w:pPr>
      <w:r>
        <w:t xml:space="preserve">Responsibilities shall be delegated only to qualified, competent, trained individuals. Delegation shall be documented, scoped, time-bound, revocable, and linked to authority verification.</w:t>
      </w:r>
    </w:p>
    <w:p>
      <w:pPr>
        <w:pStyle w:val="BodyText"/>
      </w:pPr>
      <w:r>
        <w:t xml:space="preserve">No action requiring authorization may proceed without valid authority.</w:t>
      </w:r>
    </w:p>
    <w:bookmarkEnd w:id="76"/>
    <w:bookmarkStart w:id="77" w:name="policy-12-document-control-policy"/>
    <w:p>
      <w:pPr>
        <w:pStyle w:val="Heading3"/>
      </w:pPr>
      <w:r>
        <w:t xml:space="preserve">Policy 12: Document Control Policy</w:t>
      </w:r>
    </w:p>
    <w:p>
      <w:pPr>
        <w:pStyle w:val="FirstParagraph"/>
      </w:pPr>
      <w:r>
        <w:t xml:space="preserve">All controlled documents shall be uniquely identified, versioned, approved, effective-dated, access-controlled, review-scheduled, superseded when obsolete, retained according to policy, and linked to applicable controls and evidence records.</w:t>
      </w:r>
    </w:p>
    <w:bookmarkEnd w:id="77"/>
    <w:bookmarkStart w:id="78" w:name="Xe749b02991b7cd4dfc7a8efb02e8ad679bc4c95"/>
    <w:p>
      <w:pPr>
        <w:pStyle w:val="Heading3"/>
      </w:pPr>
      <w:r>
        <w:t xml:space="preserve">Policy 13: Deviation and Nonconformance Policy</w:t>
      </w:r>
    </w:p>
    <w:p>
      <w:pPr>
        <w:pStyle w:val="FirstParagraph"/>
      </w:pPr>
      <w:r>
        <w:t xml:space="preserve">All protocol deviations, nonconformities, errors, near misses, and quality defects shall be recorded, assessed for participant safety and data integrity impact, reported as required, investigated, corrected, prevented, trended, and closed with evidence.</w:t>
      </w:r>
    </w:p>
    <w:bookmarkEnd w:id="78"/>
    <w:bookmarkStart w:id="79" w:name="policy-14-capa-policy"/>
    <w:p>
      <w:pPr>
        <w:pStyle w:val="Heading3"/>
      </w:pPr>
      <w:r>
        <w:t xml:space="preserve">Policy 14: CAPA Policy</w:t>
      </w:r>
    </w:p>
    <w:p>
      <w:pPr>
        <w:pStyle w:val="FirstParagraph"/>
      </w:pPr>
      <w:r>
        <w:t xml:space="preserve">Corrective and preventive actions shall include root cause analysis, risk assessment, selected corrective action, recurrence prevention, owner, due date, verification, effectiveness check, and closure approval.</w:t>
      </w:r>
    </w:p>
    <w:bookmarkEnd w:id="79"/>
    <w:bookmarkStart w:id="80" w:name="X4b92cb46bbfe69ccd0a0618cec7987d3b7b3b3b"/>
    <w:p>
      <w:pPr>
        <w:pStyle w:val="Heading3"/>
      </w:pPr>
      <w:r>
        <w:t xml:space="preserve">Policy 15: Continuous Quality Improvement Policy</w:t>
      </w:r>
    </w:p>
    <w:p>
      <w:pPr>
        <w:pStyle w:val="FirstParagraph"/>
      </w:pPr>
      <w:r>
        <w:t xml:space="preserve">Sites shall continually assess and improve current and future services through self-assessment, audit, nonconformity reporting, complaint management, stakeholder feedback, staff feedback, analysis, innovation, training, and lessons learned.</w:t>
      </w:r>
    </w:p>
    <w:bookmarkEnd w:id="80"/>
    <w:bookmarkStart w:id="81" w:name="policy-16-risk-management-policy"/>
    <w:p>
      <w:pPr>
        <w:pStyle w:val="Heading3"/>
      </w:pPr>
      <w:r>
        <w:t xml:space="preserve">Policy 16: Risk Management Policy</w:t>
      </w:r>
    </w:p>
    <w:p>
      <w:pPr>
        <w:pStyle w:val="FirstParagraph"/>
      </w:pPr>
      <w:r>
        <w:t xml:space="preserve">Each site shall implement a risk management framework including risk identification, assessment, treatment, control, criteria, staff training, safety planning, mitigation tracking, and escalation.</w:t>
      </w:r>
    </w:p>
    <w:bookmarkEnd w:id="81"/>
    <w:bookmarkStart w:id="82" w:name="policy-17-startup-risk-assessment-policy"/>
    <w:p>
      <w:pPr>
        <w:pStyle w:val="Heading3"/>
      </w:pPr>
      <w:r>
        <w:t xml:space="preserve">Policy 17: Startup Risk Assessment Policy</w:t>
      </w:r>
    </w:p>
    <w:p>
      <w:pPr>
        <w:pStyle w:val="FirstParagraph"/>
      </w:pPr>
      <w:r>
        <w:t xml:space="preserve">Before trial initiation and recruitment, the site shall document risk assessment and analysis of impacts, consequences, and benefits to participants, including protection of rights, safety, well-being, claims exposure, insurance, malpractice, and negligence controls.</w:t>
      </w:r>
    </w:p>
    <w:bookmarkEnd w:id="82"/>
    <w:bookmarkStart w:id="83" w:name="policy-18-aesaesusar-reporting-policy"/>
    <w:p>
      <w:pPr>
        <w:pStyle w:val="Heading3"/>
      </w:pPr>
      <w:r>
        <w:t xml:space="preserve">Policy 18: AE/SAE/SUSAR Reporting Policy</w:t>
      </w:r>
    </w:p>
    <w:p>
      <w:pPr>
        <w:pStyle w:val="FirstParagraph"/>
      </w:pPr>
      <w:r>
        <w:t xml:space="preserve">The site shall maintain procedures for reporting, managing, investigating, and following up adverse events, serious adverse events, SUSARs, and protocol-defined safety events within required timescales.</w:t>
      </w:r>
    </w:p>
    <w:bookmarkEnd w:id="83"/>
    <w:bookmarkStart w:id="84" w:name="Xc7411cb5b20cd95809d7600f84bd0b1be87dd1c"/>
    <w:p>
      <w:pPr>
        <w:pStyle w:val="Heading3"/>
      </w:pPr>
      <w:r>
        <w:t xml:space="preserve">Policy 19: People-Centered Workforce Policy</w:t>
      </w:r>
    </w:p>
    <w:p>
      <w:pPr>
        <w:pStyle w:val="FirstParagraph"/>
      </w:pPr>
      <w:r>
        <w:t xml:space="preserve">The site shall promote a people-centered culture covering ethics, inclusivity, societal responsibility, knowledge sharing, teamwork, teambuilding, and problem solving.</w:t>
      </w:r>
    </w:p>
    <w:bookmarkEnd w:id="84"/>
    <w:bookmarkStart w:id="85" w:name="policy-20-skill-mix-review-policy"/>
    <w:p>
      <w:pPr>
        <w:pStyle w:val="Heading3"/>
      </w:pPr>
      <w:r>
        <w:t xml:space="preserve">Policy 20: Skill-Mix Review Policy</w:t>
      </w:r>
    </w:p>
    <w:p>
      <w:pPr>
        <w:pStyle w:val="FirstParagraph"/>
      </w:pPr>
      <w:r>
        <w:t xml:space="preserve">Each site and study shall complete a skill-mix review to determine required staff numbers, roles, competencies, qualifications, and responsibilities.</w:t>
      </w:r>
    </w:p>
    <w:bookmarkEnd w:id="85"/>
    <w:bookmarkStart w:id="86" w:name="X6768d39e79ee24dafa56d86d6e71b129d68fec9"/>
    <w:p>
      <w:pPr>
        <w:pStyle w:val="Heading3"/>
      </w:pPr>
      <w:r>
        <w:t xml:space="preserve">Policy 21: Qualifications and Competency Policy</w:t>
      </w:r>
    </w:p>
    <w:p>
      <w:pPr>
        <w:pStyle w:val="FirstParagraph"/>
      </w:pPr>
      <w:r>
        <w:t xml:space="preserve">The site shall identify qualifications, experience, and training required for each role and maintain evidence of staff qualifications, competence, experience, and training.</w:t>
      </w:r>
    </w:p>
    <w:bookmarkEnd w:id="86"/>
    <w:bookmarkStart w:id="87" w:name="X5219091ca3cb428403585a2aa8199420fffbf38"/>
    <w:p>
      <w:pPr>
        <w:pStyle w:val="Heading3"/>
      </w:pPr>
      <w:r>
        <w:t xml:space="preserve">Policy 22: Orientation and Integration Policy</w:t>
      </w:r>
    </w:p>
    <w:p>
      <w:pPr>
        <w:pStyle w:val="FirstParagraph"/>
      </w:pPr>
      <w:r>
        <w:t xml:space="preserve">New staff shall complete orientation and integration covering site policies, procedures, processes, access methods, rights, concern reporting, innovation participation, and role expectations.</w:t>
      </w:r>
    </w:p>
    <w:bookmarkEnd w:id="87"/>
    <w:bookmarkStart w:id="88" w:name="policy-23-training-policy"/>
    <w:p>
      <w:pPr>
        <w:pStyle w:val="Heading3"/>
      </w:pPr>
      <w:r>
        <w:t xml:space="preserve">Policy 23: Training Policy</w:t>
      </w:r>
    </w:p>
    <w:p>
      <w:pPr>
        <w:pStyle w:val="FirstParagraph"/>
      </w:pPr>
      <w:r>
        <w:t xml:space="preserve">The site shall assess training needs and maintain a training plan based on protocol requirements, previous training evaluations, staff requests, performance reviews, IT systems, equipment, new technologies, risk/CQI needs, legislation, resources, constraints, and evaluation methods.</w:t>
      </w:r>
    </w:p>
    <w:bookmarkEnd w:id="88"/>
    <w:bookmarkStart w:id="89" w:name="policy-24-leadership-development-policy"/>
    <w:p>
      <w:pPr>
        <w:pStyle w:val="Heading3"/>
      </w:pPr>
      <w:r>
        <w:t xml:space="preserve">Policy 24: Leadership Development Policy</w:t>
      </w:r>
    </w:p>
    <w:p>
      <w:pPr>
        <w:pStyle w:val="FirstParagraph"/>
      </w:pPr>
      <w:r>
        <w:t xml:space="preserve">Sites shall maintain leadership development programs for clinical leads, quality managers, and other leaders responsible for effective delivery, risk management, CQI, staff communication, and succession.</w:t>
      </w:r>
    </w:p>
    <w:bookmarkEnd w:id="89"/>
    <w:bookmarkStart w:id="90" w:name="policy-25-performance-review-policy"/>
    <w:p>
      <w:pPr>
        <w:pStyle w:val="Heading3"/>
      </w:pPr>
      <w:r>
        <w:t xml:space="preserve">Policy 25: Performance Review Policy</w:t>
      </w:r>
    </w:p>
    <w:p>
      <w:pPr>
        <w:pStyle w:val="FirstParagraph"/>
      </w:pPr>
      <w:r>
        <w:t xml:space="preserve">Sites shall perform documented performance reviews at defined frequency. Reviews shall support competence, development, quality culture, recognition, and improvement.</w:t>
      </w:r>
    </w:p>
    <w:bookmarkEnd w:id="90"/>
    <w:bookmarkStart w:id="91" w:name="policy-26-staff-well-being-policy"/>
    <w:p>
      <w:pPr>
        <w:pStyle w:val="Heading3"/>
      </w:pPr>
      <w:r>
        <w:t xml:space="preserve">Policy 26: Staff Well-Being Policy</w:t>
      </w:r>
    </w:p>
    <w:p>
      <w:pPr>
        <w:pStyle w:val="FirstParagraph"/>
      </w:pPr>
      <w:r>
        <w:t xml:space="preserve">Sites shall protect staff health, safety, and well-being through risk assessment, proactive well-being programs, no-blame culture, complaint mechanisms, communication processes, and confidential concern management.</w:t>
      </w:r>
    </w:p>
    <w:bookmarkEnd w:id="91"/>
    <w:bookmarkStart w:id="92" w:name="policy-27-participant-rights-policy"/>
    <w:p>
      <w:pPr>
        <w:pStyle w:val="Heading3"/>
      </w:pPr>
      <w:r>
        <w:t xml:space="preserve">Policy 27: Participant Rights Policy</w:t>
      </w:r>
    </w:p>
    <w:p>
      <w:pPr>
        <w:pStyle w:val="FirstParagraph"/>
      </w:pPr>
      <w:r>
        <w:t xml:space="preserve">Participants shall have rights to informed consent, privacy, withdrawal, non-coercion, updated information, data sharing control, post-termination resources where applicable, and protection of safety, well-being, dignity, and legal rights.</w:t>
      </w:r>
    </w:p>
    <w:bookmarkEnd w:id="92"/>
    <w:bookmarkStart w:id="93" w:name="policy-28-informed-consent-policy"/>
    <w:p>
      <w:pPr>
        <w:pStyle w:val="Heading3"/>
      </w:pPr>
      <w:r>
        <w:t xml:space="preserve">Policy 28: Informed Consent Policy</w:t>
      </w:r>
    </w:p>
    <w:p>
      <w:pPr>
        <w:pStyle w:val="FirstParagraph"/>
      </w:pPr>
      <w:r>
        <w:t xml:space="preserve">Informed consent shall be obtained and documented according to approved procedures, applicable regulations, IEC/IRB-approved forms, participant capacity, legally authorized representative requirements, witness requirements, emergency exceptions, vulnerable population safeguards, and reconsent triggers.</w:t>
      </w:r>
    </w:p>
    <w:bookmarkEnd w:id="93"/>
    <w:bookmarkStart w:id="94" w:name="X92ac456d4edbd1c8a198b9472b1b8ac56b5b92a"/>
    <w:p>
      <w:pPr>
        <w:pStyle w:val="Heading3"/>
      </w:pPr>
      <w:r>
        <w:t xml:space="preserve">Policy 29: Participant Data Sharing Consent Policy</w:t>
      </w:r>
    </w:p>
    <w:p>
      <w:pPr>
        <w:pStyle w:val="FirstParagraph"/>
      </w:pPr>
      <w:r>
        <w:t xml:space="preserve">The site shall obtain and document participant consent before sharing information with other interested parties, subject to applicable privacy and retention regulations.</w:t>
      </w:r>
    </w:p>
    <w:bookmarkEnd w:id="94"/>
    <w:bookmarkStart w:id="95" w:name="policy-30-information-management-policy"/>
    <w:p>
      <w:pPr>
        <w:pStyle w:val="Heading3"/>
      </w:pPr>
      <w:r>
        <w:t xml:space="preserve">Policy 30: Information Management Policy</w:t>
      </w:r>
    </w:p>
    <w:p>
      <w:pPr>
        <w:pStyle w:val="FirstParagraph"/>
      </w:pPr>
      <w:r>
        <w:t xml:space="preserve">Each trial shall maintain an information management plan defining milestones, source data traceability, participant codes, required records, reporting, discrepancies, urgent changes, SAE/AE/SUSAR handling, DSMB reporting, document list, ALCOAC rules, corrections, security, retention, access, review, final report, and distribution.</w:t>
      </w:r>
    </w:p>
    <w:bookmarkEnd w:id="95"/>
    <w:bookmarkStart w:id="96" w:name="X46bf78dee1c08788f27722496b931e91a44fc57"/>
    <w:p>
      <w:pPr>
        <w:pStyle w:val="Heading3"/>
      </w:pPr>
      <w:r>
        <w:t xml:space="preserve">Policy 31: Electronic System Validation and Security Policy</w:t>
      </w:r>
    </w:p>
    <w:p>
      <w:pPr>
        <w:pStyle w:val="FirstParagraph"/>
      </w:pPr>
      <w:r>
        <w:t xml:space="preserve">Electronic systems used for clinical trial-related data shall have validation and verification evidence, safeguards against unauthorized use, tampering, and data loss, and documented compliance with applicable data protection regulations.</w:t>
      </w:r>
    </w:p>
    <w:bookmarkEnd w:id="96"/>
    <w:bookmarkStart w:id="97" w:name="X7eefb454e2c96b1e29e3a9b0126cbf3ce7f61c4"/>
    <w:p>
      <w:pPr>
        <w:pStyle w:val="Heading3"/>
      </w:pPr>
      <w:r>
        <w:t xml:space="preserve">Policy 32: Business Continuity and Disaster Recovery Policy</w:t>
      </w:r>
    </w:p>
    <w:p>
      <w:pPr>
        <w:pStyle w:val="FirstParagraph"/>
      </w:pPr>
      <w:r>
        <w:t xml:space="preserve">Information systems shall have documented backup, recovery, maintenance, availability, business continuity, and disaster recovery procedures.</w:t>
      </w:r>
    </w:p>
    <w:bookmarkEnd w:id="97"/>
    <w:bookmarkStart w:id="98" w:name="policy-33-facility-readiness-policy"/>
    <w:p>
      <w:pPr>
        <w:pStyle w:val="Heading3"/>
      </w:pPr>
      <w:r>
        <w:t xml:space="preserve">Policy 33: Facility Readiness Policy</w:t>
      </w:r>
    </w:p>
    <w:p>
      <w:pPr>
        <w:pStyle w:val="FirstParagraph"/>
      </w:pPr>
      <w:r>
        <w:t xml:space="preserve">Sites shall determine and provide the space, work environment, resources, infrastructure, and facility controls necessary to conduct each trial safely and in accordance with the protocol.</w:t>
      </w:r>
    </w:p>
    <w:bookmarkEnd w:id="98"/>
    <w:bookmarkStart w:id="99" w:name="policy-34-medical-equipment-policy"/>
    <w:p>
      <w:pPr>
        <w:pStyle w:val="Heading3"/>
      </w:pPr>
      <w:r>
        <w:t xml:space="preserve">Policy 34: Medical Equipment Policy</w:t>
      </w:r>
    </w:p>
    <w:p>
      <w:pPr>
        <w:pStyle w:val="FirstParagraph"/>
      </w:pPr>
      <w:r>
        <w:t xml:space="preserve">Medical equipment requiring calibration or checks shall be listed, scheduled, assigned, traceable, documented, and prevented from use when defective until deemed fit for purpose.</w:t>
      </w:r>
    </w:p>
    <w:bookmarkEnd w:id="99"/>
    <w:bookmarkStart w:id="100" w:name="policy-35-clinical-trial-product-policy"/>
    <w:p>
      <w:pPr>
        <w:pStyle w:val="Heading3"/>
      </w:pPr>
      <w:r>
        <w:t xml:space="preserve">Policy 35: Clinical Trial Product Policy</w:t>
      </w:r>
    </w:p>
    <w:p>
      <w:pPr>
        <w:pStyle w:val="FirstParagraph"/>
      </w:pPr>
      <w:r>
        <w:t xml:space="preserve">Clinical trial product receipt, storage, transport, management, dispensing, blinding, access, stock control, expiration, disposal, return, and reconciliation shall be controlled and documented.</w:t>
      </w:r>
    </w:p>
    <w:bookmarkEnd w:id="100"/>
    <w:bookmarkStart w:id="101" w:name="X49d3187cb9599d6d8701e82ce7bb701c01481e2"/>
    <w:p>
      <w:pPr>
        <w:pStyle w:val="Heading3"/>
      </w:pPr>
      <w:r>
        <w:t xml:space="preserve">Policy 36: Key Performance Objective Policy</w:t>
      </w:r>
    </w:p>
    <w:p>
      <w:pPr>
        <w:pStyle w:val="FirstParagraph"/>
      </w:pPr>
      <w:r>
        <w:t xml:space="preserve">Sites shall define, implement, measure, monitor, analyze, report, evaluate, and use key performance objectives in decision making.</w:t>
      </w:r>
    </w:p>
    <w:bookmarkEnd w:id="101"/>
    <w:bookmarkStart w:id="102" w:name="policy-37-audit-and-assessment-policy"/>
    <w:p>
      <w:pPr>
        <w:pStyle w:val="Heading3"/>
      </w:pPr>
      <w:r>
        <w:t xml:space="preserve">Policy 37: Audit and Assessment Policy</w:t>
      </w:r>
    </w:p>
    <w:p>
      <w:pPr>
        <w:pStyle w:val="FirstParagraph"/>
      </w:pPr>
      <w:r>
        <w:t xml:space="preserve">Sites shall conduct internal audits, self-assessments, monitoring reviews, and external assessments as applicable. Findings shall be documented, risk-rated, assigned, corrected, trended, and closed with evidence.</w:t>
      </w:r>
    </w:p>
    <w:bookmarkEnd w:id="102"/>
    <w:bookmarkStart w:id="103" w:name="policy-38-evidence-retention-policy"/>
    <w:p>
      <w:pPr>
        <w:pStyle w:val="Heading3"/>
      </w:pPr>
      <w:r>
        <w:t xml:space="preserve">Policy 38: Evidence Retention Policy</w:t>
      </w:r>
    </w:p>
    <w:p>
      <w:pPr>
        <w:pStyle w:val="FirstParagraph"/>
      </w:pPr>
      <w:r>
        <w:t xml:space="preserve">Evidence shall be retained according to protocol, sponsor, regulatory, legal, institutional, and system requirements. Retention conflicts shall default to the longest applicable retention period unless legal counsel or governing authority determines otherwise.</w:t>
      </w:r>
    </w:p>
    <w:bookmarkEnd w:id="103"/>
    <w:bookmarkStart w:id="104" w:name="policy-39-access-control-policy"/>
    <w:p>
      <w:pPr>
        <w:pStyle w:val="Heading3"/>
      </w:pPr>
      <w:r>
        <w:t xml:space="preserve">Policy 39: Access Control Policy</w:t>
      </w:r>
    </w:p>
    <w:p>
      <w:pPr>
        <w:pStyle w:val="FirstParagraph"/>
      </w:pPr>
      <w:r>
        <w:t xml:space="preserve">Access to protected data, controlled documents, trial records, participant information, sponsor-confidential information, and quality evidence shall be role-based, least-privilege, time-bound, auditable, revocable, and tied to valid identity and authority.</w:t>
      </w:r>
    </w:p>
    <w:bookmarkEnd w:id="104"/>
    <w:bookmarkStart w:id="105" w:name="X766f3410f3c4a05f4cf01b1654cd834dab5ebf9"/>
    <w:p>
      <w:pPr>
        <w:pStyle w:val="Heading3"/>
      </w:pPr>
      <w:r>
        <w:t xml:space="preserve">Policy 40: Exochain Evidence Anchoring Policy</w:t>
      </w:r>
    </w:p>
    <w:p>
      <w:pPr>
        <w:pStyle w:val="FirstParagraph"/>
      </w:pPr>
      <w:r>
        <w:t xml:space="preserve">CyberMedica shall anchor evidence receipts, decision receipts, authority receipts, consent receipts, and audit hashes without exposing PHI/PII or confidential content on public or broadly accessible ledgers. Protected content shall remain in controlled repositories; hashes and metadata shall be minimized according to privacy classification.</w:t>
      </w:r>
    </w:p>
    <w:bookmarkEnd w:id="105"/>
    <w:bookmarkEnd w:id="106"/>
    <w:bookmarkStart w:id="123" w:name="core-procedures"/>
    <w:p>
      <w:pPr>
        <w:pStyle w:val="Heading2"/>
      </w:pPr>
      <w:r>
        <w:t xml:space="preserve">Core procedures</w:t>
      </w:r>
    </w:p>
    <w:bookmarkStart w:id="107" w:name="Xe97368ad4002951c5386b770d3054ef4d5b25dd"/>
    <w:p>
      <w:pPr>
        <w:pStyle w:val="Heading3"/>
      </w:pPr>
      <w:r>
        <w:t xml:space="preserve">Procedure 1: Create and Approve Site QMS Profile</w:t>
      </w:r>
    </w:p>
    <w:p>
      <w:pPr>
        <w:pStyle w:val="Compact"/>
        <w:numPr>
          <w:ilvl w:val="0"/>
          <w:numId w:val="1028"/>
        </w:numPr>
      </w:pPr>
      <w:r>
        <w:t xml:space="preserve">Create site record.</w:t>
      </w:r>
    </w:p>
    <w:p>
      <w:pPr>
        <w:pStyle w:val="Compact"/>
        <w:numPr>
          <w:ilvl w:val="0"/>
          <w:numId w:val="1028"/>
        </w:numPr>
      </w:pPr>
      <w:r>
        <w:t xml:space="preserve">Enter legal entity and site identity data.</w:t>
      </w:r>
    </w:p>
    <w:p>
      <w:pPr>
        <w:pStyle w:val="Compact"/>
        <w:numPr>
          <w:ilvl w:val="0"/>
          <w:numId w:val="1028"/>
        </w:numPr>
      </w:pPr>
      <w:r>
        <w:t xml:space="preserve">Assign site leadership.</w:t>
      </w:r>
    </w:p>
    <w:p>
      <w:pPr>
        <w:pStyle w:val="Compact"/>
        <w:numPr>
          <w:ilvl w:val="0"/>
          <w:numId w:val="1028"/>
        </w:numPr>
      </w:pPr>
      <w:r>
        <w:t xml:space="preserve">Assign quality manager.</w:t>
      </w:r>
    </w:p>
    <w:p>
      <w:pPr>
        <w:pStyle w:val="Compact"/>
        <w:numPr>
          <w:ilvl w:val="0"/>
          <w:numId w:val="1028"/>
        </w:numPr>
      </w:pPr>
      <w:r>
        <w:t xml:space="preserve">Upload mission, vision, and values.</w:t>
      </w:r>
    </w:p>
    <w:p>
      <w:pPr>
        <w:pStyle w:val="Compact"/>
        <w:numPr>
          <w:ilvl w:val="0"/>
          <w:numId w:val="1028"/>
        </w:numPr>
      </w:pPr>
      <w:r>
        <w:t xml:space="preserve">Upload strategy.</w:t>
      </w:r>
    </w:p>
    <w:p>
      <w:pPr>
        <w:pStyle w:val="Compact"/>
        <w:numPr>
          <w:ilvl w:val="0"/>
          <w:numId w:val="1028"/>
        </w:numPr>
      </w:pPr>
      <w:r>
        <w:t xml:space="preserve">Upload ethical framework.</w:t>
      </w:r>
    </w:p>
    <w:p>
      <w:pPr>
        <w:pStyle w:val="Compact"/>
        <w:numPr>
          <w:ilvl w:val="0"/>
          <w:numId w:val="1028"/>
        </w:numPr>
      </w:pPr>
      <w:r>
        <w:t xml:space="preserve">Upload organization chart.</w:t>
      </w:r>
    </w:p>
    <w:p>
      <w:pPr>
        <w:pStyle w:val="Compact"/>
        <w:numPr>
          <w:ilvl w:val="0"/>
          <w:numId w:val="1028"/>
        </w:numPr>
      </w:pPr>
      <w:r>
        <w:t xml:space="preserve">Upload communication plan.</w:t>
      </w:r>
    </w:p>
    <w:p>
      <w:pPr>
        <w:pStyle w:val="Compact"/>
        <w:numPr>
          <w:ilvl w:val="0"/>
          <w:numId w:val="1028"/>
        </w:numPr>
      </w:pPr>
      <w:r>
        <w:t xml:space="preserve">Upload quality policy.</w:t>
      </w:r>
    </w:p>
    <w:p>
      <w:pPr>
        <w:pStyle w:val="Compact"/>
        <w:numPr>
          <w:ilvl w:val="0"/>
          <w:numId w:val="1028"/>
        </w:numPr>
      </w:pPr>
      <w:r>
        <w:t xml:space="preserve">Upload risk management framework.</w:t>
      </w:r>
    </w:p>
    <w:p>
      <w:pPr>
        <w:pStyle w:val="Compact"/>
        <w:numPr>
          <w:ilvl w:val="0"/>
          <w:numId w:val="1028"/>
        </w:numPr>
      </w:pPr>
      <w:r>
        <w:t xml:space="preserve">Upload SOP index.</w:t>
      </w:r>
    </w:p>
    <w:p>
      <w:pPr>
        <w:pStyle w:val="Compact"/>
        <w:numPr>
          <w:ilvl w:val="0"/>
          <w:numId w:val="1028"/>
        </w:numPr>
      </w:pPr>
      <w:r>
        <w:t xml:space="preserve">Upload training matrix.</w:t>
      </w:r>
    </w:p>
    <w:p>
      <w:pPr>
        <w:pStyle w:val="Compact"/>
        <w:numPr>
          <w:ilvl w:val="0"/>
          <w:numId w:val="1028"/>
        </w:numPr>
      </w:pPr>
      <w:r>
        <w:t xml:space="preserve">Upload facility evidence.</w:t>
      </w:r>
    </w:p>
    <w:p>
      <w:pPr>
        <w:pStyle w:val="Compact"/>
        <w:numPr>
          <w:ilvl w:val="0"/>
          <w:numId w:val="1028"/>
        </w:numPr>
      </w:pPr>
      <w:r>
        <w:t xml:space="preserve">Upload equipment inventory.</w:t>
      </w:r>
    </w:p>
    <w:p>
      <w:pPr>
        <w:pStyle w:val="Compact"/>
        <w:numPr>
          <w:ilvl w:val="0"/>
          <w:numId w:val="1028"/>
        </w:numPr>
      </w:pPr>
      <w:r>
        <w:t xml:space="preserve">Upload document control procedure.</w:t>
      </w:r>
    </w:p>
    <w:p>
      <w:pPr>
        <w:pStyle w:val="Compact"/>
        <w:numPr>
          <w:ilvl w:val="0"/>
          <w:numId w:val="1028"/>
        </w:numPr>
      </w:pPr>
      <w:r>
        <w:t xml:space="preserve">Upload deviation/CAPA procedure.</w:t>
      </w:r>
    </w:p>
    <w:p>
      <w:pPr>
        <w:pStyle w:val="Compact"/>
        <w:numPr>
          <w:ilvl w:val="0"/>
          <w:numId w:val="1028"/>
        </w:numPr>
      </w:pPr>
      <w:r>
        <w:t xml:space="preserve">Run AI evidence completeness review.</w:t>
      </w:r>
    </w:p>
    <w:p>
      <w:pPr>
        <w:pStyle w:val="Compact"/>
        <w:numPr>
          <w:ilvl w:val="0"/>
          <w:numId w:val="1028"/>
        </w:numPr>
      </w:pPr>
      <w:r>
        <w:t xml:space="preserve">Resolve critical gaps.</w:t>
      </w:r>
    </w:p>
    <w:p>
      <w:pPr>
        <w:pStyle w:val="Compact"/>
        <w:numPr>
          <w:ilvl w:val="0"/>
          <w:numId w:val="1028"/>
        </w:numPr>
      </w:pPr>
      <w:r>
        <w:t xml:space="preserve">Submit to quality review.</w:t>
      </w:r>
    </w:p>
    <w:p>
      <w:pPr>
        <w:pStyle w:val="Compact"/>
        <w:numPr>
          <w:ilvl w:val="0"/>
          <w:numId w:val="1028"/>
        </w:numPr>
      </w:pPr>
      <w:r>
        <w:t xml:space="preserve">Quality reviewer approves, approves with conditions, or rejects.</w:t>
      </w:r>
    </w:p>
    <w:p>
      <w:pPr>
        <w:pStyle w:val="Compact"/>
        <w:numPr>
          <w:ilvl w:val="0"/>
          <w:numId w:val="1028"/>
        </w:numPr>
      </w:pPr>
      <w:r>
        <w:t xml:space="preserve">Decision receipt is generated.</w:t>
      </w:r>
    </w:p>
    <w:p>
      <w:pPr>
        <w:pStyle w:val="Compact"/>
        <w:numPr>
          <w:ilvl w:val="0"/>
          <w:numId w:val="1028"/>
        </w:numPr>
      </w:pPr>
      <w:r>
        <w:t xml:space="preserve">Site QMS Passport status is updated.</w:t>
      </w:r>
    </w:p>
    <w:bookmarkEnd w:id="107"/>
    <w:bookmarkStart w:id="108" w:name="X4feb12d2952cec341153f0b4eeca1dfbc6418de"/>
    <w:p>
      <w:pPr>
        <w:pStyle w:val="Heading3"/>
      </w:pPr>
      <w:r>
        <w:t xml:space="preserve">Procedure 2: Convert Standard Requirement to Control</w:t>
      </w:r>
    </w:p>
    <w:p>
      <w:pPr>
        <w:pStyle w:val="Compact"/>
        <w:numPr>
          <w:ilvl w:val="0"/>
          <w:numId w:val="1029"/>
        </w:numPr>
      </w:pPr>
      <w:r>
        <w:t xml:space="preserve">Identify normative requirement.</w:t>
      </w:r>
    </w:p>
    <w:p>
      <w:pPr>
        <w:pStyle w:val="Compact"/>
        <w:numPr>
          <w:ilvl w:val="0"/>
          <w:numId w:val="1029"/>
        </w:numPr>
      </w:pPr>
      <w:r>
        <w:t xml:space="preserve">Assign control identifier.</w:t>
      </w:r>
    </w:p>
    <w:p>
      <w:pPr>
        <w:pStyle w:val="Compact"/>
        <w:numPr>
          <w:ilvl w:val="0"/>
          <w:numId w:val="1029"/>
        </w:numPr>
      </w:pPr>
      <w:r>
        <w:t xml:space="preserve">Draft control title.</w:t>
      </w:r>
    </w:p>
    <w:p>
      <w:pPr>
        <w:pStyle w:val="Compact"/>
        <w:numPr>
          <w:ilvl w:val="0"/>
          <w:numId w:val="1029"/>
        </w:numPr>
      </w:pPr>
      <w:r>
        <w:t xml:space="preserve">Enter source reference.</w:t>
      </w:r>
    </w:p>
    <w:p>
      <w:pPr>
        <w:pStyle w:val="Compact"/>
        <w:numPr>
          <w:ilvl w:val="0"/>
          <w:numId w:val="1029"/>
        </w:numPr>
      </w:pPr>
      <w:r>
        <w:t xml:space="preserve">Enter requirement text.</w:t>
      </w:r>
    </w:p>
    <w:p>
      <w:pPr>
        <w:pStyle w:val="Compact"/>
        <w:numPr>
          <w:ilvl w:val="0"/>
          <w:numId w:val="1029"/>
        </w:numPr>
      </w:pPr>
      <w:r>
        <w:t xml:space="preserve">Define applicability.</w:t>
      </w:r>
    </w:p>
    <w:p>
      <w:pPr>
        <w:pStyle w:val="Compact"/>
        <w:numPr>
          <w:ilvl w:val="0"/>
          <w:numId w:val="1029"/>
        </w:numPr>
      </w:pPr>
      <w:r>
        <w:t xml:space="preserve">Define owner.</w:t>
      </w:r>
    </w:p>
    <w:p>
      <w:pPr>
        <w:pStyle w:val="Compact"/>
        <w:numPr>
          <w:ilvl w:val="0"/>
          <w:numId w:val="1029"/>
        </w:numPr>
      </w:pPr>
      <w:r>
        <w:t xml:space="preserve">Define reviewer.</w:t>
      </w:r>
    </w:p>
    <w:p>
      <w:pPr>
        <w:pStyle w:val="Compact"/>
        <w:numPr>
          <w:ilvl w:val="0"/>
          <w:numId w:val="1029"/>
        </w:numPr>
      </w:pPr>
      <w:r>
        <w:t xml:space="preserve">Define approver.</w:t>
      </w:r>
    </w:p>
    <w:p>
      <w:pPr>
        <w:pStyle w:val="Compact"/>
        <w:numPr>
          <w:ilvl w:val="0"/>
          <w:numId w:val="1029"/>
        </w:numPr>
      </w:pPr>
      <w:r>
        <w:t xml:space="preserve">Define evidence requirements.</w:t>
      </w:r>
    </w:p>
    <w:p>
      <w:pPr>
        <w:pStyle w:val="Compact"/>
        <w:numPr>
          <w:ilvl w:val="0"/>
          <w:numId w:val="1029"/>
        </w:numPr>
      </w:pPr>
      <w:r>
        <w:t xml:space="preserve">Define evidence freshness.</w:t>
      </w:r>
    </w:p>
    <w:p>
      <w:pPr>
        <w:pStyle w:val="Compact"/>
        <w:numPr>
          <w:ilvl w:val="0"/>
          <w:numId w:val="1029"/>
        </w:numPr>
      </w:pPr>
      <w:r>
        <w:t xml:space="preserve">Define review frequency.</w:t>
      </w:r>
    </w:p>
    <w:p>
      <w:pPr>
        <w:pStyle w:val="Compact"/>
        <w:numPr>
          <w:ilvl w:val="0"/>
          <w:numId w:val="1029"/>
        </w:numPr>
      </w:pPr>
      <w:r>
        <w:t xml:space="preserve">Define risk category.</w:t>
      </w:r>
    </w:p>
    <w:p>
      <w:pPr>
        <w:pStyle w:val="Compact"/>
        <w:numPr>
          <w:ilvl w:val="0"/>
          <w:numId w:val="1029"/>
        </w:numPr>
      </w:pPr>
      <w:r>
        <w:t xml:space="preserve">Define escalation triggers.</w:t>
      </w:r>
    </w:p>
    <w:p>
      <w:pPr>
        <w:pStyle w:val="Compact"/>
        <w:numPr>
          <w:ilvl w:val="0"/>
          <w:numId w:val="1029"/>
        </w:numPr>
      </w:pPr>
      <w:r>
        <w:t xml:space="preserve">Define waiver rules.</w:t>
      </w:r>
    </w:p>
    <w:p>
      <w:pPr>
        <w:pStyle w:val="Compact"/>
        <w:numPr>
          <w:ilvl w:val="0"/>
          <w:numId w:val="1029"/>
        </w:numPr>
      </w:pPr>
      <w:r>
        <w:t xml:space="preserve">Define AI review prompt.</w:t>
      </w:r>
    </w:p>
    <w:p>
      <w:pPr>
        <w:pStyle w:val="Compact"/>
        <w:numPr>
          <w:ilvl w:val="0"/>
          <w:numId w:val="1029"/>
        </w:numPr>
      </w:pPr>
      <w:r>
        <w:t xml:space="preserve">Define decision gate, if applicable.</w:t>
      </w:r>
    </w:p>
    <w:p>
      <w:pPr>
        <w:pStyle w:val="Compact"/>
        <w:numPr>
          <w:ilvl w:val="0"/>
          <w:numId w:val="1029"/>
        </w:numPr>
      </w:pPr>
      <w:r>
        <w:t xml:space="preserve">Map crosswalks.</w:t>
      </w:r>
    </w:p>
    <w:p>
      <w:pPr>
        <w:pStyle w:val="Compact"/>
        <w:numPr>
          <w:ilvl w:val="0"/>
          <w:numId w:val="1029"/>
        </w:numPr>
      </w:pPr>
      <w:r>
        <w:t xml:space="preserve">Submit for governance review.</w:t>
      </w:r>
    </w:p>
    <w:p>
      <w:pPr>
        <w:pStyle w:val="Compact"/>
        <w:numPr>
          <w:ilvl w:val="0"/>
          <w:numId w:val="1029"/>
        </w:numPr>
      </w:pPr>
      <w:r>
        <w:t xml:space="preserve">Approve through Decision Forum if material.</w:t>
      </w:r>
    </w:p>
    <w:p>
      <w:pPr>
        <w:pStyle w:val="Compact"/>
        <w:numPr>
          <w:ilvl w:val="0"/>
          <w:numId w:val="1029"/>
        </w:numPr>
      </w:pPr>
      <w:r>
        <w:t xml:space="preserve">Publish active control version.</w:t>
      </w:r>
    </w:p>
    <w:bookmarkEnd w:id="108"/>
    <w:bookmarkStart w:id="109" w:name="procedure-3-conduct-site-self-assessment"/>
    <w:p>
      <w:pPr>
        <w:pStyle w:val="Heading3"/>
      </w:pPr>
      <w:r>
        <w:t xml:space="preserve">Procedure 3: Conduct Site Self-Assessment</w:t>
      </w:r>
    </w:p>
    <w:p>
      <w:pPr>
        <w:pStyle w:val="Compact"/>
        <w:numPr>
          <w:ilvl w:val="0"/>
          <w:numId w:val="1030"/>
        </w:numPr>
      </w:pPr>
      <w:r>
        <w:t xml:space="preserve">Select site.</w:t>
      </w:r>
    </w:p>
    <w:p>
      <w:pPr>
        <w:pStyle w:val="Compact"/>
        <w:numPr>
          <w:ilvl w:val="0"/>
          <w:numId w:val="1030"/>
        </w:numPr>
      </w:pPr>
      <w:r>
        <w:t xml:space="preserve">Select control set.</w:t>
      </w:r>
    </w:p>
    <w:p>
      <w:pPr>
        <w:pStyle w:val="Compact"/>
        <w:numPr>
          <w:ilvl w:val="0"/>
          <w:numId w:val="1030"/>
        </w:numPr>
      </w:pPr>
      <w:r>
        <w:t xml:space="preserve">Generate assessment workspace.</w:t>
      </w:r>
    </w:p>
    <w:p>
      <w:pPr>
        <w:pStyle w:val="Compact"/>
        <w:numPr>
          <w:ilvl w:val="0"/>
          <w:numId w:val="1030"/>
        </w:numPr>
      </w:pPr>
      <w:r>
        <w:t xml:space="preserve">Assign control owners.</w:t>
      </w:r>
    </w:p>
    <w:p>
      <w:pPr>
        <w:pStyle w:val="Compact"/>
        <w:numPr>
          <w:ilvl w:val="0"/>
          <w:numId w:val="1030"/>
        </w:numPr>
      </w:pPr>
      <w:r>
        <w:t xml:space="preserve">Assign reviewers.</w:t>
      </w:r>
    </w:p>
    <w:p>
      <w:pPr>
        <w:pStyle w:val="Compact"/>
        <w:numPr>
          <w:ilvl w:val="0"/>
          <w:numId w:val="1030"/>
        </w:numPr>
      </w:pPr>
      <w:r>
        <w:t xml:space="preserve">Upload required evidence.</w:t>
      </w:r>
    </w:p>
    <w:p>
      <w:pPr>
        <w:pStyle w:val="Compact"/>
        <w:numPr>
          <w:ilvl w:val="0"/>
          <w:numId w:val="1030"/>
        </w:numPr>
      </w:pPr>
      <w:r>
        <w:t xml:space="preserve">Mark control applicability.</w:t>
      </w:r>
    </w:p>
    <w:p>
      <w:pPr>
        <w:pStyle w:val="Compact"/>
        <w:numPr>
          <w:ilvl w:val="0"/>
          <w:numId w:val="1030"/>
        </w:numPr>
      </w:pPr>
      <w:r>
        <w:t xml:space="preserve">Identify not-applicable rationale where used.</w:t>
      </w:r>
    </w:p>
    <w:p>
      <w:pPr>
        <w:pStyle w:val="Compact"/>
        <w:numPr>
          <w:ilvl w:val="0"/>
          <w:numId w:val="1030"/>
        </w:numPr>
      </w:pPr>
      <w:r>
        <w:t xml:space="preserve">Run AI evidence review.</w:t>
      </w:r>
    </w:p>
    <w:p>
      <w:pPr>
        <w:pStyle w:val="Compact"/>
        <w:numPr>
          <w:ilvl w:val="0"/>
          <w:numId w:val="1030"/>
        </w:numPr>
      </w:pPr>
      <w:r>
        <w:t xml:space="preserve">Resolve missing evidence.</w:t>
      </w:r>
    </w:p>
    <w:p>
      <w:pPr>
        <w:pStyle w:val="Compact"/>
        <w:numPr>
          <w:ilvl w:val="0"/>
          <w:numId w:val="1030"/>
        </w:numPr>
      </w:pPr>
      <w:r>
        <w:t xml:space="preserve">Reviewer evaluates each control.</w:t>
      </w:r>
    </w:p>
    <w:p>
      <w:pPr>
        <w:pStyle w:val="Compact"/>
        <w:numPr>
          <w:ilvl w:val="0"/>
          <w:numId w:val="1030"/>
        </w:numPr>
      </w:pPr>
      <w:r>
        <w:t xml:space="preserve">Findings are generated.</w:t>
      </w:r>
    </w:p>
    <w:p>
      <w:pPr>
        <w:pStyle w:val="Compact"/>
        <w:numPr>
          <w:ilvl w:val="0"/>
          <w:numId w:val="1030"/>
        </w:numPr>
      </w:pPr>
      <w:r>
        <w:t xml:space="preserve">Findings are severity-rated.</w:t>
      </w:r>
    </w:p>
    <w:p>
      <w:pPr>
        <w:pStyle w:val="Compact"/>
        <w:numPr>
          <w:ilvl w:val="0"/>
          <w:numId w:val="1030"/>
        </w:numPr>
      </w:pPr>
      <w:r>
        <w:t xml:space="preserve">CAPAs are opened where required.</w:t>
      </w:r>
    </w:p>
    <w:p>
      <w:pPr>
        <w:pStyle w:val="Compact"/>
        <w:numPr>
          <w:ilvl w:val="0"/>
          <w:numId w:val="1030"/>
        </w:numPr>
      </w:pPr>
      <w:r>
        <w:t xml:space="preserve">Assessment manager closes review.</w:t>
      </w:r>
    </w:p>
    <w:p>
      <w:pPr>
        <w:pStyle w:val="Compact"/>
        <w:numPr>
          <w:ilvl w:val="0"/>
          <w:numId w:val="1030"/>
        </w:numPr>
      </w:pPr>
      <w:r>
        <w:t xml:space="preserve">Assessment report is locked.</w:t>
      </w:r>
    </w:p>
    <w:p>
      <w:pPr>
        <w:pStyle w:val="Compact"/>
        <w:numPr>
          <w:ilvl w:val="0"/>
          <w:numId w:val="1030"/>
        </w:numPr>
      </w:pPr>
      <w:r>
        <w:t xml:space="preserve">Site passport updates.</w:t>
      </w:r>
    </w:p>
    <w:p>
      <w:pPr>
        <w:pStyle w:val="Compact"/>
        <w:numPr>
          <w:ilvl w:val="0"/>
          <w:numId w:val="1030"/>
        </w:numPr>
      </w:pPr>
      <w:r>
        <w:t xml:space="preserve">Evidence receipts are generated.</w:t>
      </w:r>
    </w:p>
    <w:bookmarkEnd w:id="109"/>
    <w:bookmarkStart w:id="110" w:name="Xf09e9a11f8b740ba0c3df85a1822b9b0d0dc170"/>
    <w:p>
      <w:pPr>
        <w:pStyle w:val="Heading3"/>
      </w:pPr>
      <w:r>
        <w:t xml:space="preserve">Procedure 4: Conduct Protocol Feasibility Review</w:t>
      </w:r>
    </w:p>
    <w:p>
      <w:pPr>
        <w:pStyle w:val="Compact"/>
        <w:numPr>
          <w:ilvl w:val="0"/>
          <w:numId w:val="1031"/>
        </w:numPr>
      </w:pPr>
      <w:r>
        <w:t xml:space="preserve">Intake protocol.</w:t>
      </w:r>
    </w:p>
    <w:p>
      <w:pPr>
        <w:pStyle w:val="Compact"/>
        <w:numPr>
          <w:ilvl w:val="0"/>
          <w:numId w:val="1031"/>
        </w:numPr>
      </w:pPr>
      <w:r>
        <w:t xml:space="preserve">Intake investigator brochure or equivalent product documentation.</w:t>
      </w:r>
    </w:p>
    <w:p>
      <w:pPr>
        <w:pStyle w:val="Compact"/>
        <w:numPr>
          <w:ilvl w:val="0"/>
          <w:numId w:val="1031"/>
        </w:numPr>
      </w:pPr>
      <w:r>
        <w:t xml:space="preserve">Intake sponsor/CRO feasibility questionnaire.</w:t>
      </w:r>
    </w:p>
    <w:p>
      <w:pPr>
        <w:pStyle w:val="Compact"/>
        <w:numPr>
          <w:ilvl w:val="0"/>
          <w:numId w:val="1031"/>
        </w:numPr>
      </w:pPr>
      <w:r>
        <w:t xml:space="preserve">Intake known regulatory requirements.</w:t>
      </w:r>
    </w:p>
    <w:p>
      <w:pPr>
        <w:pStyle w:val="Compact"/>
        <w:numPr>
          <w:ilvl w:val="0"/>
          <w:numId w:val="1031"/>
        </w:numPr>
      </w:pPr>
      <w:r>
        <w:t xml:space="preserve">Review participant population.</w:t>
      </w:r>
    </w:p>
    <w:p>
      <w:pPr>
        <w:pStyle w:val="Compact"/>
        <w:numPr>
          <w:ilvl w:val="0"/>
          <w:numId w:val="1031"/>
        </w:numPr>
      </w:pPr>
      <w:r>
        <w:t xml:space="preserve">Review recruitment feasibility.</w:t>
      </w:r>
    </w:p>
    <w:p>
      <w:pPr>
        <w:pStyle w:val="Compact"/>
        <w:numPr>
          <w:ilvl w:val="0"/>
          <w:numId w:val="1031"/>
        </w:numPr>
      </w:pPr>
      <w:r>
        <w:t xml:space="preserve">Review staffing needs.</w:t>
      </w:r>
    </w:p>
    <w:p>
      <w:pPr>
        <w:pStyle w:val="Compact"/>
        <w:numPr>
          <w:ilvl w:val="0"/>
          <w:numId w:val="1031"/>
        </w:numPr>
      </w:pPr>
      <w:r>
        <w:t xml:space="preserve">Review training needs.</w:t>
      </w:r>
    </w:p>
    <w:p>
      <w:pPr>
        <w:pStyle w:val="Compact"/>
        <w:numPr>
          <w:ilvl w:val="0"/>
          <w:numId w:val="1031"/>
        </w:numPr>
      </w:pPr>
      <w:r>
        <w:t xml:space="preserve">Review facility needs.</w:t>
      </w:r>
    </w:p>
    <w:p>
      <w:pPr>
        <w:pStyle w:val="Compact"/>
        <w:numPr>
          <w:ilvl w:val="0"/>
          <w:numId w:val="1031"/>
        </w:numPr>
      </w:pPr>
      <w:r>
        <w:t xml:space="preserve">Review equipment needs.</w:t>
      </w:r>
    </w:p>
    <w:p>
      <w:pPr>
        <w:pStyle w:val="Compact"/>
        <w:numPr>
          <w:ilvl w:val="0"/>
          <w:numId w:val="1031"/>
        </w:numPr>
      </w:pPr>
      <w:r>
        <w:t xml:space="preserve">Review clinical trial product handling needs.</w:t>
      </w:r>
    </w:p>
    <w:p>
      <w:pPr>
        <w:pStyle w:val="Compact"/>
        <w:numPr>
          <w:ilvl w:val="0"/>
          <w:numId w:val="1031"/>
        </w:numPr>
      </w:pPr>
      <w:r>
        <w:t xml:space="preserve">Review vendor/subcontractor needs.</w:t>
      </w:r>
    </w:p>
    <w:p>
      <w:pPr>
        <w:pStyle w:val="Compact"/>
        <w:numPr>
          <w:ilvl w:val="0"/>
          <w:numId w:val="1031"/>
        </w:numPr>
      </w:pPr>
      <w:r>
        <w:t xml:space="preserve">Review budget and financial feasibility.</w:t>
      </w:r>
    </w:p>
    <w:p>
      <w:pPr>
        <w:pStyle w:val="Compact"/>
        <w:numPr>
          <w:ilvl w:val="0"/>
          <w:numId w:val="1031"/>
        </w:numPr>
      </w:pPr>
      <w:r>
        <w:t xml:space="preserve">Review insurance/claims protections.</w:t>
      </w:r>
    </w:p>
    <w:p>
      <w:pPr>
        <w:pStyle w:val="Compact"/>
        <w:numPr>
          <w:ilvl w:val="0"/>
          <w:numId w:val="1031"/>
        </w:numPr>
      </w:pPr>
      <w:r>
        <w:t xml:space="preserve">Review privacy/data requirements.</w:t>
      </w:r>
    </w:p>
    <w:p>
      <w:pPr>
        <w:pStyle w:val="Compact"/>
        <w:numPr>
          <w:ilvl w:val="0"/>
          <w:numId w:val="1031"/>
        </w:numPr>
      </w:pPr>
      <w:r>
        <w:t xml:space="preserve">Review reporting requirements.</w:t>
      </w:r>
    </w:p>
    <w:p>
      <w:pPr>
        <w:pStyle w:val="Compact"/>
        <w:numPr>
          <w:ilvl w:val="0"/>
          <w:numId w:val="1031"/>
        </w:numPr>
      </w:pPr>
      <w:r>
        <w:t xml:space="preserve">Run AI protocol-to-site fit review.</w:t>
      </w:r>
    </w:p>
    <w:p>
      <w:pPr>
        <w:pStyle w:val="Compact"/>
        <w:numPr>
          <w:ilvl w:val="0"/>
          <w:numId w:val="1031"/>
        </w:numPr>
      </w:pPr>
      <w:r>
        <w:t xml:space="preserve">Generate risk assessment.</w:t>
      </w:r>
    </w:p>
    <w:p>
      <w:pPr>
        <w:pStyle w:val="Compact"/>
        <w:numPr>
          <w:ilvl w:val="0"/>
          <w:numId w:val="1031"/>
        </w:numPr>
      </w:pPr>
      <w:r>
        <w:t xml:space="preserve">Generate gap list.</w:t>
      </w:r>
    </w:p>
    <w:p>
      <w:pPr>
        <w:pStyle w:val="Compact"/>
        <w:numPr>
          <w:ilvl w:val="0"/>
          <w:numId w:val="1031"/>
        </w:numPr>
      </w:pPr>
      <w:r>
        <w:t xml:space="preserve">Escalate critical unresolved gaps.</w:t>
      </w:r>
    </w:p>
    <w:p>
      <w:pPr>
        <w:pStyle w:val="Compact"/>
        <w:numPr>
          <w:ilvl w:val="0"/>
          <w:numId w:val="1031"/>
        </w:numPr>
      </w:pPr>
      <w:r>
        <w:t xml:space="preserve">Site leadership decides acceptance readiness.</w:t>
      </w:r>
    </w:p>
    <w:p>
      <w:pPr>
        <w:pStyle w:val="Compact"/>
        <w:numPr>
          <w:ilvl w:val="0"/>
          <w:numId w:val="1031"/>
        </w:numPr>
      </w:pPr>
      <w:r>
        <w:t xml:space="preserve">Record decision and rationale.</w:t>
      </w:r>
    </w:p>
    <w:p>
      <w:pPr>
        <w:pStyle w:val="Compact"/>
        <w:numPr>
          <w:ilvl w:val="0"/>
          <w:numId w:val="1031"/>
        </w:numPr>
      </w:pPr>
      <w:r>
        <w:t xml:space="preserve">Generate protocol feasibility receipt.</w:t>
      </w:r>
    </w:p>
    <w:bookmarkEnd w:id="110"/>
    <w:bookmarkStart w:id="111" w:name="X0b9ae9d04dbcfb052d7002ee6c67868b7f6248d"/>
    <w:p>
      <w:pPr>
        <w:pStyle w:val="Heading3"/>
      </w:pPr>
      <w:r>
        <w:t xml:space="preserve">Procedure 5: Conduct Trial Startup Risk Assessment</w:t>
      </w:r>
    </w:p>
    <w:p>
      <w:pPr>
        <w:pStyle w:val="Compact"/>
        <w:numPr>
          <w:ilvl w:val="0"/>
          <w:numId w:val="1032"/>
        </w:numPr>
      </w:pPr>
      <w:r>
        <w:t xml:space="preserve">Create startup risk assessment.</w:t>
      </w:r>
    </w:p>
    <w:p>
      <w:pPr>
        <w:pStyle w:val="Compact"/>
        <w:numPr>
          <w:ilvl w:val="0"/>
          <w:numId w:val="1032"/>
        </w:numPr>
      </w:pPr>
      <w:r>
        <w:t xml:space="preserve">Link to protocol.</w:t>
      </w:r>
    </w:p>
    <w:p>
      <w:pPr>
        <w:pStyle w:val="Compact"/>
        <w:numPr>
          <w:ilvl w:val="0"/>
          <w:numId w:val="1032"/>
        </w:numPr>
      </w:pPr>
      <w:r>
        <w:t xml:space="preserve">Link to site.</w:t>
      </w:r>
    </w:p>
    <w:p>
      <w:pPr>
        <w:pStyle w:val="Compact"/>
        <w:numPr>
          <w:ilvl w:val="0"/>
          <w:numId w:val="1032"/>
        </w:numPr>
      </w:pPr>
      <w:r>
        <w:t xml:space="preserve">Identify participant safety risks.</w:t>
      </w:r>
    </w:p>
    <w:p>
      <w:pPr>
        <w:pStyle w:val="Compact"/>
        <w:numPr>
          <w:ilvl w:val="0"/>
          <w:numId w:val="1032"/>
        </w:numPr>
      </w:pPr>
      <w:r>
        <w:t xml:space="preserve">Identify rights/well-being risks.</w:t>
      </w:r>
    </w:p>
    <w:p>
      <w:pPr>
        <w:pStyle w:val="Compact"/>
        <w:numPr>
          <w:ilvl w:val="0"/>
          <w:numId w:val="1032"/>
        </w:numPr>
      </w:pPr>
      <w:r>
        <w:t xml:space="preserve">Identify consent risks.</w:t>
      </w:r>
    </w:p>
    <w:p>
      <w:pPr>
        <w:pStyle w:val="Compact"/>
        <w:numPr>
          <w:ilvl w:val="0"/>
          <w:numId w:val="1032"/>
        </w:numPr>
      </w:pPr>
      <w:r>
        <w:t xml:space="preserve">Identify data integrity risks.</w:t>
      </w:r>
    </w:p>
    <w:p>
      <w:pPr>
        <w:pStyle w:val="Compact"/>
        <w:numPr>
          <w:ilvl w:val="0"/>
          <w:numId w:val="1032"/>
        </w:numPr>
      </w:pPr>
      <w:r>
        <w:t xml:space="preserve">Identify facility risks.</w:t>
      </w:r>
    </w:p>
    <w:p>
      <w:pPr>
        <w:pStyle w:val="Compact"/>
        <w:numPr>
          <w:ilvl w:val="0"/>
          <w:numId w:val="1032"/>
        </w:numPr>
      </w:pPr>
      <w:r>
        <w:t xml:space="preserve">Identify product handling risks.</w:t>
      </w:r>
    </w:p>
    <w:p>
      <w:pPr>
        <w:pStyle w:val="Compact"/>
        <w:numPr>
          <w:ilvl w:val="0"/>
          <w:numId w:val="1032"/>
        </w:numPr>
      </w:pPr>
      <w:r>
        <w:t xml:space="preserve">Identify staffing risks.</w:t>
      </w:r>
    </w:p>
    <w:p>
      <w:pPr>
        <w:pStyle w:val="Compact"/>
        <w:numPr>
          <w:ilvl w:val="0"/>
          <w:numId w:val="1032"/>
        </w:numPr>
      </w:pPr>
      <w:r>
        <w:t xml:space="preserve">Identify vendor risks.</w:t>
      </w:r>
    </w:p>
    <w:p>
      <w:pPr>
        <w:pStyle w:val="Compact"/>
        <w:numPr>
          <w:ilvl w:val="0"/>
          <w:numId w:val="1032"/>
        </w:numPr>
      </w:pPr>
      <w:r>
        <w:t xml:space="preserve">Identify regulatory risks.</w:t>
      </w:r>
    </w:p>
    <w:p>
      <w:pPr>
        <w:pStyle w:val="Compact"/>
        <w:numPr>
          <w:ilvl w:val="0"/>
          <w:numId w:val="1032"/>
        </w:numPr>
      </w:pPr>
      <w:r>
        <w:t xml:space="preserve">Identify operational risks.</w:t>
      </w:r>
    </w:p>
    <w:p>
      <w:pPr>
        <w:pStyle w:val="Compact"/>
        <w:numPr>
          <w:ilvl w:val="0"/>
          <w:numId w:val="1032"/>
        </w:numPr>
      </w:pPr>
      <w:r>
        <w:t xml:space="preserve">Assess probability, severity, detectability.</w:t>
      </w:r>
    </w:p>
    <w:p>
      <w:pPr>
        <w:pStyle w:val="Compact"/>
        <w:numPr>
          <w:ilvl w:val="0"/>
          <w:numId w:val="1032"/>
        </w:numPr>
      </w:pPr>
      <w:r>
        <w:t xml:space="preserve">Define mitigations.</w:t>
      </w:r>
    </w:p>
    <w:p>
      <w:pPr>
        <w:pStyle w:val="Compact"/>
        <w:numPr>
          <w:ilvl w:val="0"/>
          <w:numId w:val="1032"/>
        </w:numPr>
      </w:pPr>
      <w:r>
        <w:t xml:space="preserve">Define safety plan if required.</w:t>
      </w:r>
    </w:p>
    <w:p>
      <w:pPr>
        <w:pStyle w:val="Compact"/>
        <w:numPr>
          <w:ilvl w:val="0"/>
          <w:numId w:val="1032"/>
        </w:numPr>
      </w:pPr>
      <w:r>
        <w:t xml:space="preserve">Define monitoring metrics.</w:t>
      </w:r>
    </w:p>
    <w:p>
      <w:pPr>
        <w:pStyle w:val="Compact"/>
        <w:numPr>
          <w:ilvl w:val="0"/>
          <w:numId w:val="1032"/>
        </w:numPr>
      </w:pPr>
      <w:r>
        <w:t xml:space="preserve">Assign risk owners.</w:t>
      </w:r>
    </w:p>
    <w:p>
      <w:pPr>
        <w:pStyle w:val="Compact"/>
        <w:numPr>
          <w:ilvl w:val="0"/>
          <w:numId w:val="1032"/>
        </w:numPr>
      </w:pPr>
      <w:r>
        <w:t xml:space="preserve">Submit for quality review.</w:t>
      </w:r>
    </w:p>
    <w:p>
      <w:pPr>
        <w:pStyle w:val="Compact"/>
        <w:numPr>
          <w:ilvl w:val="0"/>
          <w:numId w:val="1032"/>
        </w:numPr>
      </w:pPr>
      <w:r>
        <w:t xml:space="preserve">Escalate unacceptable residual risks.</w:t>
      </w:r>
    </w:p>
    <w:p>
      <w:pPr>
        <w:pStyle w:val="Compact"/>
        <w:numPr>
          <w:ilvl w:val="0"/>
          <w:numId w:val="1032"/>
        </w:numPr>
      </w:pPr>
      <w:r>
        <w:t xml:space="preserve">Approve, approve with conditions, defer, or reject startup readiness.</w:t>
      </w:r>
    </w:p>
    <w:p>
      <w:pPr>
        <w:pStyle w:val="Compact"/>
        <w:numPr>
          <w:ilvl w:val="0"/>
          <w:numId w:val="1032"/>
        </w:numPr>
      </w:pPr>
      <w:r>
        <w:t xml:space="preserve">Generate risk receipt.</w:t>
      </w:r>
    </w:p>
    <w:bookmarkEnd w:id="111"/>
    <w:bookmarkStart w:id="112" w:name="procedure-6-authorize-trial-launch"/>
    <w:p>
      <w:pPr>
        <w:pStyle w:val="Heading3"/>
      </w:pPr>
      <w:r>
        <w:t xml:space="preserve">Procedure 6: Authorize Trial Launch</w:t>
      </w:r>
    </w:p>
    <w:p>
      <w:pPr>
        <w:pStyle w:val="Compact"/>
        <w:numPr>
          <w:ilvl w:val="0"/>
          <w:numId w:val="1033"/>
        </w:numPr>
      </w:pPr>
      <w:r>
        <w:t xml:space="preserve">Confirm protocol approval status.</w:t>
      </w:r>
    </w:p>
    <w:p>
      <w:pPr>
        <w:pStyle w:val="Compact"/>
        <w:numPr>
          <w:ilvl w:val="0"/>
          <w:numId w:val="1033"/>
        </w:numPr>
      </w:pPr>
      <w:r>
        <w:t xml:space="preserve">Confirm IEC/IRB approval status.</w:t>
      </w:r>
    </w:p>
    <w:p>
      <w:pPr>
        <w:pStyle w:val="Compact"/>
        <w:numPr>
          <w:ilvl w:val="0"/>
          <w:numId w:val="1033"/>
        </w:numPr>
      </w:pPr>
      <w:r>
        <w:t xml:space="preserve">Confirm clinical trial agreement execution.</w:t>
      </w:r>
    </w:p>
    <w:p>
      <w:pPr>
        <w:pStyle w:val="Compact"/>
        <w:numPr>
          <w:ilvl w:val="0"/>
          <w:numId w:val="1033"/>
        </w:numPr>
      </w:pPr>
      <w:r>
        <w:t xml:space="preserve">Confirm information management plan.</w:t>
      </w:r>
    </w:p>
    <w:p>
      <w:pPr>
        <w:pStyle w:val="Compact"/>
        <w:numPr>
          <w:ilvl w:val="0"/>
          <w:numId w:val="1033"/>
        </w:numPr>
      </w:pPr>
      <w:r>
        <w:t xml:space="preserve">Confirm site feasibility approval.</w:t>
      </w:r>
    </w:p>
    <w:p>
      <w:pPr>
        <w:pStyle w:val="Compact"/>
        <w:numPr>
          <w:ilvl w:val="0"/>
          <w:numId w:val="1033"/>
        </w:numPr>
      </w:pPr>
      <w:r>
        <w:t xml:space="preserve">Confirm startup risk assessment approval.</w:t>
      </w:r>
    </w:p>
    <w:p>
      <w:pPr>
        <w:pStyle w:val="Compact"/>
        <w:numPr>
          <w:ilvl w:val="0"/>
          <w:numId w:val="1033"/>
        </w:numPr>
      </w:pPr>
      <w:r>
        <w:t xml:space="preserve">Confirm staff training completion.</w:t>
      </w:r>
    </w:p>
    <w:p>
      <w:pPr>
        <w:pStyle w:val="Compact"/>
        <w:numPr>
          <w:ilvl w:val="0"/>
          <w:numId w:val="1033"/>
        </w:numPr>
      </w:pPr>
      <w:r>
        <w:t xml:space="preserve">Confirm delegation log completion.</w:t>
      </w:r>
    </w:p>
    <w:p>
      <w:pPr>
        <w:pStyle w:val="Compact"/>
        <w:numPr>
          <w:ilvl w:val="0"/>
          <w:numId w:val="1033"/>
        </w:numPr>
      </w:pPr>
      <w:r>
        <w:t xml:space="preserve">Confirm consent form version readiness.</w:t>
      </w:r>
    </w:p>
    <w:p>
      <w:pPr>
        <w:pStyle w:val="Compact"/>
        <w:numPr>
          <w:ilvl w:val="0"/>
          <w:numId w:val="1033"/>
        </w:numPr>
      </w:pPr>
      <w:r>
        <w:t xml:space="preserve">Confirm facility readiness.</w:t>
      </w:r>
    </w:p>
    <w:p>
      <w:pPr>
        <w:pStyle w:val="Compact"/>
        <w:numPr>
          <w:ilvl w:val="0"/>
          <w:numId w:val="1033"/>
        </w:numPr>
      </w:pPr>
      <w:r>
        <w:t xml:space="preserve">Confirm equipment readiness.</w:t>
      </w:r>
    </w:p>
    <w:p>
      <w:pPr>
        <w:pStyle w:val="Compact"/>
        <w:numPr>
          <w:ilvl w:val="0"/>
          <w:numId w:val="1033"/>
        </w:numPr>
      </w:pPr>
      <w:r>
        <w:t xml:space="preserve">Confirm product handling readiness.</w:t>
      </w:r>
    </w:p>
    <w:p>
      <w:pPr>
        <w:pStyle w:val="Compact"/>
        <w:numPr>
          <w:ilvl w:val="0"/>
          <w:numId w:val="1033"/>
        </w:numPr>
      </w:pPr>
      <w:r>
        <w:t xml:space="preserve">Confirm SAE/AE reporting readiness.</w:t>
      </w:r>
    </w:p>
    <w:p>
      <w:pPr>
        <w:pStyle w:val="Compact"/>
        <w:numPr>
          <w:ilvl w:val="0"/>
          <w:numId w:val="1033"/>
        </w:numPr>
      </w:pPr>
      <w:r>
        <w:t xml:space="preserve">Confirm monitoring arrangements.</w:t>
      </w:r>
    </w:p>
    <w:p>
      <w:pPr>
        <w:pStyle w:val="Compact"/>
        <w:numPr>
          <w:ilvl w:val="0"/>
          <w:numId w:val="1033"/>
        </w:numPr>
      </w:pPr>
      <w:r>
        <w:t xml:space="preserve">Confirm document inventory.</w:t>
      </w:r>
    </w:p>
    <w:p>
      <w:pPr>
        <w:pStyle w:val="Compact"/>
        <w:numPr>
          <w:ilvl w:val="0"/>
          <w:numId w:val="1033"/>
        </w:numPr>
      </w:pPr>
      <w:r>
        <w:t xml:space="preserve">Confirm sponsor/CRO required approvals.</w:t>
      </w:r>
    </w:p>
    <w:p>
      <w:pPr>
        <w:pStyle w:val="Compact"/>
        <w:numPr>
          <w:ilvl w:val="0"/>
          <w:numId w:val="1033"/>
        </w:numPr>
      </w:pPr>
      <w:r>
        <w:t xml:space="preserve">Run AI launch gate review.</w:t>
      </w:r>
    </w:p>
    <w:p>
      <w:pPr>
        <w:pStyle w:val="Compact"/>
        <w:numPr>
          <w:ilvl w:val="0"/>
          <w:numId w:val="1033"/>
        </w:numPr>
      </w:pPr>
      <w:r>
        <w:t xml:space="preserve">Quality manager signs readiness recommendation.</w:t>
      </w:r>
    </w:p>
    <w:p>
      <w:pPr>
        <w:pStyle w:val="Compact"/>
        <w:numPr>
          <w:ilvl w:val="0"/>
          <w:numId w:val="1033"/>
        </w:numPr>
      </w:pPr>
      <w:r>
        <w:t xml:space="preserve">PI signs investigator readiness.</w:t>
      </w:r>
    </w:p>
    <w:p>
      <w:pPr>
        <w:pStyle w:val="Compact"/>
        <w:numPr>
          <w:ilvl w:val="0"/>
          <w:numId w:val="1033"/>
        </w:numPr>
      </w:pPr>
      <w:r>
        <w:t xml:space="preserve">Authorized representative approves launch.</w:t>
      </w:r>
    </w:p>
    <w:p>
      <w:pPr>
        <w:pStyle w:val="Compact"/>
        <w:numPr>
          <w:ilvl w:val="0"/>
          <w:numId w:val="1033"/>
        </w:numPr>
      </w:pPr>
      <w:r>
        <w:t xml:space="preserve">Enrollment authorization becomes active.</w:t>
      </w:r>
    </w:p>
    <w:p>
      <w:pPr>
        <w:pStyle w:val="Compact"/>
        <w:numPr>
          <w:ilvl w:val="0"/>
          <w:numId w:val="1033"/>
        </w:numPr>
      </w:pPr>
      <w:r>
        <w:t xml:space="preserve">Launch receipt is generated.</w:t>
      </w:r>
    </w:p>
    <w:bookmarkEnd w:id="112"/>
    <w:bookmarkStart w:id="113" w:name="X6878f0c6c13f3ef1d646843286e4e2fe2f707be"/>
    <w:p>
      <w:pPr>
        <w:pStyle w:val="Heading3"/>
      </w:pPr>
      <w:r>
        <w:t xml:space="preserve">Procedure 7: Manage Informed Consent Materials</w:t>
      </w:r>
    </w:p>
    <w:p>
      <w:pPr>
        <w:pStyle w:val="Compact"/>
        <w:numPr>
          <w:ilvl w:val="0"/>
          <w:numId w:val="1034"/>
        </w:numPr>
      </w:pPr>
      <w:r>
        <w:t xml:space="preserve">Upload consent form.</w:t>
      </w:r>
    </w:p>
    <w:p>
      <w:pPr>
        <w:pStyle w:val="Compact"/>
        <w:numPr>
          <w:ilvl w:val="0"/>
          <w:numId w:val="1034"/>
        </w:numPr>
      </w:pPr>
      <w:r>
        <w:t xml:space="preserve">Link to protocol.</w:t>
      </w:r>
    </w:p>
    <w:p>
      <w:pPr>
        <w:pStyle w:val="Compact"/>
        <w:numPr>
          <w:ilvl w:val="0"/>
          <w:numId w:val="1034"/>
        </w:numPr>
      </w:pPr>
      <w:r>
        <w:t xml:space="preserve">Enter version/date.</w:t>
      </w:r>
    </w:p>
    <w:p>
      <w:pPr>
        <w:pStyle w:val="Compact"/>
        <w:numPr>
          <w:ilvl w:val="0"/>
          <w:numId w:val="1034"/>
        </w:numPr>
      </w:pPr>
      <w:r>
        <w:t xml:space="preserve">Enter IEC/IRB approval evidence.</w:t>
      </w:r>
    </w:p>
    <w:p>
      <w:pPr>
        <w:pStyle w:val="Compact"/>
        <w:numPr>
          <w:ilvl w:val="0"/>
          <w:numId w:val="1034"/>
        </w:numPr>
      </w:pPr>
      <w:r>
        <w:t xml:space="preserve">Run AI required-element review.</w:t>
      </w:r>
    </w:p>
    <w:p>
      <w:pPr>
        <w:pStyle w:val="Compact"/>
        <w:numPr>
          <w:ilvl w:val="0"/>
          <w:numId w:val="1034"/>
        </w:numPr>
      </w:pPr>
      <w:r>
        <w:t xml:space="preserve">Run AI readability review.</w:t>
      </w:r>
    </w:p>
    <w:p>
      <w:pPr>
        <w:pStyle w:val="Compact"/>
        <w:numPr>
          <w:ilvl w:val="0"/>
          <w:numId w:val="1034"/>
        </w:numPr>
      </w:pPr>
      <w:r>
        <w:t xml:space="preserve">Run privacy/non-waiver/non-negligence release review.</w:t>
      </w:r>
    </w:p>
    <w:p>
      <w:pPr>
        <w:pStyle w:val="Compact"/>
        <w:numPr>
          <w:ilvl w:val="0"/>
          <w:numId w:val="1034"/>
        </w:numPr>
      </w:pPr>
      <w:r>
        <w:t xml:space="preserve">Identify vulnerable population requirements.</w:t>
      </w:r>
    </w:p>
    <w:p>
      <w:pPr>
        <w:pStyle w:val="Compact"/>
        <w:numPr>
          <w:ilvl w:val="0"/>
          <w:numId w:val="1034"/>
        </w:numPr>
      </w:pPr>
      <w:r>
        <w:t xml:space="preserve">Assign consent process owner.</w:t>
      </w:r>
    </w:p>
    <w:p>
      <w:pPr>
        <w:pStyle w:val="Compact"/>
        <w:numPr>
          <w:ilvl w:val="0"/>
          <w:numId w:val="1034"/>
        </w:numPr>
      </w:pPr>
      <w:r>
        <w:t xml:space="preserve">Approve consent form for site use.</w:t>
      </w:r>
    </w:p>
    <w:p>
      <w:pPr>
        <w:pStyle w:val="Compact"/>
        <w:numPr>
          <w:ilvl w:val="0"/>
          <w:numId w:val="1034"/>
        </w:numPr>
      </w:pPr>
      <w:r>
        <w:t xml:space="preserve">Publish active version.</w:t>
      </w:r>
    </w:p>
    <w:p>
      <w:pPr>
        <w:pStyle w:val="Compact"/>
        <w:numPr>
          <w:ilvl w:val="0"/>
          <w:numId w:val="1034"/>
        </w:numPr>
      </w:pPr>
      <w:r>
        <w:t xml:space="preserve">Retire superseded versions.</w:t>
      </w:r>
    </w:p>
    <w:p>
      <w:pPr>
        <w:pStyle w:val="Compact"/>
        <w:numPr>
          <w:ilvl w:val="0"/>
          <w:numId w:val="1034"/>
        </w:numPr>
      </w:pPr>
      <w:r>
        <w:t xml:space="preserve">Notify staff of changes.</w:t>
      </w:r>
    </w:p>
    <w:p>
      <w:pPr>
        <w:pStyle w:val="Compact"/>
        <w:numPr>
          <w:ilvl w:val="0"/>
          <w:numId w:val="1034"/>
        </w:numPr>
      </w:pPr>
      <w:r>
        <w:t xml:space="preserve">Trigger reconsent review if material information changes.</w:t>
      </w:r>
    </w:p>
    <w:p>
      <w:pPr>
        <w:pStyle w:val="Compact"/>
        <w:numPr>
          <w:ilvl w:val="0"/>
          <w:numId w:val="1034"/>
        </w:numPr>
      </w:pPr>
      <w:r>
        <w:t xml:space="preserve">Generate evidence receipt.</w:t>
      </w:r>
    </w:p>
    <w:bookmarkEnd w:id="113"/>
    <w:bookmarkStart w:id="114" w:name="Xa580ddf697e4b53430a863233fadb6e27f30ad1"/>
    <w:p>
      <w:pPr>
        <w:pStyle w:val="Heading3"/>
      </w:pPr>
      <w:r>
        <w:t xml:space="preserve">Procedure 8: Obtain and Document Participant Consent</w:t>
      </w:r>
    </w:p>
    <w:p>
      <w:pPr>
        <w:pStyle w:val="Compact"/>
        <w:numPr>
          <w:ilvl w:val="0"/>
          <w:numId w:val="1035"/>
        </w:numPr>
      </w:pPr>
      <w:r>
        <w:t xml:space="preserve">Confirm active approved consent form.</w:t>
      </w:r>
    </w:p>
    <w:p>
      <w:pPr>
        <w:pStyle w:val="Compact"/>
        <w:numPr>
          <w:ilvl w:val="0"/>
          <w:numId w:val="1035"/>
        </w:numPr>
      </w:pPr>
      <w:r>
        <w:t xml:space="preserve">Confirm staff member is trained and delegated.</w:t>
      </w:r>
    </w:p>
    <w:p>
      <w:pPr>
        <w:pStyle w:val="Compact"/>
        <w:numPr>
          <w:ilvl w:val="0"/>
          <w:numId w:val="1035"/>
        </w:numPr>
      </w:pPr>
      <w:r>
        <w:t xml:space="preserve">Confirm participant or legally authorized representative status.</w:t>
      </w:r>
    </w:p>
    <w:p>
      <w:pPr>
        <w:pStyle w:val="Compact"/>
        <w:numPr>
          <w:ilvl w:val="0"/>
          <w:numId w:val="1035"/>
        </w:numPr>
      </w:pPr>
      <w:r>
        <w:t xml:space="preserve">Confirm private/confidential setting.</w:t>
      </w:r>
    </w:p>
    <w:p>
      <w:pPr>
        <w:pStyle w:val="Compact"/>
        <w:numPr>
          <w:ilvl w:val="0"/>
          <w:numId w:val="1035"/>
        </w:numPr>
      </w:pPr>
      <w:r>
        <w:t xml:space="preserve">Provide written information.</w:t>
      </w:r>
    </w:p>
    <w:p>
      <w:pPr>
        <w:pStyle w:val="Compact"/>
        <w:numPr>
          <w:ilvl w:val="0"/>
          <w:numId w:val="1035"/>
        </w:numPr>
      </w:pPr>
      <w:r>
        <w:t xml:space="preserve">Allow questions.</w:t>
      </w:r>
    </w:p>
    <w:p>
      <w:pPr>
        <w:pStyle w:val="Compact"/>
        <w:numPr>
          <w:ilvl w:val="0"/>
          <w:numId w:val="1035"/>
        </w:numPr>
      </w:pPr>
      <w:r>
        <w:t xml:space="preserve">Allow sufficient review time.</w:t>
      </w:r>
    </w:p>
    <w:p>
      <w:pPr>
        <w:pStyle w:val="Compact"/>
        <w:numPr>
          <w:ilvl w:val="0"/>
          <w:numId w:val="1035"/>
        </w:numPr>
      </w:pPr>
      <w:r>
        <w:t xml:space="preserve">Confirm understanding of risks.</w:t>
      </w:r>
    </w:p>
    <w:p>
      <w:pPr>
        <w:pStyle w:val="Compact"/>
        <w:numPr>
          <w:ilvl w:val="0"/>
          <w:numId w:val="1035"/>
        </w:numPr>
      </w:pPr>
      <w:r>
        <w:t xml:space="preserve">Confirm voluntariness.</w:t>
      </w:r>
    </w:p>
    <w:p>
      <w:pPr>
        <w:pStyle w:val="Compact"/>
        <w:numPr>
          <w:ilvl w:val="0"/>
          <w:numId w:val="1035"/>
        </w:numPr>
      </w:pPr>
      <w:r>
        <w:t xml:space="preserve">Document assent where applicable.</w:t>
      </w:r>
    </w:p>
    <w:p>
      <w:pPr>
        <w:pStyle w:val="Compact"/>
        <w:numPr>
          <w:ilvl w:val="0"/>
          <w:numId w:val="1035"/>
        </w:numPr>
      </w:pPr>
      <w:r>
        <w:t xml:space="preserve">Obtain signatures and dates.</w:t>
      </w:r>
    </w:p>
    <w:p>
      <w:pPr>
        <w:pStyle w:val="Compact"/>
        <w:numPr>
          <w:ilvl w:val="0"/>
          <w:numId w:val="1035"/>
        </w:numPr>
      </w:pPr>
      <w:r>
        <w:t xml:space="preserve">Provide copy to participant.</w:t>
      </w:r>
    </w:p>
    <w:p>
      <w:pPr>
        <w:pStyle w:val="Compact"/>
        <w:numPr>
          <w:ilvl w:val="0"/>
          <w:numId w:val="1035"/>
        </w:numPr>
      </w:pPr>
      <w:r>
        <w:t xml:space="preserve">Record consent evidence.</w:t>
      </w:r>
    </w:p>
    <w:p>
      <w:pPr>
        <w:pStyle w:val="Compact"/>
        <w:numPr>
          <w:ilvl w:val="0"/>
          <w:numId w:val="1035"/>
        </w:numPr>
      </w:pPr>
      <w:r>
        <w:t xml:space="preserve">Record data sharing consent.</w:t>
      </w:r>
    </w:p>
    <w:p>
      <w:pPr>
        <w:pStyle w:val="Compact"/>
        <w:numPr>
          <w:ilvl w:val="0"/>
          <w:numId w:val="1035"/>
        </w:numPr>
      </w:pPr>
      <w:r>
        <w:t xml:space="preserve">Anchor consent receipt if applicable.</w:t>
      </w:r>
    </w:p>
    <w:p>
      <w:pPr>
        <w:pStyle w:val="Compact"/>
        <w:numPr>
          <w:ilvl w:val="0"/>
          <w:numId w:val="1035"/>
        </w:numPr>
      </w:pPr>
      <w:r>
        <w:t xml:space="preserve">Enable enrollment only after consent gate passes.</w:t>
      </w:r>
    </w:p>
    <w:bookmarkEnd w:id="114"/>
    <w:bookmarkStart w:id="115" w:name="procedure-9-manage-protocol-deviation"/>
    <w:p>
      <w:pPr>
        <w:pStyle w:val="Heading3"/>
      </w:pPr>
      <w:r>
        <w:t xml:space="preserve">Procedure 9: Manage Protocol Deviation</w:t>
      </w:r>
    </w:p>
    <w:p>
      <w:pPr>
        <w:pStyle w:val="Compact"/>
        <w:numPr>
          <w:ilvl w:val="0"/>
          <w:numId w:val="1036"/>
        </w:numPr>
      </w:pPr>
      <w:r>
        <w:t xml:space="preserve">Create deviation record.</w:t>
      </w:r>
    </w:p>
    <w:p>
      <w:pPr>
        <w:pStyle w:val="Compact"/>
        <w:numPr>
          <w:ilvl w:val="0"/>
          <w:numId w:val="1036"/>
        </w:numPr>
      </w:pPr>
      <w:r>
        <w:t xml:space="preserve">Identify discovery date/time.</w:t>
      </w:r>
    </w:p>
    <w:p>
      <w:pPr>
        <w:pStyle w:val="Compact"/>
        <w:numPr>
          <w:ilvl w:val="0"/>
          <w:numId w:val="1036"/>
        </w:numPr>
      </w:pPr>
      <w:r>
        <w:t xml:space="preserve">Identify discoverer.</w:t>
      </w:r>
    </w:p>
    <w:p>
      <w:pPr>
        <w:pStyle w:val="Compact"/>
        <w:numPr>
          <w:ilvl w:val="0"/>
          <w:numId w:val="1036"/>
        </w:numPr>
      </w:pPr>
      <w:r>
        <w:t xml:space="preserve">Link to protocol and site.</w:t>
      </w:r>
    </w:p>
    <w:p>
      <w:pPr>
        <w:pStyle w:val="Compact"/>
        <w:numPr>
          <w:ilvl w:val="0"/>
          <w:numId w:val="1036"/>
        </w:numPr>
      </w:pPr>
      <w:r>
        <w:t xml:space="preserve">Describe deviation.</w:t>
      </w:r>
    </w:p>
    <w:p>
      <w:pPr>
        <w:pStyle w:val="Compact"/>
        <w:numPr>
          <w:ilvl w:val="0"/>
          <w:numId w:val="1036"/>
        </w:numPr>
      </w:pPr>
      <w:r>
        <w:t xml:space="preserve">Classify planned/unplanned.</w:t>
      </w:r>
    </w:p>
    <w:p>
      <w:pPr>
        <w:pStyle w:val="Compact"/>
        <w:numPr>
          <w:ilvl w:val="0"/>
          <w:numId w:val="1036"/>
        </w:numPr>
      </w:pPr>
      <w:r>
        <w:t xml:space="preserve">Assess immediate participant risk.</w:t>
      </w:r>
    </w:p>
    <w:p>
      <w:pPr>
        <w:pStyle w:val="Compact"/>
        <w:numPr>
          <w:ilvl w:val="0"/>
          <w:numId w:val="1036"/>
        </w:numPr>
      </w:pPr>
      <w:r>
        <w:t xml:space="preserve">Take immediate safety action if required.</w:t>
      </w:r>
    </w:p>
    <w:p>
      <w:pPr>
        <w:pStyle w:val="Compact"/>
        <w:numPr>
          <w:ilvl w:val="0"/>
          <w:numId w:val="1036"/>
        </w:numPr>
      </w:pPr>
      <w:r>
        <w:t xml:space="preserve">Assess data integrity impact.</w:t>
      </w:r>
    </w:p>
    <w:p>
      <w:pPr>
        <w:pStyle w:val="Compact"/>
        <w:numPr>
          <w:ilvl w:val="0"/>
          <w:numId w:val="1036"/>
        </w:numPr>
      </w:pPr>
      <w:r>
        <w:t xml:space="preserve">Assess consent impact.</w:t>
      </w:r>
    </w:p>
    <w:p>
      <w:pPr>
        <w:pStyle w:val="Compact"/>
        <w:numPr>
          <w:ilvl w:val="0"/>
          <w:numId w:val="1036"/>
        </w:numPr>
      </w:pPr>
      <w:r>
        <w:t xml:space="preserve">Assess randomization/blinding impact.</w:t>
      </w:r>
    </w:p>
    <w:p>
      <w:pPr>
        <w:pStyle w:val="Compact"/>
        <w:numPr>
          <w:ilvl w:val="0"/>
          <w:numId w:val="1036"/>
        </w:numPr>
      </w:pPr>
      <w:r>
        <w:t xml:space="preserve">Determine sponsor reporting requirement.</w:t>
      </w:r>
    </w:p>
    <w:p>
      <w:pPr>
        <w:pStyle w:val="Compact"/>
        <w:numPr>
          <w:ilvl w:val="0"/>
          <w:numId w:val="1036"/>
        </w:numPr>
      </w:pPr>
      <w:r>
        <w:t xml:space="preserve">Determine IEC/IRB reporting requirement.</w:t>
      </w:r>
    </w:p>
    <w:p>
      <w:pPr>
        <w:pStyle w:val="Compact"/>
        <w:numPr>
          <w:ilvl w:val="0"/>
          <w:numId w:val="1036"/>
        </w:numPr>
      </w:pPr>
      <w:r>
        <w:t xml:space="preserve">Determine regulatory reporting requirement.</w:t>
      </w:r>
    </w:p>
    <w:p>
      <w:pPr>
        <w:pStyle w:val="Compact"/>
        <w:numPr>
          <w:ilvl w:val="0"/>
          <w:numId w:val="1036"/>
        </w:numPr>
      </w:pPr>
      <w:r>
        <w:t xml:space="preserve">Notify required parties.</w:t>
      </w:r>
    </w:p>
    <w:p>
      <w:pPr>
        <w:pStyle w:val="Compact"/>
        <w:numPr>
          <w:ilvl w:val="0"/>
          <w:numId w:val="1036"/>
        </w:numPr>
      </w:pPr>
      <w:r>
        <w:t xml:space="preserve">Conduct root cause analysis.</w:t>
      </w:r>
    </w:p>
    <w:p>
      <w:pPr>
        <w:pStyle w:val="Compact"/>
        <w:numPr>
          <w:ilvl w:val="0"/>
          <w:numId w:val="1036"/>
        </w:numPr>
      </w:pPr>
      <w:r>
        <w:t xml:space="preserve">Define corrective action.</w:t>
      </w:r>
    </w:p>
    <w:p>
      <w:pPr>
        <w:pStyle w:val="Compact"/>
        <w:numPr>
          <w:ilvl w:val="0"/>
          <w:numId w:val="1036"/>
        </w:numPr>
      </w:pPr>
      <w:r>
        <w:t xml:space="preserve">Define preventive action.</w:t>
      </w:r>
    </w:p>
    <w:p>
      <w:pPr>
        <w:pStyle w:val="Compact"/>
        <w:numPr>
          <w:ilvl w:val="0"/>
          <w:numId w:val="1036"/>
        </w:numPr>
      </w:pPr>
      <w:r>
        <w:t xml:space="preserve">Assign owner and due date.</w:t>
      </w:r>
    </w:p>
    <w:p>
      <w:pPr>
        <w:pStyle w:val="Compact"/>
        <w:numPr>
          <w:ilvl w:val="0"/>
          <w:numId w:val="1036"/>
        </w:numPr>
      </w:pPr>
      <w:r>
        <w:t xml:space="preserve">Verify completion.</w:t>
      </w:r>
    </w:p>
    <w:p>
      <w:pPr>
        <w:pStyle w:val="Compact"/>
        <w:numPr>
          <w:ilvl w:val="0"/>
          <w:numId w:val="1036"/>
        </w:numPr>
      </w:pPr>
      <w:r>
        <w:t xml:space="preserve">Conduct effectiveness check.</w:t>
      </w:r>
    </w:p>
    <w:p>
      <w:pPr>
        <w:pStyle w:val="Compact"/>
        <w:numPr>
          <w:ilvl w:val="0"/>
          <w:numId w:val="1036"/>
        </w:numPr>
      </w:pPr>
      <w:r>
        <w:t xml:space="preserve">Close with approval.</w:t>
      </w:r>
    </w:p>
    <w:p>
      <w:pPr>
        <w:pStyle w:val="Compact"/>
        <w:numPr>
          <w:ilvl w:val="0"/>
          <w:numId w:val="1036"/>
        </w:numPr>
      </w:pPr>
      <w:r>
        <w:t xml:space="preserve">Generate deviation/CAPA receipt.</w:t>
      </w:r>
    </w:p>
    <w:bookmarkEnd w:id="115"/>
    <w:bookmarkStart w:id="116" w:name="procedure-10-manage-aesaesusar"/>
    <w:p>
      <w:pPr>
        <w:pStyle w:val="Heading3"/>
      </w:pPr>
      <w:r>
        <w:t xml:space="preserve">Procedure 10: Manage AE/SAE/SUSAR</w:t>
      </w:r>
    </w:p>
    <w:p>
      <w:pPr>
        <w:pStyle w:val="Compact"/>
        <w:numPr>
          <w:ilvl w:val="0"/>
          <w:numId w:val="1037"/>
        </w:numPr>
      </w:pPr>
      <w:r>
        <w:t xml:space="preserve">Create safety event record.</w:t>
      </w:r>
    </w:p>
    <w:p>
      <w:pPr>
        <w:pStyle w:val="Compact"/>
        <w:numPr>
          <w:ilvl w:val="0"/>
          <w:numId w:val="1037"/>
        </w:numPr>
      </w:pPr>
      <w:r>
        <w:t xml:space="preserve">Classify AE, SAE, SUSAR, or other protocol-defined event.</w:t>
      </w:r>
    </w:p>
    <w:p>
      <w:pPr>
        <w:pStyle w:val="Compact"/>
        <w:numPr>
          <w:ilvl w:val="0"/>
          <w:numId w:val="1037"/>
        </w:numPr>
      </w:pPr>
      <w:r>
        <w:t xml:space="preserve">Record participant unique identifier.</w:t>
      </w:r>
    </w:p>
    <w:p>
      <w:pPr>
        <w:pStyle w:val="Compact"/>
        <w:numPr>
          <w:ilvl w:val="0"/>
          <w:numId w:val="1037"/>
        </w:numPr>
      </w:pPr>
      <w:r>
        <w:t xml:space="preserve">Record event details.</w:t>
      </w:r>
    </w:p>
    <w:p>
      <w:pPr>
        <w:pStyle w:val="Compact"/>
        <w:numPr>
          <w:ilvl w:val="0"/>
          <w:numId w:val="1037"/>
        </w:numPr>
      </w:pPr>
      <w:r>
        <w:t xml:space="preserve">Record relatedness.</w:t>
      </w:r>
    </w:p>
    <w:p>
      <w:pPr>
        <w:pStyle w:val="Compact"/>
        <w:numPr>
          <w:ilvl w:val="0"/>
          <w:numId w:val="1037"/>
        </w:numPr>
      </w:pPr>
      <w:r>
        <w:t xml:space="preserve">Record severity.</w:t>
      </w:r>
    </w:p>
    <w:p>
      <w:pPr>
        <w:pStyle w:val="Compact"/>
        <w:numPr>
          <w:ilvl w:val="0"/>
          <w:numId w:val="1037"/>
        </w:numPr>
      </w:pPr>
      <w:r>
        <w:t xml:space="preserve">Record onset/resolution dates.</w:t>
      </w:r>
    </w:p>
    <w:p>
      <w:pPr>
        <w:pStyle w:val="Compact"/>
        <w:numPr>
          <w:ilvl w:val="0"/>
          <w:numId w:val="1037"/>
        </w:numPr>
      </w:pPr>
      <w:r>
        <w:t xml:space="preserve">Attach laboratory, autopsy, medical, or other relevant reports.</w:t>
      </w:r>
    </w:p>
    <w:p>
      <w:pPr>
        <w:pStyle w:val="Compact"/>
        <w:numPr>
          <w:ilvl w:val="0"/>
          <w:numId w:val="1037"/>
        </w:numPr>
      </w:pPr>
      <w:r>
        <w:t xml:space="preserve">Initiate required clinical response.</w:t>
      </w:r>
    </w:p>
    <w:p>
      <w:pPr>
        <w:pStyle w:val="Compact"/>
        <w:numPr>
          <w:ilvl w:val="0"/>
          <w:numId w:val="1037"/>
        </w:numPr>
      </w:pPr>
      <w:r>
        <w:t xml:space="preserve">Determine sponsor reporting timeline.</w:t>
      </w:r>
    </w:p>
    <w:p>
      <w:pPr>
        <w:pStyle w:val="Compact"/>
        <w:numPr>
          <w:ilvl w:val="0"/>
          <w:numId w:val="1037"/>
        </w:numPr>
      </w:pPr>
      <w:r>
        <w:t xml:space="preserve">Determine IEC/IRB reporting timeline.</w:t>
      </w:r>
    </w:p>
    <w:p>
      <w:pPr>
        <w:pStyle w:val="Compact"/>
        <w:numPr>
          <w:ilvl w:val="0"/>
          <w:numId w:val="1037"/>
        </w:numPr>
      </w:pPr>
      <w:r>
        <w:t xml:space="preserve">Determine regulatory reporting timeline.</w:t>
      </w:r>
    </w:p>
    <w:p>
      <w:pPr>
        <w:pStyle w:val="Compact"/>
        <w:numPr>
          <w:ilvl w:val="0"/>
          <w:numId w:val="1037"/>
        </w:numPr>
      </w:pPr>
      <w:r>
        <w:t xml:space="preserve">Notify required parties.</w:t>
      </w:r>
    </w:p>
    <w:p>
      <w:pPr>
        <w:pStyle w:val="Compact"/>
        <w:numPr>
          <w:ilvl w:val="0"/>
          <w:numId w:val="1037"/>
        </w:numPr>
      </w:pPr>
      <w:r>
        <w:t xml:space="preserve">Investigate if appropriate.</w:t>
      </w:r>
    </w:p>
    <w:p>
      <w:pPr>
        <w:pStyle w:val="Compact"/>
        <w:numPr>
          <w:ilvl w:val="0"/>
          <w:numId w:val="1037"/>
        </w:numPr>
      </w:pPr>
      <w:r>
        <w:t xml:space="preserve">Track follow-up reports.</w:t>
      </w:r>
    </w:p>
    <w:p>
      <w:pPr>
        <w:pStyle w:val="Compact"/>
        <w:numPr>
          <w:ilvl w:val="0"/>
          <w:numId w:val="1037"/>
        </w:numPr>
      </w:pPr>
      <w:r>
        <w:t xml:space="preserve">Link to deviations/CAPA where applicable.</w:t>
      </w:r>
    </w:p>
    <w:p>
      <w:pPr>
        <w:pStyle w:val="Compact"/>
        <w:numPr>
          <w:ilvl w:val="0"/>
          <w:numId w:val="1037"/>
        </w:numPr>
      </w:pPr>
      <w:r>
        <w:t xml:space="preserve">Close when reporting and follow-up are complete.</w:t>
      </w:r>
    </w:p>
    <w:p>
      <w:pPr>
        <w:pStyle w:val="Compact"/>
        <w:numPr>
          <w:ilvl w:val="0"/>
          <w:numId w:val="1037"/>
        </w:numPr>
      </w:pPr>
      <w:r>
        <w:t xml:space="preserve">Generate safety event receipt.</w:t>
      </w:r>
    </w:p>
    <w:bookmarkEnd w:id="116"/>
    <w:bookmarkStart w:id="117" w:name="procedure-11-manage-capa"/>
    <w:p>
      <w:pPr>
        <w:pStyle w:val="Heading3"/>
      </w:pPr>
      <w:r>
        <w:t xml:space="preserve">Procedure 11: Manage CAPA</w:t>
      </w:r>
    </w:p>
    <w:p>
      <w:pPr>
        <w:pStyle w:val="Compact"/>
        <w:numPr>
          <w:ilvl w:val="0"/>
          <w:numId w:val="1038"/>
        </w:numPr>
      </w:pPr>
      <w:r>
        <w:t xml:space="preserve">Open CAPA from finding, deviation, audit, complaint, concern, or trend.</w:t>
      </w:r>
    </w:p>
    <w:p>
      <w:pPr>
        <w:pStyle w:val="Compact"/>
        <w:numPr>
          <w:ilvl w:val="0"/>
          <w:numId w:val="1038"/>
        </w:numPr>
      </w:pPr>
      <w:r>
        <w:t xml:space="preserve">Classify CAPA.</w:t>
      </w:r>
    </w:p>
    <w:p>
      <w:pPr>
        <w:pStyle w:val="Compact"/>
        <w:numPr>
          <w:ilvl w:val="0"/>
          <w:numId w:val="1038"/>
        </w:numPr>
      </w:pPr>
      <w:r>
        <w:t xml:space="preserve">Assign owner.</w:t>
      </w:r>
    </w:p>
    <w:p>
      <w:pPr>
        <w:pStyle w:val="Compact"/>
        <w:numPr>
          <w:ilvl w:val="0"/>
          <w:numId w:val="1038"/>
        </w:numPr>
      </w:pPr>
      <w:r>
        <w:t xml:space="preserve">Conduct root cause analysis.</w:t>
      </w:r>
    </w:p>
    <w:p>
      <w:pPr>
        <w:pStyle w:val="Compact"/>
        <w:numPr>
          <w:ilvl w:val="0"/>
          <w:numId w:val="1038"/>
        </w:numPr>
      </w:pPr>
      <w:r>
        <w:t xml:space="preserve">Document cause/effect.</w:t>
      </w:r>
    </w:p>
    <w:p>
      <w:pPr>
        <w:pStyle w:val="Compact"/>
        <w:numPr>
          <w:ilvl w:val="0"/>
          <w:numId w:val="1038"/>
        </w:numPr>
      </w:pPr>
      <w:r>
        <w:t xml:space="preserve">Assess risk.</w:t>
      </w:r>
    </w:p>
    <w:p>
      <w:pPr>
        <w:pStyle w:val="Compact"/>
        <w:numPr>
          <w:ilvl w:val="0"/>
          <w:numId w:val="1038"/>
        </w:numPr>
      </w:pPr>
      <w:r>
        <w:t xml:space="preserve">Define corrective action.</w:t>
      </w:r>
    </w:p>
    <w:p>
      <w:pPr>
        <w:pStyle w:val="Compact"/>
        <w:numPr>
          <w:ilvl w:val="0"/>
          <w:numId w:val="1038"/>
        </w:numPr>
      </w:pPr>
      <w:r>
        <w:t xml:space="preserve">Define preventive action.</w:t>
      </w:r>
    </w:p>
    <w:p>
      <w:pPr>
        <w:pStyle w:val="Compact"/>
        <w:numPr>
          <w:ilvl w:val="0"/>
          <w:numId w:val="1038"/>
        </w:numPr>
      </w:pPr>
      <w:r>
        <w:t xml:space="preserve">Define impacted policies/SOPs/training.</w:t>
      </w:r>
    </w:p>
    <w:p>
      <w:pPr>
        <w:pStyle w:val="Compact"/>
        <w:numPr>
          <w:ilvl w:val="0"/>
          <w:numId w:val="1038"/>
        </w:numPr>
      </w:pPr>
      <w:r>
        <w:t xml:space="preserve">Define verification method.</w:t>
      </w:r>
    </w:p>
    <w:p>
      <w:pPr>
        <w:pStyle w:val="Compact"/>
        <w:numPr>
          <w:ilvl w:val="0"/>
          <w:numId w:val="1038"/>
        </w:numPr>
      </w:pPr>
      <w:r>
        <w:t xml:space="preserve">Define effectiveness criteria.</w:t>
      </w:r>
    </w:p>
    <w:p>
      <w:pPr>
        <w:pStyle w:val="Compact"/>
        <w:numPr>
          <w:ilvl w:val="0"/>
          <w:numId w:val="1038"/>
        </w:numPr>
      </w:pPr>
      <w:r>
        <w:t xml:space="preserve">Approve CAPA plan.</w:t>
      </w:r>
    </w:p>
    <w:p>
      <w:pPr>
        <w:pStyle w:val="Compact"/>
        <w:numPr>
          <w:ilvl w:val="0"/>
          <w:numId w:val="1038"/>
        </w:numPr>
      </w:pPr>
      <w:r>
        <w:t xml:space="preserve">Implement actions.</w:t>
      </w:r>
    </w:p>
    <w:p>
      <w:pPr>
        <w:pStyle w:val="Compact"/>
        <w:numPr>
          <w:ilvl w:val="0"/>
          <w:numId w:val="1038"/>
        </w:numPr>
      </w:pPr>
      <w:r>
        <w:t xml:space="preserve">Upload evidence.</w:t>
      </w:r>
    </w:p>
    <w:p>
      <w:pPr>
        <w:pStyle w:val="Compact"/>
        <w:numPr>
          <w:ilvl w:val="0"/>
          <w:numId w:val="1038"/>
        </w:numPr>
      </w:pPr>
      <w:r>
        <w:t xml:space="preserve">Verify completion.</w:t>
      </w:r>
    </w:p>
    <w:p>
      <w:pPr>
        <w:pStyle w:val="Compact"/>
        <w:numPr>
          <w:ilvl w:val="0"/>
          <w:numId w:val="1038"/>
        </w:numPr>
      </w:pPr>
      <w:r>
        <w:t xml:space="preserve">Perform effectiveness check.</w:t>
      </w:r>
    </w:p>
    <w:p>
      <w:pPr>
        <w:pStyle w:val="Compact"/>
        <w:numPr>
          <w:ilvl w:val="0"/>
          <w:numId w:val="1038"/>
        </w:numPr>
      </w:pPr>
      <w:r>
        <w:t xml:space="preserve">Close or reopen.</w:t>
      </w:r>
    </w:p>
    <w:p>
      <w:pPr>
        <w:pStyle w:val="Compact"/>
        <w:numPr>
          <w:ilvl w:val="0"/>
          <w:numId w:val="1038"/>
        </w:numPr>
      </w:pPr>
      <w:r>
        <w:t xml:space="preserve">Generate CAPA receipt.</w:t>
      </w:r>
    </w:p>
    <w:bookmarkEnd w:id="117"/>
    <w:bookmarkStart w:id="118" w:name="procedure-12-conduct-internal-audit"/>
    <w:p>
      <w:pPr>
        <w:pStyle w:val="Heading3"/>
      </w:pPr>
      <w:r>
        <w:t xml:space="preserve">Procedure 12: Conduct Internal Audit</w:t>
      </w:r>
    </w:p>
    <w:p>
      <w:pPr>
        <w:pStyle w:val="Compact"/>
        <w:numPr>
          <w:ilvl w:val="0"/>
          <w:numId w:val="1039"/>
        </w:numPr>
      </w:pPr>
      <w:r>
        <w:t xml:space="preserve">Create audit plan.</w:t>
      </w:r>
    </w:p>
    <w:p>
      <w:pPr>
        <w:pStyle w:val="Compact"/>
        <w:numPr>
          <w:ilvl w:val="0"/>
          <w:numId w:val="1039"/>
        </w:numPr>
      </w:pPr>
      <w:r>
        <w:t xml:space="preserve">Define scope.</w:t>
      </w:r>
    </w:p>
    <w:p>
      <w:pPr>
        <w:pStyle w:val="Compact"/>
        <w:numPr>
          <w:ilvl w:val="0"/>
          <w:numId w:val="1039"/>
        </w:numPr>
      </w:pPr>
      <w:r>
        <w:t xml:space="preserve">Select controls.</w:t>
      </w:r>
    </w:p>
    <w:p>
      <w:pPr>
        <w:pStyle w:val="Compact"/>
        <w:numPr>
          <w:ilvl w:val="0"/>
          <w:numId w:val="1039"/>
        </w:numPr>
      </w:pPr>
      <w:r>
        <w:t xml:space="preserve">Assign independent auditor.</w:t>
      </w:r>
    </w:p>
    <w:p>
      <w:pPr>
        <w:pStyle w:val="Compact"/>
        <w:numPr>
          <w:ilvl w:val="0"/>
          <w:numId w:val="1039"/>
        </w:numPr>
      </w:pPr>
      <w:r>
        <w:t xml:space="preserve">Schedule audit.</w:t>
      </w:r>
    </w:p>
    <w:p>
      <w:pPr>
        <w:pStyle w:val="Compact"/>
        <w:numPr>
          <w:ilvl w:val="0"/>
          <w:numId w:val="1039"/>
        </w:numPr>
      </w:pPr>
      <w:r>
        <w:t xml:space="preserve">Collect evidence.</w:t>
      </w:r>
    </w:p>
    <w:p>
      <w:pPr>
        <w:pStyle w:val="Compact"/>
        <w:numPr>
          <w:ilvl w:val="0"/>
          <w:numId w:val="1039"/>
        </w:numPr>
      </w:pPr>
      <w:r>
        <w:t xml:space="preserve">Conduct interviews if applicable.</w:t>
      </w:r>
    </w:p>
    <w:p>
      <w:pPr>
        <w:pStyle w:val="Compact"/>
        <w:numPr>
          <w:ilvl w:val="0"/>
          <w:numId w:val="1039"/>
        </w:numPr>
      </w:pPr>
      <w:r>
        <w:t xml:space="preserve">Review documents.</w:t>
      </w:r>
    </w:p>
    <w:p>
      <w:pPr>
        <w:pStyle w:val="Compact"/>
        <w:numPr>
          <w:ilvl w:val="0"/>
          <w:numId w:val="1039"/>
        </w:numPr>
      </w:pPr>
      <w:r>
        <w:t xml:space="preserve">Review records.</w:t>
      </w:r>
    </w:p>
    <w:p>
      <w:pPr>
        <w:pStyle w:val="Compact"/>
        <w:numPr>
          <w:ilvl w:val="0"/>
          <w:numId w:val="1039"/>
        </w:numPr>
      </w:pPr>
      <w:r>
        <w:t xml:space="preserve">Record findings.</w:t>
      </w:r>
    </w:p>
    <w:p>
      <w:pPr>
        <w:pStyle w:val="Compact"/>
        <w:numPr>
          <w:ilvl w:val="0"/>
          <w:numId w:val="1039"/>
        </w:numPr>
      </w:pPr>
      <w:r>
        <w:t xml:space="preserve">Classify severity.</w:t>
      </w:r>
    </w:p>
    <w:p>
      <w:pPr>
        <w:pStyle w:val="Compact"/>
        <w:numPr>
          <w:ilvl w:val="0"/>
          <w:numId w:val="1039"/>
        </w:numPr>
      </w:pPr>
      <w:r>
        <w:t xml:space="preserve">Create CAPAs where required.</w:t>
      </w:r>
    </w:p>
    <w:p>
      <w:pPr>
        <w:pStyle w:val="Compact"/>
        <w:numPr>
          <w:ilvl w:val="0"/>
          <w:numId w:val="1039"/>
        </w:numPr>
      </w:pPr>
      <w:r>
        <w:t xml:space="preserve">Draft audit report.</w:t>
      </w:r>
    </w:p>
    <w:p>
      <w:pPr>
        <w:pStyle w:val="Compact"/>
        <w:numPr>
          <w:ilvl w:val="0"/>
          <w:numId w:val="1039"/>
        </w:numPr>
      </w:pPr>
      <w:r>
        <w:t xml:space="preserve">Obtain management response.</w:t>
      </w:r>
    </w:p>
    <w:p>
      <w:pPr>
        <w:pStyle w:val="Compact"/>
        <w:numPr>
          <w:ilvl w:val="0"/>
          <w:numId w:val="1039"/>
        </w:numPr>
      </w:pPr>
      <w:r>
        <w:t xml:space="preserve">Approve final report.</w:t>
      </w:r>
    </w:p>
    <w:p>
      <w:pPr>
        <w:pStyle w:val="Compact"/>
        <w:numPr>
          <w:ilvl w:val="0"/>
          <w:numId w:val="1039"/>
        </w:numPr>
      </w:pPr>
      <w:r>
        <w:t xml:space="preserve">Track closure.</w:t>
      </w:r>
    </w:p>
    <w:p>
      <w:pPr>
        <w:pStyle w:val="Compact"/>
        <w:numPr>
          <w:ilvl w:val="0"/>
          <w:numId w:val="1039"/>
        </w:numPr>
      </w:pPr>
      <w:r>
        <w:t xml:space="preserve">Generate audit receipt.</w:t>
      </w:r>
    </w:p>
    <w:bookmarkEnd w:id="118"/>
    <w:bookmarkStart w:id="119" w:name="procedure-13-manage-staff-training-gap"/>
    <w:p>
      <w:pPr>
        <w:pStyle w:val="Heading3"/>
      </w:pPr>
      <w:r>
        <w:t xml:space="preserve">Procedure 13: Manage Staff Training Gap</w:t>
      </w:r>
    </w:p>
    <w:p>
      <w:pPr>
        <w:pStyle w:val="Compact"/>
        <w:numPr>
          <w:ilvl w:val="0"/>
          <w:numId w:val="1040"/>
        </w:numPr>
      </w:pPr>
      <w:r>
        <w:t xml:space="preserve">System identifies role/training requirement.</w:t>
      </w:r>
    </w:p>
    <w:p>
      <w:pPr>
        <w:pStyle w:val="Compact"/>
        <w:numPr>
          <w:ilvl w:val="0"/>
          <w:numId w:val="1040"/>
        </w:numPr>
      </w:pPr>
      <w:r>
        <w:t xml:space="preserve">Compare requirement to training record.</w:t>
      </w:r>
    </w:p>
    <w:p>
      <w:pPr>
        <w:pStyle w:val="Compact"/>
        <w:numPr>
          <w:ilvl w:val="0"/>
          <w:numId w:val="1040"/>
        </w:numPr>
      </w:pPr>
      <w:r>
        <w:t xml:space="preserve">Create gap.</w:t>
      </w:r>
    </w:p>
    <w:p>
      <w:pPr>
        <w:pStyle w:val="Compact"/>
        <w:numPr>
          <w:ilvl w:val="0"/>
          <w:numId w:val="1040"/>
        </w:numPr>
      </w:pPr>
      <w:r>
        <w:t xml:space="preserve">Notify staff member and supervisor.</w:t>
      </w:r>
    </w:p>
    <w:p>
      <w:pPr>
        <w:pStyle w:val="Compact"/>
        <w:numPr>
          <w:ilvl w:val="0"/>
          <w:numId w:val="1040"/>
        </w:numPr>
      </w:pPr>
      <w:r>
        <w:t xml:space="preserve">Assign training.</w:t>
      </w:r>
    </w:p>
    <w:p>
      <w:pPr>
        <w:pStyle w:val="Compact"/>
        <w:numPr>
          <w:ilvl w:val="0"/>
          <w:numId w:val="1040"/>
        </w:numPr>
      </w:pPr>
      <w:r>
        <w:t xml:space="preserve">Complete training.</w:t>
      </w:r>
    </w:p>
    <w:p>
      <w:pPr>
        <w:pStyle w:val="Compact"/>
        <w:numPr>
          <w:ilvl w:val="0"/>
          <w:numId w:val="1040"/>
        </w:numPr>
      </w:pPr>
      <w:r>
        <w:t xml:space="preserve">Complete assessment, if required.</w:t>
      </w:r>
    </w:p>
    <w:p>
      <w:pPr>
        <w:pStyle w:val="Compact"/>
        <w:numPr>
          <w:ilvl w:val="0"/>
          <w:numId w:val="1040"/>
        </w:numPr>
      </w:pPr>
      <w:r>
        <w:t xml:space="preserve">Supervisor or trainer verifies competence.</w:t>
      </w:r>
    </w:p>
    <w:p>
      <w:pPr>
        <w:pStyle w:val="Compact"/>
        <w:numPr>
          <w:ilvl w:val="0"/>
          <w:numId w:val="1040"/>
        </w:numPr>
      </w:pPr>
      <w:r>
        <w:t xml:space="preserve">Update training record.</w:t>
      </w:r>
    </w:p>
    <w:p>
      <w:pPr>
        <w:pStyle w:val="Compact"/>
        <w:numPr>
          <w:ilvl w:val="0"/>
          <w:numId w:val="1040"/>
        </w:numPr>
      </w:pPr>
      <w:r>
        <w:t xml:space="preserve">Remove gap.</w:t>
      </w:r>
    </w:p>
    <w:p>
      <w:pPr>
        <w:pStyle w:val="Compact"/>
        <w:numPr>
          <w:ilvl w:val="0"/>
          <w:numId w:val="1040"/>
        </w:numPr>
      </w:pPr>
      <w:r>
        <w:t xml:space="preserve">Generate training receipt.</w:t>
      </w:r>
    </w:p>
    <w:p>
      <w:pPr>
        <w:pStyle w:val="Compact"/>
        <w:numPr>
          <w:ilvl w:val="0"/>
          <w:numId w:val="1040"/>
        </w:numPr>
      </w:pPr>
      <w:r>
        <w:t xml:space="preserve">Update delegation eligibility.</w:t>
      </w:r>
    </w:p>
    <w:bookmarkEnd w:id="119"/>
    <w:bookmarkStart w:id="120" w:name="procedure-14-manage-delegation"/>
    <w:p>
      <w:pPr>
        <w:pStyle w:val="Heading3"/>
      </w:pPr>
      <w:r>
        <w:t xml:space="preserve">Procedure 14: Manage Delegation</w:t>
      </w:r>
    </w:p>
    <w:p>
      <w:pPr>
        <w:pStyle w:val="Compact"/>
        <w:numPr>
          <w:ilvl w:val="0"/>
          <w:numId w:val="1041"/>
        </w:numPr>
      </w:pPr>
      <w:r>
        <w:t xml:space="preserve">Create delegation request.</w:t>
      </w:r>
    </w:p>
    <w:p>
      <w:pPr>
        <w:pStyle w:val="Compact"/>
        <w:numPr>
          <w:ilvl w:val="0"/>
          <w:numId w:val="1041"/>
        </w:numPr>
      </w:pPr>
      <w:r>
        <w:t xml:space="preserve">Identify delegator.</w:t>
      </w:r>
    </w:p>
    <w:p>
      <w:pPr>
        <w:pStyle w:val="Compact"/>
        <w:numPr>
          <w:ilvl w:val="0"/>
          <w:numId w:val="1041"/>
        </w:numPr>
      </w:pPr>
      <w:r>
        <w:t xml:space="preserve">Identify delegate.</w:t>
      </w:r>
    </w:p>
    <w:p>
      <w:pPr>
        <w:pStyle w:val="Compact"/>
        <w:numPr>
          <w:ilvl w:val="0"/>
          <w:numId w:val="1041"/>
        </w:numPr>
      </w:pPr>
      <w:r>
        <w:t xml:space="preserve">Define responsibility.</w:t>
      </w:r>
    </w:p>
    <w:p>
      <w:pPr>
        <w:pStyle w:val="Compact"/>
        <w:numPr>
          <w:ilvl w:val="0"/>
          <w:numId w:val="1041"/>
        </w:numPr>
      </w:pPr>
      <w:r>
        <w:t xml:space="preserve">Define scope.</w:t>
      </w:r>
    </w:p>
    <w:p>
      <w:pPr>
        <w:pStyle w:val="Compact"/>
        <w:numPr>
          <w:ilvl w:val="0"/>
          <w:numId w:val="1041"/>
        </w:numPr>
      </w:pPr>
      <w:r>
        <w:t xml:space="preserve">Link protocol/site.</w:t>
      </w:r>
    </w:p>
    <w:p>
      <w:pPr>
        <w:pStyle w:val="Compact"/>
        <w:numPr>
          <w:ilvl w:val="0"/>
          <w:numId w:val="1041"/>
        </w:numPr>
      </w:pPr>
      <w:r>
        <w:t xml:space="preserve">Verify delegate qualifications.</w:t>
      </w:r>
    </w:p>
    <w:p>
      <w:pPr>
        <w:pStyle w:val="Compact"/>
        <w:numPr>
          <w:ilvl w:val="0"/>
          <w:numId w:val="1041"/>
        </w:numPr>
      </w:pPr>
      <w:r>
        <w:t xml:space="preserve">Verify training.</w:t>
      </w:r>
    </w:p>
    <w:p>
      <w:pPr>
        <w:pStyle w:val="Compact"/>
        <w:numPr>
          <w:ilvl w:val="0"/>
          <w:numId w:val="1041"/>
        </w:numPr>
      </w:pPr>
      <w:r>
        <w:t xml:space="preserve">Verify competence.</w:t>
      </w:r>
    </w:p>
    <w:p>
      <w:pPr>
        <w:pStyle w:val="Compact"/>
        <w:numPr>
          <w:ilvl w:val="0"/>
          <w:numId w:val="1041"/>
        </w:numPr>
      </w:pPr>
      <w:r>
        <w:t xml:space="preserve">Define start/end date.</w:t>
      </w:r>
    </w:p>
    <w:p>
      <w:pPr>
        <w:pStyle w:val="Compact"/>
        <w:numPr>
          <w:ilvl w:val="0"/>
          <w:numId w:val="1041"/>
        </w:numPr>
      </w:pPr>
      <w:r>
        <w:t xml:space="preserve">Define limitations.</w:t>
      </w:r>
    </w:p>
    <w:p>
      <w:pPr>
        <w:pStyle w:val="Compact"/>
        <w:numPr>
          <w:ilvl w:val="0"/>
          <w:numId w:val="1041"/>
        </w:numPr>
      </w:pPr>
      <w:r>
        <w:t xml:space="preserve">Approve delegation.</w:t>
      </w:r>
    </w:p>
    <w:p>
      <w:pPr>
        <w:pStyle w:val="Compact"/>
        <w:numPr>
          <w:ilvl w:val="0"/>
          <w:numId w:val="1041"/>
        </w:numPr>
      </w:pPr>
      <w:r>
        <w:t xml:space="preserve">Activate authority.</w:t>
      </w:r>
    </w:p>
    <w:p>
      <w:pPr>
        <w:pStyle w:val="Compact"/>
        <w:numPr>
          <w:ilvl w:val="0"/>
          <w:numId w:val="1041"/>
        </w:numPr>
      </w:pPr>
      <w:r>
        <w:t xml:space="preserve">Monitor expiration.</w:t>
      </w:r>
    </w:p>
    <w:p>
      <w:pPr>
        <w:pStyle w:val="Compact"/>
        <w:numPr>
          <w:ilvl w:val="0"/>
          <w:numId w:val="1041"/>
        </w:numPr>
      </w:pPr>
      <w:r>
        <w:t xml:space="preserve">Revoke or renew as required.</w:t>
      </w:r>
    </w:p>
    <w:p>
      <w:pPr>
        <w:pStyle w:val="Compact"/>
        <w:numPr>
          <w:ilvl w:val="0"/>
          <w:numId w:val="1041"/>
        </w:numPr>
      </w:pPr>
      <w:r>
        <w:t xml:space="preserve">Generate delegation receipt.</w:t>
      </w:r>
    </w:p>
    <w:bookmarkEnd w:id="120"/>
    <w:bookmarkStart w:id="121" w:name="X414d49b959285563c3ec290a6b737eeb98ac47e"/>
    <w:p>
      <w:pPr>
        <w:pStyle w:val="Heading3"/>
      </w:pPr>
      <w:r>
        <w:t xml:space="preserve">Procedure 15: Raise and Investigate Concern</w:t>
      </w:r>
    </w:p>
    <w:p>
      <w:pPr>
        <w:pStyle w:val="Compact"/>
        <w:numPr>
          <w:ilvl w:val="0"/>
          <w:numId w:val="1042"/>
        </w:numPr>
      </w:pPr>
      <w:r>
        <w:t xml:space="preserve">Submit concern, anonymously or identified.</w:t>
      </w:r>
    </w:p>
    <w:p>
      <w:pPr>
        <w:pStyle w:val="Compact"/>
        <w:numPr>
          <w:ilvl w:val="0"/>
          <w:numId w:val="1042"/>
        </w:numPr>
      </w:pPr>
      <w:r>
        <w:t xml:space="preserve">Classify concern.</w:t>
      </w:r>
    </w:p>
    <w:p>
      <w:pPr>
        <w:pStyle w:val="Compact"/>
        <w:numPr>
          <w:ilvl w:val="0"/>
          <w:numId w:val="1042"/>
        </w:numPr>
      </w:pPr>
      <w:r>
        <w:t xml:space="preserve">Triage severity.</w:t>
      </w:r>
    </w:p>
    <w:p>
      <w:pPr>
        <w:pStyle w:val="Compact"/>
        <w:numPr>
          <w:ilvl w:val="0"/>
          <w:numId w:val="1042"/>
        </w:numPr>
      </w:pPr>
      <w:r>
        <w:t xml:space="preserve">Acknowledge receipt where possible.</w:t>
      </w:r>
    </w:p>
    <w:p>
      <w:pPr>
        <w:pStyle w:val="Compact"/>
        <w:numPr>
          <w:ilvl w:val="0"/>
          <w:numId w:val="1042"/>
        </w:numPr>
      </w:pPr>
      <w:r>
        <w:t xml:space="preserve">Protect confidentiality.</w:t>
      </w:r>
    </w:p>
    <w:p>
      <w:pPr>
        <w:pStyle w:val="Compact"/>
        <w:numPr>
          <w:ilvl w:val="0"/>
          <w:numId w:val="1042"/>
        </w:numPr>
      </w:pPr>
      <w:r>
        <w:t xml:space="preserve">Assign investigator.</w:t>
      </w:r>
    </w:p>
    <w:p>
      <w:pPr>
        <w:pStyle w:val="Compact"/>
        <w:numPr>
          <w:ilvl w:val="0"/>
          <w:numId w:val="1042"/>
        </w:numPr>
      </w:pPr>
      <w:r>
        <w:t xml:space="preserve">Escalate immediate participant safety or ethical risks.</w:t>
      </w:r>
    </w:p>
    <w:p>
      <w:pPr>
        <w:pStyle w:val="Compact"/>
        <w:numPr>
          <w:ilvl w:val="0"/>
          <w:numId w:val="1042"/>
        </w:numPr>
      </w:pPr>
      <w:r>
        <w:t xml:space="preserve">Conduct investigation.</w:t>
      </w:r>
    </w:p>
    <w:p>
      <w:pPr>
        <w:pStyle w:val="Compact"/>
        <w:numPr>
          <w:ilvl w:val="0"/>
          <w:numId w:val="1042"/>
        </w:numPr>
      </w:pPr>
      <w:r>
        <w:t xml:space="preserve">Record evidence.</w:t>
      </w:r>
    </w:p>
    <w:p>
      <w:pPr>
        <w:pStyle w:val="Compact"/>
        <w:numPr>
          <w:ilvl w:val="0"/>
          <w:numId w:val="1042"/>
        </w:numPr>
      </w:pPr>
      <w:r>
        <w:t xml:space="preserve">Determine findings.</w:t>
      </w:r>
    </w:p>
    <w:p>
      <w:pPr>
        <w:pStyle w:val="Compact"/>
        <w:numPr>
          <w:ilvl w:val="0"/>
          <w:numId w:val="1042"/>
        </w:numPr>
      </w:pPr>
      <w:r>
        <w:t xml:space="preserve">Define corrective action.</w:t>
      </w:r>
    </w:p>
    <w:p>
      <w:pPr>
        <w:pStyle w:val="Compact"/>
        <w:numPr>
          <w:ilvl w:val="0"/>
          <w:numId w:val="1042"/>
        </w:numPr>
      </w:pPr>
      <w:r>
        <w:t xml:space="preserve">Communicate outcome where permitted.</w:t>
      </w:r>
    </w:p>
    <w:p>
      <w:pPr>
        <w:pStyle w:val="Compact"/>
        <w:numPr>
          <w:ilvl w:val="0"/>
          <w:numId w:val="1042"/>
        </w:numPr>
      </w:pPr>
      <w:r>
        <w:t xml:space="preserve">Close or escalate.</w:t>
      </w:r>
    </w:p>
    <w:p>
      <w:pPr>
        <w:pStyle w:val="Compact"/>
        <w:numPr>
          <w:ilvl w:val="0"/>
          <w:numId w:val="1042"/>
        </w:numPr>
      </w:pPr>
      <w:r>
        <w:t xml:space="preserve">Generate concern receipt.</w:t>
      </w:r>
    </w:p>
    <w:bookmarkEnd w:id="121"/>
    <w:bookmarkStart w:id="122" w:name="X085a868182c3954b1616767ca4b1c78ec99e35f"/>
    <w:p>
      <w:pPr>
        <w:pStyle w:val="Heading3"/>
      </w:pPr>
      <w:r>
        <w:t xml:space="preserve">Procedure 16: Produce Sponsor/CRO Diligence Packet</w:t>
      </w:r>
    </w:p>
    <w:p>
      <w:pPr>
        <w:pStyle w:val="Compact"/>
        <w:numPr>
          <w:ilvl w:val="0"/>
          <w:numId w:val="1043"/>
        </w:numPr>
      </w:pPr>
      <w:r>
        <w:t xml:space="preserve">Select site, protocol, study, or network scope.</w:t>
      </w:r>
    </w:p>
    <w:p>
      <w:pPr>
        <w:pStyle w:val="Compact"/>
        <w:numPr>
          <w:ilvl w:val="0"/>
          <w:numId w:val="1043"/>
        </w:numPr>
      </w:pPr>
      <w:r>
        <w:t xml:space="preserve">Select audience.</w:t>
      </w:r>
    </w:p>
    <w:p>
      <w:pPr>
        <w:pStyle w:val="Compact"/>
        <w:numPr>
          <w:ilvl w:val="0"/>
          <w:numId w:val="1043"/>
        </w:numPr>
      </w:pPr>
      <w:r>
        <w:t xml:space="preserve">Apply access policy.</w:t>
      </w:r>
    </w:p>
    <w:p>
      <w:pPr>
        <w:pStyle w:val="Compact"/>
        <w:numPr>
          <w:ilvl w:val="0"/>
          <w:numId w:val="1043"/>
        </w:numPr>
      </w:pPr>
      <w:r>
        <w:t xml:space="preserve">Exclude restricted PHI/PII unless authorized.</w:t>
      </w:r>
    </w:p>
    <w:p>
      <w:pPr>
        <w:pStyle w:val="Compact"/>
        <w:numPr>
          <w:ilvl w:val="0"/>
          <w:numId w:val="1043"/>
        </w:numPr>
      </w:pPr>
      <w:r>
        <w:t xml:space="preserve">Include QMS Passport.</w:t>
      </w:r>
    </w:p>
    <w:p>
      <w:pPr>
        <w:pStyle w:val="Compact"/>
        <w:numPr>
          <w:ilvl w:val="0"/>
          <w:numId w:val="1043"/>
        </w:numPr>
      </w:pPr>
      <w:r>
        <w:t xml:space="preserve">Include control status.</w:t>
      </w:r>
    </w:p>
    <w:p>
      <w:pPr>
        <w:pStyle w:val="Compact"/>
        <w:numPr>
          <w:ilvl w:val="0"/>
          <w:numId w:val="1043"/>
        </w:numPr>
      </w:pPr>
      <w:r>
        <w:t xml:space="preserve">Include evidence summary.</w:t>
      </w:r>
    </w:p>
    <w:p>
      <w:pPr>
        <w:pStyle w:val="Compact"/>
        <w:numPr>
          <w:ilvl w:val="0"/>
          <w:numId w:val="1043"/>
        </w:numPr>
      </w:pPr>
      <w:r>
        <w:t xml:space="preserve">Include open findings.</w:t>
      </w:r>
    </w:p>
    <w:p>
      <w:pPr>
        <w:pStyle w:val="Compact"/>
        <w:numPr>
          <w:ilvl w:val="0"/>
          <w:numId w:val="1043"/>
        </w:numPr>
      </w:pPr>
      <w:r>
        <w:t xml:space="preserve">Include CAPA status.</w:t>
      </w:r>
    </w:p>
    <w:p>
      <w:pPr>
        <w:pStyle w:val="Compact"/>
        <w:numPr>
          <w:ilvl w:val="0"/>
          <w:numId w:val="1043"/>
        </w:numPr>
      </w:pPr>
      <w:r>
        <w:t xml:space="preserve">Include risk register summary.</w:t>
      </w:r>
    </w:p>
    <w:p>
      <w:pPr>
        <w:pStyle w:val="Compact"/>
        <w:numPr>
          <w:ilvl w:val="0"/>
          <w:numId w:val="1043"/>
        </w:numPr>
      </w:pPr>
      <w:r>
        <w:t xml:space="preserve">Include training summary.</w:t>
      </w:r>
    </w:p>
    <w:p>
      <w:pPr>
        <w:pStyle w:val="Compact"/>
        <w:numPr>
          <w:ilvl w:val="0"/>
          <w:numId w:val="1043"/>
        </w:numPr>
      </w:pPr>
      <w:r>
        <w:t xml:space="preserve">Include delegation summary.</w:t>
      </w:r>
    </w:p>
    <w:p>
      <w:pPr>
        <w:pStyle w:val="Compact"/>
        <w:numPr>
          <w:ilvl w:val="0"/>
          <w:numId w:val="1043"/>
        </w:numPr>
      </w:pPr>
      <w:r>
        <w:t xml:space="preserve">Include facility/equipment readiness.</w:t>
      </w:r>
    </w:p>
    <w:p>
      <w:pPr>
        <w:pStyle w:val="Compact"/>
        <w:numPr>
          <w:ilvl w:val="0"/>
          <w:numId w:val="1043"/>
        </w:numPr>
      </w:pPr>
      <w:r>
        <w:t xml:space="preserve">Include consent process readiness.</w:t>
      </w:r>
    </w:p>
    <w:p>
      <w:pPr>
        <w:pStyle w:val="Compact"/>
        <w:numPr>
          <w:ilvl w:val="0"/>
          <w:numId w:val="1043"/>
        </w:numPr>
      </w:pPr>
      <w:r>
        <w:t xml:space="preserve">Include deviation trends.</w:t>
      </w:r>
    </w:p>
    <w:p>
      <w:pPr>
        <w:pStyle w:val="Compact"/>
        <w:numPr>
          <w:ilvl w:val="0"/>
          <w:numId w:val="1043"/>
        </w:numPr>
      </w:pPr>
      <w:r>
        <w:t xml:space="preserve">Include audit history.</w:t>
      </w:r>
    </w:p>
    <w:p>
      <w:pPr>
        <w:pStyle w:val="Compact"/>
        <w:numPr>
          <w:ilvl w:val="0"/>
          <w:numId w:val="1043"/>
        </w:numPr>
      </w:pPr>
      <w:r>
        <w:t xml:space="preserve">Include Decision Forum determinations.</w:t>
      </w:r>
    </w:p>
    <w:p>
      <w:pPr>
        <w:pStyle w:val="Compact"/>
        <w:numPr>
          <w:ilvl w:val="0"/>
          <w:numId w:val="1043"/>
        </w:numPr>
      </w:pPr>
      <w:r>
        <w:t xml:space="preserve">Include evidence receipt index.</w:t>
      </w:r>
    </w:p>
    <w:p>
      <w:pPr>
        <w:pStyle w:val="Compact"/>
        <w:numPr>
          <w:ilvl w:val="0"/>
          <w:numId w:val="1043"/>
        </w:numPr>
      </w:pPr>
      <w:r>
        <w:t xml:space="preserve">Generate packet.</w:t>
      </w:r>
    </w:p>
    <w:p>
      <w:pPr>
        <w:pStyle w:val="Compact"/>
        <w:numPr>
          <w:ilvl w:val="0"/>
          <w:numId w:val="1043"/>
        </w:numPr>
      </w:pPr>
      <w:r>
        <w:t xml:space="preserve">Log disclosure.</w:t>
      </w:r>
    </w:p>
    <w:p>
      <w:pPr>
        <w:pStyle w:val="Compact"/>
        <w:numPr>
          <w:ilvl w:val="0"/>
          <w:numId w:val="1043"/>
        </w:numPr>
      </w:pPr>
      <w:r>
        <w:t xml:space="preserve">Generate export receipt.</w:t>
      </w:r>
    </w:p>
    <w:bookmarkEnd w:id="122"/>
    <w:bookmarkEnd w:id="123"/>
    <w:bookmarkStart w:id="139" w:name="governance-rules"/>
    <w:p>
      <w:pPr>
        <w:pStyle w:val="Heading2"/>
      </w:pPr>
      <w:r>
        <w:t xml:space="preserve">Governance rules</w:t>
      </w:r>
    </w:p>
    <w:bookmarkStart w:id="124" w:name="X16a67f2f2eb05795372e25039dab789aa3256db"/>
    <w:p>
      <w:pPr>
        <w:pStyle w:val="Heading3"/>
      </w:pPr>
      <w:r>
        <w:t xml:space="preserve">Rule 1: Enrollment cannot proceed without active authorization</w:t>
      </w:r>
    </w:p>
    <w:p>
      <w:pPr>
        <w:pStyle w:val="FirstParagraph"/>
      </w:pPr>
      <w:r>
        <w:t xml:space="preserve">A participant may not be enrolled unless the protocol is active, the site launch gate is approved, the consent form version is active, required staff training is complete, delegated staff are authorized, and no active blocking risk exists.</w:t>
      </w:r>
    </w:p>
    <w:bookmarkEnd w:id="124"/>
    <w:bookmarkStart w:id="125" w:name="Xb38b375428e7b7b0ffdad20430dff7e48ce8261"/>
    <w:p>
      <w:pPr>
        <w:pStyle w:val="Heading3"/>
      </w:pPr>
      <w:r>
        <w:t xml:space="preserve">Rule 2: Superseded consent forms are blocked</w:t>
      </w:r>
    </w:p>
    <w:p>
      <w:pPr>
        <w:pStyle w:val="FirstParagraph"/>
      </w:pPr>
      <w:r>
        <w:t xml:space="preserve">Once a new consent form version becomes effective, superseded forms must be blocked from use unless a documented, approved exception applies.</w:t>
      </w:r>
    </w:p>
    <w:bookmarkEnd w:id="125"/>
    <w:bookmarkStart w:id="126" w:name="X15b30dd3ee72c73d3b335195c78ea604ce6741a"/>
    <w:p>
      <w:pPr>
        <w:pStyle w:val="Heading3"/>
      </w:pPr>
      <w:r>
        <w:t xml:space="preserve">Rule 3: Untrained staff cannot perform controlled tasks</w:t>
      </w:r>
    </w:p>
    <w:p>
      <w:pPr>
        <w:pStyle w:val="FirstParagraph"/>
      </w:pPr>
      <w:r>
        <w:t xml:space="preserve">A staff member may not perform a protocol-controlled task unless the training matrix, competency evidence, and delegation record permit the action.</w:t>
      </w:r>
    </w:p>
    <w:bookmarkEnd w:id="126"/>
    <w:bookmarkStart w:id="127" w:name="rule-4-delegation-expires-automatically"/>
    <w:p>
      <w:pPr>
        <w:pStyle w:val="Heading3"/>
      </w:pPr>
      <w:r>
        <w:t xml:space="preserve">Rule 4: Delegation expires automatically</w:t>
      </w:r>
    </w:p>
    <w:p>
      <w:pPr>
        <w:pStyle w:val="FirstParagraph"/>
      </w:pPr>
      <w:r>
        <w:t xml:space="preserve">Delegated authority expires at its end date, upon role removal, upon training expiration, upon license/certification expiration, upon protocol closure, or upon revocation by authorized leadership.</w:t>
      </w:r>
    </w:p>
    <w:bookmarkEnd w:id="127"/>
    <w:bookmarkStart w:id="128" w:name="Xc3b6f942aa8e43caa24e093117d42fd8e06b310"/>
    <w:p>
      <w:pPr>
        <w:pStyle w:val="Heading3"/>
      </w:pPr>
      <w:r>
        <w:t xml:space="preserve">Rule 5: Critical findings require escalation</w:t>
      </w:r>
    </w:p>
    <w:p>
      <w:pPr>
        <w:pStyle w:val="FirstParagraph"/>
      </w:pPr>
      <w:r>
        <w:t xml:space="preserve">Critical participant safety, data integrity, ethical, consent, product handling, or unauthorized access findings must be escalated immediately to the required roles and, where applicable, the Decision Forum.</w:t>
      </w:r>
    </w:p>
    <w:bookmarkEnd w:id="128"/>
    <w:bookmarkStart w:id="129" w:name="rule-6-evidence-aging-affects-readiness"/>
    <w:p>
      <w:pPr>
        <w:pStyle w:val="Heading3"/>
      </w:pPr>
      <w:r>
        <w:t xml:space="preserve">Rule 6: Evidence aging affects readiness</w:t>
      </w:r>
    </w:p>
    <w:p>
      <w:pPr>
        <w:pStyle w:val="FirstParagraph"/>
      </w:pPr>
      <w:r>
        <w:t xml:space="preserve">Evidence with expired freshness windows cannot support active readiness claims unless explicitly revalidated, replaced, or formally waived.</w:t>
      </w:r>
    </w:p>
    <w:bookmarkEnd w:id="129"/>
    <w:bookmarkStart w:id="130" w:name="rule-7-ai-cannot-be-final-approver"/>
    <w:p>
      <w:pPr>
        <w:pStyle w:val="Heading3"/>
      </w:pPr>
      <w:r>
        <w:t xml:space="preserve">Rule 7: AI cannot be final approver</w:t>
      </w:r>
    </w:p>
    <w:p>
      <w:pPr>
        <w:pStyle w:val="FirstParagraph"/>
      </w:pPr>
      <w:r>
        <w:t xml:space="preserve">AI may not be the final approver for launch, enrollment, consent, deviation closure, CAPA closure, risk acceptance, ethics approval, protocol amendment approval, or clinical trial product release.</w:t>
      </w:r>
    </w:p>
    <w:bookmarkEnd w:id="130"/>
    <w:bookmarkStart w:id="131" w:name="rule-8-conflict-disclosure-is-mandatory"/>
    <w:p>
      <w:pPr>
        <w:pStyle w:val="Heading3"/>
      </w:pPr>
      <w:r>
        <w:t xml:space="preserve">Rule 8: Conflict disclosure is mandatory</w:t>
      </w:r>
    </w:p>
    <w:p>
      <w:pPr>
        <w:pStyle w:val="FirstParagraph"/>
      </w:pPr>
      <w:r>
        <w:t xml:space="preserve">Decision participants must disclose conflicts before participating in material decisions. The system must support recusal and record disclosure status.</w:t>
      </w:r>
    </w:p>
    <w:bookmarkEnd w:id="131"/>
    <w:bookmarkStart w:id="132" w:name="X23aee60bbaea2f5e4bf5040dc98143736c60118"/>
    <w:p>
      <w:pPr>
        <w:pStyle w:val="Heading3"/>
      </w:pPr>
      <w:r>
        <w:t xml:space="preserve">Rule 9: Emergency actions require retrospective review</w:t>
      </w:r>
    </w:p>
    <w:p>
      <w:pPr>
        <w:pStyle w:val="FirstParagraph"/>
      </w:pPr>
      <w:r>
        <w:t xml:space="preserve">Emergency actions taken to protect participants or prevent harm may proceed when prior approval is impracticable, but must be recorded, justified, reported as required, and retrospectively reviewed.</w:t>
      </w:r>
    </w:p>
    <w:bookmarkEnd w:id="132"/>
    <w:bookmarkStart w:id="133" w:name="X4c0a9821c8d3ecbaf8080f3d0dd66cdd6d73bac"/>
    <w:p>
      <w:pPr>
        <w:pStyle w:val="Heading3"/>
      </w:pPr>
      <w:r>
        <w:t xml:space="preserve">Rule 10: Protected content must not be exposed through receipts</w:t>
      </w:r>
    </w:p>
    <w:p>
      <w:pPr>
        <w:pStyle w:val="FirstParagraph"/>
      </w:pPr>
      <w:r>
        <w:t xml:space="preserve">Exochain receipts must not expose PHI, PII, sponsor-confidential, or privileged content. Receipts must use minimal metadata, hashes, identifiers, and access-controlled references.</w:t>
      </w:r>
    </w:p>
    <w:bookmarkEnd w:id="133"/>
    <w:bookmarkStart w:id="134" w:name="X32e1ee7c99798a85ff9c7759a5e7043c06999da"/>
    <w:p>
      <w:pPr>
        <w:pStyle w:val="Heading3"/>
      </w:pPr>
      <w:r>
        <w:t xml:space="preserve">Rule 11: Document corrections must be attributable</w:t>
      </w:r>
    </w:p>
    <w:p>
      <w:pPr>
        <w:pStyle w:val="FirstParagraph"/>
      </w:pPr>
      <w:r>
        <w:t xml:space="preserve">Corrections to controlled documents and records must preserve original content, correction reason, actor, timestamp, and approval where required.</w:t>
      </w:r>
    </w:p>
    <w:bookmarkEnd w:id="134"/>
    <w:bookmarkStart w:id="135" w:name="X53e5f1effb1ca3ebec1d4f82f97b56cdd92d73c"/>
    <w:p>
      <w:pPr>
        <w:pStyle w:val="Heading3"/>
      </w:pPr>
      <w:r>
        <w:t xml:space="preserve">Rule 12: CAPA cannot close without evidence</w:t>
      </w:r>
    </w:p>
    <w:p>
      <w:pPr>
        <w:pStyle w:val="FirstParagraph"/>
      </w:pPr>
      <w:r>
        <w:t xml:space="preserve">CAPA closure requires objective evidence of completion and effectiveness criteria or documented rationale for why effectiveness cannot yet be determined.</w:t>
      </w:r>
    </w:p>
    <w:bookmarkEnd w:id="135"/>
    <w:bookmarkStart w:id="136" w:name="X0ef94ed055f53b24393c44114ca4c334a389d44"/>
    <w:p>
      <w:pPr>
        <w:pStyle w:val="Heading3"/>
      </w:pPr>
      <w:r>
        <w:t xml:space="preserve">Rule 13: Launch gate cannot pass with unresolved blockers</w:t>
      </w:r>
    </w:p>
    <w:p>
      <w:pPr>
        <w:pStyle w:val="FirstParagraph"/>
      </w:pPr>
      <w:r>
        <w:t xml:space="preserve">Trial launch authorization cannot pass if there are unresolved critical blockers in protocol approval, consent readiness, training, delegation, facility, product handling, risk mitigation, or required agreements.</w:t>
      </w:r>
    </w:p>
    <w:bookmarkEnd w:id="136"/>
    <w:bookmarkStart w:id="137" w:name="rule-14-audit-trail-is-immutable"/>
    <w:p>
      <w:pPr>
        <w:pStyle w:val="Heading3"/>
      </w:pPr>
      <w:r>
        <w:t xml:space="preserve">Rule 14: Audit trail is immutable</w:t>
      </w:r>
    </w:p>
    <w:p>
      <w:pPr>
        <w:pStyle w:val="FirstParagraph"/>
      </w:pPr>
      <w:r>
        <w:t xml:space="preserve">System audit trail entries must be append-only and tamper-evident. Users may supplement, correct, supersede, or annotate records but may not silently delete or rewrite historical evidence.</w:t>
      </w:r>
    </w:p>
    <w:bookmarkEnd w:id="137"/>
    <w:bookmarkStart w:id="138" w:name="rule-15-access-is-least-privilege"/>
    <w:p>
      <w:pPr>
        <w:pStyle w:val="Heading3"/>
      </w:pPr>
      <w:r>
        <w:t xml:space="preserve">Rule 15: Access is least privilege</w:t>
      </w:r>
    </w:p>
    <w:p>
      <w:pPr>
        <w:pStyle w:val="FirstParagraph"/>
      </w:pPr>
      <w:r>
        <w:t xml:space="preserve">Users receive the minimum access needed to perform authorized roles. Access must be revoked upon role change, delegation expiration, study closure, termination, or policy violation.</w:t>
      </w:r>
    </w:p>
    <w:bookmarkEnd w:id="138"/>
    <w:bookmarkEnd w:id="139"/>
    <w:bookmarkStart w:id="158" w:name="roles-and-responsibilities"/>
    <w:p>
      <w:pPr>
        <w:pStyle w:val="Heading2"/>
      </w:pPr>
      <w:r>
        <w:t xml:space="preserve">Roles and responsibilities</w:t>
      </w:r>
    </w:p>
    <w:bookmarkStart w:id="140" w:name="site-executive-sponsor"/>
    <w:p>
      <w:pPr>
        <w:pStyle w:val="Heading3"/>
      </w:pPr>
      <w:r>
        <w:t xml:space="preserve">Site Executive Sponsor</w:t>
      </w:r>
    </w:p>
    <w:p>
      <w:pPr>
        <w:pStyle w:val="FirstParagraph"/>
      </w:pPr>
      <w:r>
        <w:t xml:space="preserve">Responsible for ensuring the site maintains leadership commitment, resources, strategy, ethical framework, quality policy, accountability, and overall QMS support.</w:t>
      </w:r>
    </w:p>
    <w:p>
      <w:pPr>
        <w:pStyle w:val="BodyText"/>
      </w:pPr>
      <w:r>
        <w:t xml:space="preserve">Responsibilities:</w:t>
      </w:r>
    </w:p>
    <w:p>
      <w:pPr>
        <w:pStyle w:val="Compact"/>
        <w:numPr>
          <w:ilvl w:val="0"/>
          <w:numId w:val="1044"/>
        </w:numPr>
      </w:pPr>
      <w:r>
        <w:t xml:space="preserve">Approve site mission, vision, and values.</w:t>
      </w:r>
    </w:p>
    <w:p>
      <w:pPr>
        <w:pStyle w:val="Compact"/>
        <w:numPr>
          <w:ilvl w:val="0"/>
          <w:numId w:val="1044"/>
        </w:numPr>
      </w:pPr>
      <w:r>
        <w:t xml:space="preserve">Approve site strategy.</w:t>
      </w:r>
    </w:p>
    <w:p>
      <w:pPr>
        <w:pStyle w:val="Compact"/>
        <w:numPr>
          <w:ilvl w:val="0"/>
          <w:numId w:val="1044"/>
        </w:numPr>
      </w:pPr>
      <w:r>
        <w:t xml:space="preserve">Ensure resources for QMS.</w:t>
      </w:r>
    </w:p>
    <w:p>
      <w:pPr>
        <w:pStyle w:val="Compact"/>
        <w:numPr>
          <w:ilvl w:val="0"/>
          <w:numId w:val="1044"/>
        </w:numPr>
      </w:pPr>
      <w:r>
        <w:t xml:space="preserve">Ensure quality leadership is appointed.</w:t>
      </w:r>
    </w:p>
    <w:p>
      <w:pPr>
        <w:pStyle w:val="Compact"/>
        <w:numPr>
          <w:ilvl w:val="0"/>
          <w:numId w:val="1044"/>
        </w:numPr>
      </w:pPr>
      <w:r>
        <w:t xml:space="preserve">Review major quality risks.</w:t>
      </w:r>
    </w:p>
    <w:p>
      <w:pPr>
        <w:pStyle w:val="Compact"/>
        <w:numPr>
          <w:ilvl w:val="0"/>
          <w:numId w:val="1044"/>
        </w:numPr>
      </w:pPr>
      <w:r>
        <w:t xml:space="preserve">Support open and inclusive leadership.</w:t>
      </w:r>
    </w:p>
    <w:p>
      <w:pPr>
        <w:pStyle w:val="Compact"/>
        <w:numPr>
          <w:ilvl w:val="0"/>
          <w:numId w:val="1044"/>
        </w:numPr>
      </w:pPr>
      <w:r>
        <w:t xml:space="preserve">Review major sponsor/CRO diligence outputs.</w:t>
      </w:r>
    </w:p>
    <w:p>
      <w:pPr>
        <w:pStyle w:val="Compact"/>
        <w:numPr>
          <w:ilvl w:val="0"/>
          <w:numId w:val="1044"/>
        </w:numPr>
      </w:pPr>
      <w:r>
        <w:t xml:space="preserve">Approve major policy changes.</w:t>
      </w:r>
    </w:p>
    <w:p>
      <w:pPr>
        <w:pStyle w:val="Compact"/>
        <w:numPr>
          <w:ilvl w:val="0"/>
          <w:numId w:val="1044"/>
        </w:numPr>
      </w:pPr>
      <w:r>
        <w:t xml:space="preserve">Participate in Decision Forum when required.</w:t>
      </w:r>
    </w:p>
    <w:bookmarkEnd w:id="140"/>
    <w:bookmarkStart w:id="141" w:name="clinical-research-site-leader"/>
    <w:p>
      <w:pPr>
        <w:pStyle w:val="Heading3"/>
      </w:pPr>
      <w:r>
        <w:t xml:space="preserve">Clinical Research Site Leader</w:t>
      </w:r>
    </w:p>
    <w:p>
      <w:pPr>
        <w:pStyle w:val="FirstParagraph"/>
      </w:pPr>
      <w:r>
        <w:t xml:space="preserve">Responsible for operational execution of the site QMS.</w:t>
      </w:r>
    </w:p>
    <w:p>
      <w:pPr>
        <w:pStyle w:val="BodyText"/>
      </w:pPr>
      <w:r>
        <w:t xml:space="preserve">Responsibilities:</w:t>
      </w:r>
    </w:p>
    <w:p>
      <w:pPr>
        <w:pStyle w:val="Compact"/>
        <w:numPr>
          <w:ilvl w:val="0"/>
          <w:numId w:val="1045"/>
        </w:numPr>
      </w:pPr>
      <w:r>
        <w:t xml:space="preserve">Maintain site QMS Passport.</w:t>
      </w:r>
    </w:p>
    <w:p>
      <w:pPr>
        <w:pStyle w:val="Compact"/>
        <w:numPr>
          <w:ilvl w:val="0"/>
          <w:numId w:val="1045"/>
        </w:numPr>
      </w:pPr>
      <w:r>
        <w:t xml:space="preserve">Ensure role assignments.</w:t>
      </w:r>
    </w:p>
    <w:p>
      <w:pPr>
        <w:pStyle w:val="Compact"/>
        <w:numPr>
          <w:ilvl w:val="0"/>
          <w:numId w:val="1045"/>
        </w:numPr>
      </w:pPr>
      <w:r>
        <w:t xml:space="preserve">Ensure communication plan.</w:t>
      </w:r>
    </w:p>
    <w:p>
      <w:pPr>
        <w:pStyle w:val="Compact"/>
        <w:numPr>
          <w:ilvl w:val="0"/>
          <w:numId w:val="1045"/>
        </w:numPr>
      </w:pPr>
      <w:r>
        <w:t xml:space="preserve">Ensure ethical framework implementation.</w:t>
      </w:r>
    </w:p>
    <w:p>
      <w:pPr>
        <w:pStyle w:val="Compact"/>
        <w:numPr>
          <w:ilvl w:val="0"/>
          <w:numId w:val="1045"/>
        </w:numPr>
      </w:pPr>
      <w:r>
        <w:t xml:space="preserve">Ensure staff training and competency.</w:t>
      </w:r>
    </w:p>
    <w:p>
      <w:pPr>
        <w:pStyle w:val="Compact"/>
        <w:numPr>
          <w:ilvl w:val="0"/>
          <w:numId w:val="1045"/>
        </w:numPr>
      </w:pPr>
      <w:r>
        <w:t xml:space="preserve">Ensure risk management.</w:t>
      </w:r>
    </w:p>
    <w:p>
      <w:pPr>
        <w:pStyle w:val="Compact"/>
        <w:numPr>
          <w:ilvl w:val="0"/>
          <w:numId w:val="1045"/>
        </w:numPr>
      </w:pPr>
      <w:r>
        <w:t xml:space="preserve">Ensure quality planning.</w:t>
      </w:r>
    </w:p>
    <w:p>
      <w:pPr>
        <w:pStyle w:val="Compact"/>
        <w:numPr>
          <w:ilvl w:val="0"/>
          <w:numId w:val="1045"/>
        </w:numPr>
      </w:pPr>
      <w:r>
        <w:t xml:space="preserve">Ensure stakeholder communication.</w:t>
      </w:r>
    </w:p>
    <w:p>
      <w:pPr>
        <w:pStyle w:val="Compact"/>
        <w:numPr>
          <w:ilvl w:val="0"/>
          <w:numId w:val="1045"/>
        </w:numPr>
      </w:pPr>
      <w:r>
        <w:t xml:space="preserve">Review open findings.</w:t>
      </w:r>
    </w:p>
    <w:p>
      <w:pPr>
        <w:pStyle w:val="Compact"/>
        <w:numPr>
          <w:ilvl w:val="0"/>
          <w:numId w:val="1045"/>
        </w:numPr>
      </w:pPr>
      <w:r>
        <w:t xml:space="preserve">Support audits and assessments.</w:t>
      </w:r>
    </w:p>
    <w:bookmarkEnd w:id="141"/>
    <w:bookmarkStart w:id="142" w:name="principal-investigator"/>
    <w:p>
      <w:pPr>
        <w:pStyle w:val="Heading3"/>
      </w:pPr>
      <w:r>
        <w:t xml:space="preserve">Principal Investigator</w:t>
      </w:r>
    </w:p>
    <w:p>
      <w:pPr>
        <w:pStyle w:val="FirstParagraph"/>
      </w:pPr>
      <w:r>
        <w:t xml:space="preserve">Responsible for conduct of the clinical research trial at the site.</w:t>
      </w:r>
    </w:p>
    <w:p>
      <w:pPr>
        <w:pStyle w:val="BodyText"/>
      </w:pPr>
      <w:r>
        <w:t xml:space="preserve">Responsibilities:</w:t>
      </w:r>
    </w:p>
    <w:p>
      <w:pPr>
        <w:pStyle w:val="Compact"/>
        <w:numPr>
          <w:ilvl w:val="0"/>
          <w:numId w:val="1046"/>
        </w:numPr>
      </w:pPr>
      <w:r>
        <w:t xml:space="preserve">Confirm protocol understanding.</w:t>
      </w:r>
    </w:p>
    <w:p>
      <w:pPr>
        <w:pStyle w:val="Compact"/>
        <w:numPr>
          <w:ilvl w:val="0"/>
          <w:numId w:val="1046"/>
        </w:numPr>
      </w:pPr>
      <w:r>
        <w:t xml:space="preserve">Confirm delegation log.</w:t>
      </w:r>
    </w:p>
    <w:p>
      <w:pPr>
        <w:pStyle w:val="Compact"/>
        <w:numPr>
          <w:ilvl w:val="0"/>
          <w:numId w:val="1046"/>
        </w:numPr>
      </w:pPr>
      <w:r>
        <w:t xml:space="preserve">Confirm staff qualifications.</w:t>
      </w:r>
    </w:p>
    <w:p>
      <w:pPr>
        <w:pStyle w:val="Compact"/>
        <w:numPr>
          <w:ilvl w:val="0"/>
          <w:numId w:val="1046"/>
        </w:numPr>
      </w:pPr>
      <w:r>
        <w:t xml:space="preserve">Confirm participant protection procedures.</w:t>
      </w:r>
    </w:p>
    <w:p>
      <w:pPr>
        <w:pStyle w:val="Compact"/>
        <w:numPr>
          <w:ilvl w:val="0"/>
          <w:numId w:val="1046"/>
        </w:numPr>
      </w:pPr>
      <w:r>
        <w:t xml:space="preserve">Confirm consent process.</w:t>
      </w:r>
    </w:p>
    <w:p>
      <w:pPr>
        <w:pStyle w:val="Compact"/>
        <w:numPr>
          <w:ilvl w:val="0"/>
          <w:numId w:val="1046"/>
        </w:numPr>
      </w:pPr>
      <w:r>
        <w:t xml:space="preserve">Manage participant safety obligations.</w:t>
      </w:r>
    </w:p>
    <w:p>
      <w:pPr>
        <w:pStyle w:val="Compact"/>
        <w:numPr>
          <w:ilvl w:val="0"/>
          <w:numId w:val="1046"/>
        </w:numPr>
      </w:pPr>
      <w:r>
        <w:t xml:space="preserve">Review SAEs/AEs as required.</w:t>
      </w:r>
    </w:p>
    <w:p>
      <w:pPr>
        <w:pStyle w:val="Compact"/>
        <w:numPr>
          <w:ilvl w:val="0"/>
          <w:numId w:val="1046"/>
        </w:numPr>
      </w:pPr>
      <w:r>
        <w:t xml:space="preserve">Manage protocol deviations.</w:t>
      </w:r>
    </w:p>
    <w:p>
      <w:pPr>
        <w:pStyle w:val="Compact"/>
        <w:numPr>
          <w:ilvl w:val="0"/>
          <w:numId w:val="1046"/>
        </w:numPr>
      </w:pPr>
      <w:r>
        <w:t xml:space="preserve">Ensure data integrity.</w:t>
      </w:r>
    </w:p>
    <w:p>
      <w:pPr>
        <w:pStyle w:val="Compact"/>
        <w:numPr>
          <w:ilvl w:val="0"/>
          <w:numId w:val="1046"/>
        </w:numPr>
      </w:pPr>
      <w:r>
        <w:t xml:space="preserve">Sign investigator readiness.</w:t>
      </w:r>
    </w:p>
    <w:p>
      <w:pPr>
        <w:pStyle w:val="Compact"/>
        <w:numPr>
          <w:ilvl w:val="0"/>
          <w:numId w:val="1046"/>
        </w:numPr>
      </w:pPr>
      <w:r>
        <w:t xml:space="preserve">Participate in launch authorization.</w:t>
      </w:r>
    </w:p>
    <w:bookmarkEnd w:id="142"/>
    <w:bookmarkStart w:id="143" w:name="quality-manager"/>
    <w:p>
      <w:pPr>
        <w:pStyle w:val="Heading3"/>
      </w:pPr>
      <w:r>
        <w:t xml:space="preserve">Quality Manager</w:t>
      </w:r>
    </w:p>
    <w:p>
      <w:pPr>
        <w:pStyle w:val="FirstParagraph"/>
      </w:pPr>
      <w:r>
        <w:t xml:space="preserve">Responsible for QMS controls, quality planning, risk management, audit, CAPA, and continuous improvement.</w:t>
      </w:r>
    </w:p>
    <w:p>
      <w:pPr>
        <w:pStyle w:val="BodyText"/>
      </w:pPr>
      <w:r>
        <w:t xml:space="preserve">Responsibilities:</w:t>
      </w:r>
    </w:p>
    <w:p>
      <w:pPr>
        <w:pStyle w:val="Compact"/>
        <w:numPr>
          <w:ilvl w:val="0"/>
          <w:numId w:val="1047"/>
        </w:numPr>
      </w:pPr>
      <w:r>
        <w:t xml:space="preserve">Maintain control library applicability.</w:t>
      </w:r>
    </w:p>
    <w:p>
      <w:pPr>
        <w:pStyle w:val="Compact"/>
        <w:numPr>
          <w:ilvl w:val="0"/>
          <w:numId w:val="1047"/>
        </w:numPr>
      </w:pPr>
      <w:r>
        <w:t xml:space="preserve">Maintain document control process.</w:t>
      </w:r>
    </w:p>
    <w:p>
      <w:pPr>
        <w:pStyle w:val="Compact"/>
        <w:numPr>
          <w:ilvl w:val="0"/>
          <w:numId w:val="1047"/>
        </w:numPr>
      </w:pPr>
      <w:r>
        <w:t xml:space="preserve">Manage self-assessment.</w:t>
      </w:r>
    </w:p>
    <w:p>
      <w:pPr>
        <w:pStyle w:val="Compact"/>
        <w:numPr>
          <w:ilvl w:val="0"/>
          <w:numId w:val="1047"/>
        </w:numPr>
      </w:pPr>
      <w:r>
        <w:t xml:space="preserve">Manage internal audit.</w:t>
      </w:r>
    </w:p>
    <w:p>
      <w:pPr>
        <w:pStyle w:val="Compact"/>
        <w:numPr>
          <w:ilvl w:val="0"/>
          <w:numId w:val="1047"/>
        </w:numPr>
      </w:pPr>
      <w:r>
        <w:t xml:space="preserve">Manage nonconformance process.</w:t>
      </w:r>
    </w:p>
    <w:p>
      <w:pPr>
        <w:pStyle w:val="Compact"/>
        <w:numPr>
          <w:ilvl w:val="0"/>
          <w:numId w:val="1047"/>
        </w:numPr>
      </w:pPr>
      <w:r>
        <w:t xml:space="preserve">Manage CAPA process.</w:t>
      </w:r>
    </w:p>
    <w:p>
      <w:pPr>
        <w:pStyle w:val="Compact"/>
        <w:numPr>
          <w:ilvl w:val="0"/>
          <w:numId w:val="1047"/>
        </w:numPr>
      </w:pPr>
      <w:r>
        <w:t xml:space="preserve">Maintain risk register.</w:t>
      </w:r>
    </w:p>
    <w:p>
      <w:pPr>
        <w:pStyle w:val="Compact"/>
        <w:numPr>
          <w:ilvl w:val="0"/>
          <w:numId w:val="1047"/>
        </w:numPr>
      </w:pPr>
      <w:r>
        <w:t xml:space="preserve">Review quality metrics.</w:t>
      </w:r>
    </w:p>
    <w:p>
      <w:pPr>
        <w:pStyle w:val="Compact"/>
        <w:numPr>
          <w:ilvl w:val="0"/>
          <w:numId w:val="1047"/>
        </w:numPr>
      </w:pPr>
      <w:r>
        <w:t xml:space="preserve">Approve quality evidence.</w:t>
      </w:r>
    </w:p>
    <w:p>
      <w:pPr>
        <w:pStyle w:val="Compact"/>
        <w:numPr>
          <w:ilvl w:val="0"/>
          <w:numId w:val="1047"/>
        </w:numPr>
      </w:pPr>
      <w:r>
        <w:t xml:space="preserve">Recommend readiness decisions.</w:t>
      </w:r>
    </w:p>
    <w:p>
      <w:pPr>
        <w:pStyle w:val="Compact"/>
        <w:numPr>
          <w:ilvl w:val="0"/>
          <w:numId w:val="1047"/>
        </w:numPr>
      </w:pPr>
      <w:r>
        <w:t xml:space="preserve">Escalate critical gaps.</w:t>
      </w:r>
    </w:p>
    <w:bookmarkEnd w:id="143"/>
    <w:bookmarkStart w:id="144" w:name="clinical-lead-study-manager"/>
    <w:p>
      <w:pPr>
        <w:pStyle w:val="Heading3"/>
      </w:pPr>
      <w:r>
        <w:t xml:space="preserve">Clinical Lead / Study Manager</w:t>
      </w:r>
    </w:p>
    <w:p>
      <w:pPr>
        <w:pStyle w:val="FirstParagraph"/>
      </w:pPr>
      <w:r>
        <w:t xml:space="preserve">Responsible for day-to-day operational study management.</w:t>
      </w:r>
    </w:p>
    <w:p>
      <w:pPr>
        <w:pStyle w:val="BodyText"/>
      </w:pPr>
      <w:r>
        <w:t xml:space="preserve">Responsibilities:</w:t>
      </w:r>
    </w:p>
    <w:p>
      <w:pPr>
        <w:pStyle w:val="Compact"/>
        <w:numPr>
          <w:ilvl w:val="0"/>
          <w:numId w:val="1048"/>
        </w:numPr>
      </w:pPr>
      <w:r>
        <w:t xml:space="preserve">Manage study startup checklist.</w:t>
      </w:r>
    </w:p>
    <w:p>
      <w:pPr>
        <w:pStyle w:val="Compact"/>
        <w:numPr>
          <w:ilvl w:val="0"/>
          <w:numId w:val="1048"/>
        </w:numPr>
      </w:pPr>
      <w:r>
        <w:t xml:space="preserve">Coordinate staff assignments.</w:t>
      </w:r>
    </w:p>
    <w:p>
      <w:pPr>
        <w:pStyle w:val="Compact"/>
        <w:numPr>
          <w:ilvl w:val="0"/>
          <w:numId w:val="1048"/>
        </w:numPr>
      </w:pPr>
      <w:r>
        <w:t xml:space="preserve">Coordinate training completion.</w:t>
      </w:r>
    </w:p>
    <w:p>
      <w:pPr>
        <w:pStyle w:val="Compact"/>
        <w:numPr>
          <w:ilvl w:val="0"/>
          <w:numId w:val="1048"/>
        </w:numPr>
      </w:pPr>
      <w:r>
        <w:t xml:space="preserve">Coordinate sponsor/CRO communication.</w:t>
      </w:r>
    </w:p>
    <w:p>
      <w:pPr>
        <w:pStyle w:val="Compact"/>
        <w:numPr>
          <w:ilvl w:val="0"/>
          <w:numId w:val="1048"/>
        </w:numPr>
      </w:pPr>
      <w:r>
        <w:t xml:space="preserve">Track protocol milestones.</w:t>
      </w:r>
    </w:p>
    <w:p>
      <w:pPr>
        <w:pStyle w:val="Compact"/>
        <w:numPr>
          <w:ilvl w:val="0"/>
          <w:numId w:val="1048"/>
        </w:numPr>
      </w:pPr>
      <w:r>
        <w:t xml:space="preserve">Track monitoring actions.</w:t>
      </w:r>
    </w:p>
    <w:p>
      <w:pPr>
        <w:pStyle w:val="Compact"/>
        <w:numPr>
          <w:ilvl w:val="0"/>
          <w:numId w:val="1048"/>
        </w:numPr>
      </w:pPr>
      <w:r>
        <w:t xml:space="preserve">Track deviations.</w:t>
      </w:r>
    </w:p>
    <w:p>
      <w:pPr>
        <w:pStyle w:val="Compact"/>
        <w:numPr>
          <w:ilvl w:val="0"/>
          <w:numId w:val="1048"/>
        </w:numPr>
      </w:pPr>
      <w:r>
        <w:t xml:space="preserve">Ensure staff communication.</w:t>
      </w:r>
    </w:p>
    <w:p>
      <w:pPr>
        <w:pStyle w:val="Compact"/>
        <w:numPr>
          <w:ilvl w:val="0"/>
          <w:numId w:val="1048"/>
        </w:numPr>
      </w:pPr>
      <w:r>
        <w:t xml:space="preserve">Support participant visit readiness.</w:t>
      </w:r>
    </w:p>
    <w:p>
      <w:pPr>
        <w:pStyle w:val="Compact"/>
        <w:numPr>
          <w:ilvl w:val="0"/>
          <w:numId w:val="1048"/>
        </w:numPr>
      </w:pPr>
      <w:r>
        <w:t xml:space="preserve">Maintain study information management plan.</w:t>
      </w:r>
    </w:p>
    <w:bookmarkEnd w:id="144"/>
    <w:bookmarkStart w:id="145" w:name="clinical-research-coordinator"/>
    <w:p>
      <w:pPr>
        <w:pStyle w:val="Heading3"/>
      </w:pPr>
      <w:r>
        <w:t xml:space="preserve">Clinical Research Coordinator</w:t>
      </w:r>
    </w:p>
    <w:p>
      <w:pPr>
        <w:pStyle w:val="FirstParagraph"/>
      </w:pPr>
      <w:r>
        <w:t xml:space="preserve">Responsible for executing assigned study activities.</w:t>
      </w:r>
    </w:p>
    <w:p>
      <w:pPr>
        <w:pStyle w:val="BodyText"/>
      </w:pPr>
      <w:r>
        <w:t xml:space="preserve">Responsibilities:</w:t>
      </w:r>
    </w:p>
    <w:p>
      <w:pPr>
        <w:pStyle w:val="Compact"/>
        <w:numPr>
          <w:ilvl w:val="0"/>
          <w:numId w:val="1049"/>
        </w:numPr>
      </w:pPr>
      <w:r>
        <w:t xml:space="preserve">Complete required training.</w:t>
      </w:r>
    </w:p>
    <w:p>
      <w:pPr>
        <w:pStyle w:val="Compact"/>
        <w:numPr>
          <w:ilvl w:val="0"/>
          <w:numId w:val="1049"/>
        </w:numPr>
      </w:pPr>
      <w:r>
        <w:t xml:space="preserve">Execute delegated tasks.</w:t>
      </w:r>
    </w:p>
    <w:p>
      <w:pPr>
        <w:pStyle w:val="Compact"/>
        <w:numPr>
          <w:ilvl w:val="0"/>
          <w:numId w:val="1049"/>
        </w:numPr>
      </w:pPr>
      <w:r>
        <w:t xml:space="preserve">Document source data and study records.</w:t>
      </w:r>
    </w:p>
    <w:p>
      <w:pPr>
        <w:pStyle w:val="Compact"/>
        <w:numPr>
          <w:ilvl w:val="0"/>
          <w:numId w:val="1049"/>
        </w:numPr>
      </w:pPr>
      <w:r>
        <w:t xml:space="preserve">Support informed consent process if delegated.</w:t>
      </w:r>
    </w:p>
    <w:p>
      <w:pPr>
        <w:pStyle w:val="Compact"/>
        <w:numPr>
          <w:ilvl w:val="0"/>
          <w:numId w:val="1049"/>
        </w:numPr>
      </w:pPr>
      <w:r>
        <w:t xml:space="preserve">Report deviations and concerns.</w:t>
      </w:r>
    </w:p>
    <w:p>
      <w:pPr>
        <w:pStyle w:val="Compact"/>
        <w:numPr>
          <w:ilvl w:val="0"/>
          <w:numId w:val="1049"/>
        </w:numPr>
      </w:pPr>
      <w:r>
        <w:t xml:space="preserve">Support participant communications.</w:t>
      </w:r>
    </w:p>
    <w:p>
      <w:pPr>
        <w:pStyle w:val="Compact"/>
        <w:numPr>
          <w:ilvl w:val="0"/>
          <w:numId w:val="1049"/>
        </w:numPr>
      </w:pPr>
      <w:r>
        <w:t xml:space="preserve">Maintain required logs.</w:t>
      </w:r>
    </w:p>
    <w:p>
      <w:pPr>
        <w:pStyle w:val="Compact"/>
        <w:numPr>
          <w:ilvl w:val="0"/>
          <w:numId w:val="1049"/>
        </w:numPr>
      </w:pPr>
      <w:r>
        <w:t xml:space="preserve">Support monitoring visits.</w:t>
      </w:r>
    </w:p>
    <w:p>
      <w:pPr>
        <w:pStyle w:val="Compact"/>
        <w:numPr>
          <w:ilvl w:val="0"/>
          <w:numId w:val="1049"/>
        </w:numPr>
      </w:pPr>
      <w:r>
        <w:t xml:space="preserve">Follow protocol-specific procedures.</w:t>
      </w:r>
    </w:p>
    <w:bookmarkEnd w:id="145"/>
    <w:bookmarkStart w:id="146" w:name="regulatory-coordinator"/>
    <w:p>
      <w:pPr>
        <w:pStyle w:val="Heading3"/>
      </w:pPr>
      <w:r>
        <w:t xml:space="preserve">Regulatory Coordinator</w:t>
      </w:r>
    </w:p>
    <w:p>
      <w:pPr>
        <w:pStyle w:val="FirstParagraph"/>
      </w:pPr>
      <w:r>
        <w:t xml:space="preserve">Responsible for regulatory document readiness and submission support.</w:t>
      </w:r>
    </w:p>
    <w:p>
      <w:pPr>
        <w:pStyle w:val="BodyText"/>
      </w:pPr>
      <w:r>
        <w:t xml:space="preserve">Responsibilities:</w:t>
      </w:r>
    </w:p>
    <w:p>
      <w:pPr>
        <w:pStyle w:val="Compact"/>
        <w:numPr>
          <w:ilvl w:val="0"/>
          <w:numId w:val="1050"/>
        </w:numPr>
      </w:pPr>
      <w:r>
        <w:t xml:space="preserve">Maintain regulatory document inventory.</w:t>
      </w:r>
    </w:p>
    <w:p>
      <w:pPr>
        <w:pStyle w:val="Compact"/>
        <w:numPr>
          <w:ilvl w:val="0"/>
          <w:numId w:val="1050"/>
        </w:numPr>
      </w:pPr>
      <w:r>
        <w:t xml:space="preserve">Track IEC/IRB approvals.</w:t>
      </w:r>
    </w:p>
    <w:p>
      <w:pPr>
        <w:pStyle w:val="Compact"/>
        <w:numPr>
          <w:ilvl w:val="0"/>
          <w:numId w:val="1050"/>
        </w:numPr>
      </w:pPr>
      <w:r>
        <w:t xml:space="preserve">Track protocol amendments.</w:t>
      </w:r>
    </w:p>
    <w:p>
      <w:pPr>
        <w:pStyle w:val="Compact"/>
        <w:numPr>
          <w:ilvl w:val="0"/>
          <w:numId w:val="1050"/>
        </w:numPr>
      </w:pPr>
      <w:r>
        <w:t xml:space="preserve">Track consent form approvals.</w:t>
      </w:r>
    </w:p>
    <w:p>
      <w:pPr>
        <w:pStyle w:val="Compact"/>
        <w:numPr>
          <w:ilvl w:val="0"/>
          <w:numId w:val="1050"/>
        </w:numPr>
      </w:pPr>
      <w:r>
        <w:t xml:space="preserve">Track continuing reviews.</w:t>
      </w:r>
    </w:p>
    <w:p>
      <w:pPr>
        <w:pStyle w:val="Compact"/>
        <w:numPr>
          <w:ilvl w:val="0"/>
          <w:numId w:val="1050"/>
        </w:numPr>
      </w:pPr>
      <w:r>
        <w:t xml:space="preserve">Maintain investigator documents.</w:t>
      </w:r>
    </w:p>
    <w:p>
      <w:pPr>
        <w:pStyle w:val="Compact"/>
        <w:numPr>
          <w:ilvl w:val="0"/>
          <w:numId w:val="1050"/>
        </w:numPr>
      </w:pPr>
      <w:r>
        <w:t xml:space="preserve">Support sponsor/regulatory exports.</w:t>
      </w:r>
    </w:p>
    <w:p>
      <w:pPr>
        <w:pStyle w:val="Compact"/>
        <w:numPr>
          <w:ilvl w:val="0"/>
          <w:numId w:val="1050"/>
        </w:numPr>
      </w:pPr>
      <w:r>
        <w:t xml:space="preserve">Manage document versioning.</w:t>
      </w:r>
    </w:p>
    <w:bookmarkEnd w:id="146"/>
    <w:bookmarkStart w:id="147" w:name="training-manager"/>
    <w:p>
      <w:pPr>
        <w:pStyle w:val="Heading3"/>
      </w:pPr>
      <w:r>
        <w:t xml:space="preserve">Training Manager</w:t>
      </w:r>
    </w:p>
    <w:p>
      <w:pPr>
        <w:pStyle w:val="FirstParagraph"/>
      </w:pPr>
      <w:r>
        <w:t xml:space="preserve">Responsible for training matrix, training assignments, competency records, and training evidence.</w:t>
      </w:r>
    </w:p>
    <w:p>
      <w:pPr>
        <w:pStyle w:val="BodyText"/>
      </w:pPr>
      <w:r>
        <w:t xml:space="preserve">Responsibilities:</w:t>
      </w:r>
    </w:p>
    <w:p>
      <w:pPr>
        <w:pStyle w:val="Compact"/>
        <w:numPr>
          <w:ilvl w:val="0"/>
          <w:numId w:val="1051"/>
        </w:numPr>
      </w:pPr>
      <w:r>
        <w:t xml:space="preserve">Maintain role-based training requirements.</w:t>
      </w:r>
    </w:p>
    <w:p>
      <w:pPr>
        <w:pStyle w:val="Compact"/>
        <w:numPr>
          <w:ilvl w:val="0"/>
          <w:numId w:val="1051"/>
        </w:numPr>
      </w:pPr>
      <w:r>
        <w:t xml:space="preserve">Assign required training.</w:t>
      </w:r>
    </w:p>
    <w:p>
      <w:pPr>
        <w:pStyle w:val="Compact"/>
        <w:numPr>
          <w:ilvl w:val="0"/>
          <w:numId w:val="1051"/>
        </w:numPr>
      </w:pPr>
      <w:r>
        <w:t xml:space="preserve">Track completion.</w:t>
      </w:r>
    </w:p>
    <w:p>
      <w:pPr>
        <w:pStyle w:val="Compact"/>
        <w:numPr>
          <w:ilvl w:val="0"/>
          <w:numId w:val="1051"/>
        </w:numPr>
      </w:pPr>
      <w:r>
        <w:t xml:space="preserve">Track expiration.</w:t>
      </w:r>
    </w:p>
    <w:p>
      <w:pPr>
        <w:pStyle w:val="Compact"/>
        <w:numPr>
          <w:ilvl w:val="0"/>
          <w:numId w:val="1051"/>
        </w:numPr>
      </w:pPr>
      <w:r>
        <w:t xml:space="preserve">Verify competency evidence.</w:t>
      </w:r>
    </w:p>
    <w:p>
      <w:pPr>
        <w:pStyle w:val="Compact"/>
        <w:numPr>
          <w:ilvl w:val="0"/>
          <w:numId w:val="1051"/>
        </w:numPr>
      </w:pPr>
      <w:r>
        <w:t xml:space="preserve">Report training gaps.</w:t>
      </w:r>
    </w:p>
    <w:p>
      <w:pPr>
        <w:pStyle w:val="Compact"/>
        <w:numPr>
          <w:ilvl w:val="0"/>
          <w:numId w:val="1051"/>
        </w:numPr>
      </w:pPr>
      <w:r>
        <w:t xml:space="preserve">Block delegation where training is missing.</w:t>
      </w:r>
    </w:p>
    <w:bookmarkEnd w:id="147"/>
    <w:bookmarkStart w:id="148" w:name="facility-manager"/>
    <w:p>
      <w:pPr>
        <w:pStyle w:val="Heading3"/>
      </w:pPr>
      <w:r>
        <w:t xml:space="preserve">Facility Manager</w:t>
      </w:r>
    </w:p>
    <w:p>
      <w:pPr>
        <w:pStyle w:val="FirstParagraph"/>
      </w:pPr>
      <w:r>
        <w:t xml:space="preserve">Responsible for facility readiness, infrastructure, equipment, safety, maintenance, and environmental controls.</w:t>
      </w:r>
    </w:p>
    <w:p>
      <w:pPr>
        <w:pStyle w:val="BodyText"/>
      </w:pPr>
      <w:r>
        <w:t xml:space="preserve">Responsibilities:</w:t>
      </w:r>
    </w:p>
    <w:p>
      <w:pPr>
        <w:pStyle w:val="Compact"/>
        <w:numPr>
          <w:ilvl w:val="0"/>
          <w:numId w:val="1052"/>
        </w:numPr>
      </w:pPr>
      <w:r>
        <w:t xml:space="preserve">Maintain facility inventory.</w:t>
      </w:r>
    </w:p>
    <w:p>
      <w:pPr>
        <w:pStyle w:val="Compact"/>
        <w:numPr>
          <w:ilvl w:val="0"/>
          <w:numId w:val="1052"/>
        </w:numPr>
      </w:pPr>
      <w:r>
        <w:t xml:space="preserve">Maintain infrastructure evidence.</w:t>
      </w:r>
    </w:p>
    <w:p>
      <w:pPr>
        <w:pStyle w:val="Compact"/>
        <w:numPr>
          <w:ilvl w:val="0"/>
          <w:numId w:val="1052"/>
        </w:numPr>
      </w:pPr>
      <w:r>
        <w:t xml:space="preserve">Maintain equipment lists.</w:t>
      </w:r>
    </w:p>
    <w:p>
      <w:pPr>
        <w:pStyle w:val="Compact"/>
        <w:numPr>
          <w:ilvl w:val="0"/>
          <w:numId w:val="1052"/>
        </w:numPr>
      </w:pPr>
      <w:r>
        <w:t xml:space="preserve">Track calibration.</w:t>
      </w:r>
    </w:p>
    <w:p>
      <w:pPr>
        <w:pStyle w:val="Compact"/>
        <w:numPr>
          <w:ilvl w:val="0"/>
          <w:numId w:val="1052"/>
        </w:numPr>
      </w:pPr>
      <w:r>
        <w:t xml:space="preserve">Quarantine defective equipment.</w:t>
      </w:r>
    </w:p>
    <w:p>
      <w:pPr>
        <w:pStyle w:val="Compact"/>
        <w:numPr>
          <w:ilvl w:val="0"/>
          <w:numId w:val="1052"/>
        </w:numPr>
      </w:pPr>
      <w:r>
        <w:t xml:space="preserve">Provide readiness evidence.</w:t>
      </w:r>
    </w:p>
    <w:p>
      <w:pPr>
        <w:pStyle w:val="Compact"/>
        <w:numPr>
          <w:ilvl w:val="0"/>
          <w:numId w:val="1052"/>
        </w:numPr>
      </w:pPr>
      <w:r>
        <w:t xml:space="preserve">Support audits and inspections.</w:t>
      </w:r>
    </w:p>
    <w:bookmarkEnd w:id="148"/>
    <w:bookmarkStart w:id="149" w:name="pharmacy-investigational-product-manager"/>
    <w:p>
      <w:pPr>
        <w:pStyle w:val="Heading3"/>
      </w:pPr>
      <w:r>
        <w:t xml:space="preserve">Pharmacy / Investigational Product Manager</w:t>
      </w:r>
    </w:p>
    <w:p>
      <w:pPr>
        <w:pStyle w:val="FirstParagraph"/>
      </w:pPr>
      <w:r>
        <w:t xml:space="preserve">Responsible for clinical trial product receipt, storage, dispensing, accountability, access control, expiration, return, and destruction.</w:t>
      </w:r>
    </w:p>
    <w:p>
      <w:pPr>
        <w:pStyle w:val="BodyText"/>
      </w:pPr>
      <w:r>
        <w:t xml:space="preserve">Responsibilities:</w:t>
      </w:r>
    </w:p>
    <w:p>
      <w:pPr>
        <w:pStyle w:val="Compact"/>
        <w:numPr>
          <w:ilvl w:val="0"/>
          <w:numId w:val="1053"/>
        </w:numPr>
      </w:pPr>
      <w:r>
        <w:t xml:space="preserve">Record product receipt.</w:t>
      </w:r>
    </w:p>
    <w:p>
      <w:pPr>
        <w:pStyle w:val="Compact"/>
        <w:numPr>
          <w:ilvl w:val="0"/>
          <w:numId w:val="1053"/>
        </w:numPr>
      </w:pPr>
      <w:r>
        <w:t xml:space="preserve">Maintain storage controls.</w:t>
      </w:r>
    </w:p>
    <w:p>
      <w:pPr>
        <w:pStyle w:val="Compact"/>
        <w:numPr>
          <w:ilvl w:val="0"/>
          <w:numId w:val="1053"/>
        </w:numPr>
      </w:pPr>
      <w:r>
        <w:t xml:space="preserve">Maintain access controls.</w:t>
      </w:r>
    </w:p>
    <w:p>
      <w:pPr>
        <w:pStyle w:val="Compact"/>
        <w:numPr>
          <w:ilvl w:val="0"/>
          <w:numId w:val="1053"/>
        </w:numPr>
      </w:pPr>
      <w:r>
        <w:t xml:space="preserve">Track batch/serial/expiration.</w:t>
      </w:r>
    </w:p>
    <w:p>
      <w:pPr>
        <w:pStyle w:val="Compact"/>
        <w:numPr>
          <w:ilvl w:val="0"/>
          <w:numId w:val="1053"/>
        </w:numPr>
      </w:pPr>
      <w:r>
        <w:t xml:space="preserve">Manage stock reconciliation.</w:t>
      </w:r>
    </w:p>
    <w:p>
      <w:pPr>
        <w:pStyle w:val="Compact"/>
        <w:numPr>
          <w:ilvl w:val="0"/>
          <w:numId w:val="1053"/>
        </w:numPr>
      </w:pPr>
      <w:r>
        <w:t xml:space="preserve">Manage dispensing records.</w:t>
      </w:r>
    </w:p>
    <w:p>
      <w:pPr>
        <w:pStyle w:val="Compact"/>
        <w:numPr>
          <w:ilvl w:val="0"/>
          <w:numId w:val="1053"/>
        </w:numPr>
      </w:pPr>
      <w:r>
        <w:t xml:space="preserve">Manage return/disposal.</w:t>
      </w:r>
    </w:p>
    <w:p>
      <w:pPr>
        <w:pStyle w:val="Compact"/>
        <w:numPr>
          <w:ilvl w:val="0"/>
          <w:numId w:val="1053"/>
        </w:numPr>
      </w:pPr>
      <w:r>
        <w:t xml:space="preserve">Report nonconformities.</w:t>
      </w:r>
    </w:p>
    <w:bookmarkEnd w:id="149"/>
    <w:bookmarkStart w:id="150" w:name="data-manager"/>
    <w:p>
      <w:pPr>
        <w:pStyle w:val="Heading3"/>
      </w:pPr>
      <w:r>
        <w:t xml:space="preserve">Data Manager</w:t>
      </w:r>
    </w:p>
    <w:p>
      <w:pPr>
        <w:pStyle w:val="FirstParagraph"/>
      </w:pPr>
      <w:r>
        <w:t xml:space="preserve">Responsible for data collection, data integrity, discrepancy handling, source traceability, and information management plan execution.</w:t>
      </w:r>
    </w:p>
    <w:p>
      <w:pPr>
        <w:pStyle w:val="BodyText"/>
      </w:pPr>
      <w:r>
        <w:t xml:space="preserve">Responsibilities:</w:t>
      </w:r>
    </w:p>
    <w:p>
      <w:pPr>
        <w:pStyle w:val="Compact"/>
        <w:numPr>
          <w:ilvl w:val="0"/>
          <w:numId w:val="1054"/>
        </w:numPr>
      </w:pPr>
      <w:r>
        <w:t xml:space="preserve">Maintain source data traceability.</w:t>
      </w:r>
    </w:p>
    <w:p>
      <w:pPr>
        <w:pStyle w:val="Compact"/>
        <w:numPr>
          <w:ilvl w:val="0"/>
          <w:numId w:val="1054"/>
        </w:numPr>
      </w:pPr>
      <w:r>
        <w:t xml:space="preserve">Track CRF requirements.</w:t>
      </w:r>
    </w:p>
    <w:p>
      <w:pPr>
        <w:pStyle w:val="Compact"/>
        <w:numPr>
          <w:ilvl w:val="0"/>
          <w:numId w:val="1054"/>
        </w:numPr>
      </w:pPr>
      <w:r>
        <w:t xml:space="preserve">Manage data discrepancy workflows.</w:t>
      </w:r>
    </w:p>
    <w:p>
      <w:pPr>
        <w:pStyle w:val="Compact"/>
        <w:numPr>
          <w:ilvl w:val="0"/>
          <w:numId w:val="1054"/>
        </w:numPr>
      </w:pPr>
      <w:r>
        <w:t xml:space="preserve">Support ALCOAC expectations.</w:t>
      </w:r>
    </w:p>
    <w:p>
      <w:pPr>
        <w:pStyle w:val="Compact"/>
        <w:numPr>
          <w:ilvl w:val="0"/>
          <w:numId w:val="1054"/>
        </w:numPr>
      </w:pPr>
      <w:r>
        <w:t xml:space="preserve">Maintain data access controls.</w:t>
      </w:r>
    </w:p>
    <w:p>
      <w:pPr>
        <w:pStyle w:val="Compact"/>
        <w:numPr>
          <w:ilvl w:val="0"/>
          <w:numId w:val="1054"/>
        </w:numPr>
      </w:pPr>
      <w:r>
        <w:t xml:space="preserve">Support final report data requirements.</w:t>
      </w:r>
    </w:p>
    <w:bookmarkEnd w:id="150"/>
    <w:bookmarkStart w:id="151" w:name="monitor-cra"/>
    <w:p>
      <w:pPr>
        <w:pStyle w:val="Heading3"/>
      </w:pPr>
      <w:r>
        <w:t xml:space="preserve">Monitor / CRA</w:t>
      </w:r>
    </w:p>
    <w:p>
      <w:pPr>
        <w:pStyle w:val="FirstParagraph"/>
      </w:pPr>
      <w:r>
        <w:t xml:space="preserve">Responsible for sponsor/CRO monitoring activities.</w:t>
      </w:r>
    </w:p>
    <w:p>
      <w:pPr>
        <w:pStyle w:val="BodyText"/>
      </w:pPr>
      <w:r>
        <w:t xml:space="preserve">Responsibilities:</w:t>
      </w:r>
    </w:p>
    <w:p>
      <w:pPr>
        <w:pStyle w:val="Compact"/>
        <w:numPr>
          <w:ilvl w:val="0"/>
          <w:numId w:val="1055"/>
        </w:numPr>
      </w:pPr>
      <w:r>
        <w:t xml:space="preserve">Review site records.</w:t>
      </w:r>
    </w:p>
    <w:p>
      <w:pPr>
        <w:pStyle w:val="Compact"/>
        <w:numPr>
          <w:ilvl w:val="0"/>
          <w:numId w:val="1055"/>
        </w:numPr>
      </w:pPr>
      <w:r>
        <w:t xml:space="preserve">Review source/CRF consistency.</w:t>
      </w:r>
    </w:p>
    <w:p>
      <w:pPr>
        <w:pStyle w:val="Compact"/>
        <w:numPr>
          <w:ilvl w:val="0"/>
          <w:numId w:val="1055"/>
        </w:numPr>
      </w:pPr>
      <w:r>
        <w:t xml:space="preserve">Review protocol adherence.</w:t>
      </w:r>
    </w:p>
    <w:p>
      <w:pPr>
        <w:pStyle w:val="Compact"/>
        <w:numPr>
          <w:ilvl w:val="0"/>
          <w:numId w:val="1055"/>
        </w:numPr>
      </w:pPr>
      <w:r>
        <w:t xml:space="preserve">Review consent records.</w:t>
      </w:r>
    </w:p>
    <w:p>
      <w:pPr>
        <w:pStyle w:val="Compact"/>
        <w:numPr>
          <w:ilvl w:val="0"/>
          <w:numId w:val="1055"/>
        </w:numPr>
      </w:pPr>
      <w:r>
        <w:t xml:space="preserve">Review safety reporting.</w:t>
      </w:r>
    </w:p>
    <w:p>
      <w:pPr>
        <w:pStyle w:val="Compact"/>
        <w:numPr>
          <w:ilvl w:val="0"/>
          <w:numId w:val="1055"/>
        </w:numPr>
      </w:pPr>
      <w:r>
        <w:t xml:space="preserve">Issue findings.</w:t>
      </w:r>
    </w:p>
    <w:p>
      <w:pPr>
        <w:pStyle w:val="Compact"/>
        <w:numPr>
          <w:ilvl w:val="0"/>
          <w:numId w:val="1055"/>
        </w:numPr>
      </w:pPr>
      <w:r>
        <w:t xml:space="preserve">Track action items.</w:t>
      </w:r>
    </w:p>
    <w:p>
      <w:pPr>
        <w:pStyle w:val="Compact"/>
        <w:numPr>
          <w:ilvl w:val="0"/>
          <w:numId w:val="1055"/>
        </w:numPr>
      </w:pPr>
      <w:r>
        <w:t xml:space="preserve">Support sponsor/CRO oversight.</w:t>
      </w:r>
    </w:p>
    <w:bookmarkEnd w:id="151"/>
    <w:bookmarkStart w:id="152" w:name="auditor"/>
    <w:p>
      <w:pPr>
        <w:pStyle w:val="Heading3"/>
      </w:pPr>
      <w:r>
        <w:t xml:space="preserve">Auditor</w:t>
      </w:r>
    </w:p>
    <w:p>
      <w:pPr>
        <w:pStyle w:val="FirstParagraph"/>
      </w:pPr>
      <w:r>
        <w:t xml:space="preserve">Responsible for independent audit review.</w:t>
      </w:r>
    </w:p>
    <w:p>
      <w:pPr>
        <w:pStyle w:val="BodyText"/>
      </w:pPr>
      <w:r>
        <w:t xml:space="preserve">Responsibilities:</w:t>
      </w:r>
    </w:p>
    <w:p>
      <w:pPr>
        <w:pStyle w:val="Compact"/>
        <w:numPr>
          <w:ilvl w:val="0"/>
          <w:numId w:val="1056"/>
        </w:numPr>
      </w:pPr>
      <w:r>
        <w:t xml:space="preserve">Define audit scope.</w:t>
      </w:r>
    </w:p>
    <w:p>
      <w:pPr>
        <w:pStyle w:val="Compact"/>
        <w:numPr>
          <w:ilvl w:val="0"/>
          <w:numId w:val="1056"/>
        </w:numPr>
      </w:pPr>
      <w:r>
        <w:t xml:space="preserve">Review evidence.</w:t>
      </w:r>
    </w:p>
    <w:p>
      <w:pPr>
        <w:pStyle w:val="Compact"/>
        <w:numPr>
          <w:ilvl w:val="0"/>
          <w:numId w:val="1056"/>
        </w:numPr>
      </w:pPr>
      <w:r>
        <w:t xml:space="preserve">Conduct interviews.</w:t>
      </w:r>
    </w:p>
    <w:p>
      <w:pPr>
        <w:pStyle w:val="Compact"/>
        <w:numPr>
          <w:ilvl w:val="0"/>
          <w:numId w:val="1056"/>
        </w:numPr>
      </w:pPr>
      <w:r>
        <w:t xml:space="preserve">Identify findings.</w:t>
      </w:r>
    </w:p>
    <w:p>
      <w:pPr>
        <w:pStyle w:val="Compact"/>
        <w:numPr>
          <w:ilvl w:val="0"/>
          <w:numId w:val="1056"/>
        </w:numPr>
      </w:pPr>
      <w:r>
        <w:t xml:space="preserve">Classify severity.</w:t>
      </w:r>
    </w:p>
    <w:p>
      <w:pPr>
        <w:pStyle w:val="Compact"/>
        <w:numPr>
          <w:ilvl w:val="0"/>
          <w:numId w:val="1056"/>
        </w:numPr>
      </w:pPr>
      <w:r>
        <w:t xml:space="preserve">Recommend CAPA.</w:t>
      </w:r>
    </w:p>
    <w:p>
      <w:pPr>
        <w:pStyle w:val="Compact"/>
        <w:numPr>
          <w:ilvl w:val="0"/>
          <w:numId w:val="1056"/>
        </w:numPr>
      </w:pPr>
      <w:r>
        <w:t xml:space="preserve">Produce audit report.</w:t>
      </w:r>
    </w:p>
    <w:p>
      <w:pPr>
        <w:pStyle w:val="Compact"/>
        <w:numPr>
          <w:ilvl w:val="0"/>
          <w:numId w:val="1056"/>
        </w:numPr>
      </w:pPr>
      <w:r>
        <w:t xml:space="preserve">Verify closure.</w:t>
      </w:r>
    </w:p>
    <w:bookmarkEnd w:id="152"/>
    <w:bookmarkStart w:id="153" w:name="decision-forum-chair"/>
    <w:p>
      <w:pPr>
        <w:pStyle w:val="Heading3"/>
      </w:pPr>
      <w:r>
        <w:t xml:space="preserve">Decision Forum Chair</w:t>
      </w:r>
    </w:p>
    <w:p>
      <w:pPr>
        <w:pStyle w:val="FirstParagraph"/>
      </w:pPr>
      <w:r>
        <w:t xml:space="preserve">Responsible for governing material decision proceedings.</w:t>
      </w:r>
    </w:p>
    <w:p>
      <w:pPr>
        <w:pStyle w:val="BodyText"/>
      </w:pPr>
      <w:r>
        <w:t xml:space="preserve">Responsibilities:</w:t>
      </w:r>
    </w:p>
    <w:p>
      <w:pPr>
        <w:pStyle w:val="Compact"/>
        <w:numPr>
          <w:ilvl w:val="0"/>
          <w:numId w:val="1057"/>
        </w:numPr>
      </w:pPr>
      <w:r>
        <w:t xml:space="preserve">Confirm matter scope.</w:t>
      </w:r>
    </w:p>
    <w:p>
      <w:pPr>
        <w:pStyle w:val="Compact"/>
        <w:numPr>
          <w:ilvl w:val="0"/>
          <w:numId w:val="1057"/>
        </w:numPr>
      </w:pPr>
      <w:r>
        <w:t xml:space="preserve">Confirm required quorum.</w:t>
      </w:r>
    </w:p>
    <w:p>
      <w:pPr>
        <w:pStyle w:val="Compact"/>
        <w:numPr>
          <w:ilvl w:val="0"/>
          <w:numId w:val="1057"/>
        </w:numPr>
      </w:pPr>
      <w:r>
        <w:t xml:space="preserve">Confirm required roles.</w:t>
      </w:r>
    </w:p>
    <w:p>
      <w:pPr>
        <w:pStyle w:val="Compact"/>
        <w:numPr>
          <w:ilvl w:val="0"/>
          <w:numId w:val="1057"/>
        </w:numPr>
      </w:pPr>
      <w:r>
        <w:t xml:space="preserve">Confirm conflict disclosure.</w:t>
      </w:r>
    </w:p>
    <w:p>
      <w:pPr>
        <w:pStyle w:val="Compact"/>
        <w:numPr>
          <w:ilvl w:val="0"/>
          <w:numId w:val="1057"/>
        </w:numPr>
      </w:pPr>
      <w:r>
        <w:t xml:space="preserve">Manage deliberation.</w:t>
      </w:r>
    </w:p>
    <w:p>
      <w:pPr>
        <w:pStyle w:val="Compact"/>
        <w:numPr>
          <w:ilvl w:val="0"/>
          <w:numId w:val="1057"/>
        </w:numPr>
      </w:pPr>
      <w:r>
        <w:t xml:space="preserve">Ensure rationale capture.</w:t>
      </w:r>
    </w:p>
    <w:p>
      <w:pPr>
        <w:pStyle w:val="Compact"/>
        <w:numPr>
          <w:ilvl w:val="0"/>
          <w:numId w:val="1057"/>
        </w:numPr>
      </w:pPr>
      <w:r>
        <w:t xml:space="preserve">Close decision.</w:t>
      </w:r>
    </w:p>
    <w:p>
      <w:pPr>
        <w:pStyle w:val="Compact"/>
        <w:numPr>
          <w:ilvl w:val="0"/>
          <w:numId w:val="1057"/>
        </w:numPr>
      </w:pPr>
      <w:r>
        <w:t xml:space="preserve">Ensure follow-up actions.</w:t>
      </w:r>
    </w:p>
    <w:p>
      <w:pPr>
        <w:pStyle w:val="Compact"/>
        <w:numPr>
          <w:ilvl w:val="0"/>
          <w:numId w:val="1057"/>
        </w:numPr>
      </w:pPr>
      <w:r>
        <w:t xml:space="preserve">Ensure receipt generation.</w:t>
      </w:r>
    </w:p>
    <w:bookmarkEnd w:id="153"/>
    <w:bookmarkStart w:id="154" w:name="ai-quality-reviewer"/>
    <w:p>
      <w:pPr>
        <w:pStyle w:val="Heading3"/>
      </w:pPr>
      <w:r>
        <w:t xml:space="preserve">AI Quality Reviewer</w:t>
      </w:r>
    </w:p>
    <w:p>
      <w:pPr>
        <w:pStyle w:val="FirstParagraph"/>
      </w:pPr>
      <w:r>
        <w:t xml:space="preserve">Responsible for assisting with structured analysis under human oversight.</w:t>
      </w:r>
    </w:p>
    <w:p>
      <w:pPr>
        <w:pStyle w:val="BodyText"/>
      </w:pPr>
      <w:r>
        <w:t xml:space="preserve">Responsibilities:</w:t>
      </w:r>
    </w:p>
    <w:p>
      <w:pPr>
        <w:pStyle w:val="Compact"/>
        <w:numPr>
          <w:ilvl w:val="0"/>
          <w:numId w:val="1058"/>
        </w:numPr>
      </w:pPr>
      <w:r>
        <w:t xml:space="preserve">Map evidence to controls.</w:t>
      </w:r>
    </w:p>
    <w:p>
      <w:pPr>
        <w:pStyle w:val="Compact"/>
        <w:numPr>
          <w:ilvl w:val="0"/>
          <w:numId w:val="1058"/>
        </w:numPr>
      </w:pPr>
      <w:r>
        <w:t xml:space="preserve">Identify missing evidence.</w:t>
      </w:r>
    </w:p>
    <w:p>
      <w:pPr>
        <w:pStyle w:val="Compact"/>
        <w:numPr>
          <w:ilvl w:val="0"/>
          <w:numId w:val="1058"/>
        </w:numPr>
      </w:pPr>
      <w:r>
        <w:t xml:space="preserve">Identify contradictions.</w:t>
      </w:r>
    </w:p>
    <w:p>
      <w:pPr>
        <w:pStyle w:val="Compact"/>
        <w:numPr>
          <w:ilvl w:val="0"/>
          <w:numId w:val="1058"/>
        </w:numPr>
      </w:pPr>
      <w:r>
        <w:t xml:space="preserve">Identify risk signals.</w:t>
      </w:r>
    </w:p>
    <w:p>
      <w:pPr>
        <w:pStyle w:val="Compact"/>
        <w:numPr>
          <w:ilvl w:val="0"/>
          <w:numId w:val="1058"/>
        </w:numPr>
      </w:pPr>
      <w:r>
        <w:t xml:space="preserve">Draft review summaries.</w:t>
      </w:r>
    </w:p>
    <w:p>
      <w:pPr>
        <w:pStyle w:val="Compact"/>
        <w:numPr>
          <w:ilvl w:val="0"/>
          <w:numId w:val="1058"/>
        </w:numPr>
      </w:pPr>
      <w:r>
        <w:t xml:space="preserve">Recommend escalation.</w:t>
      </w:r>
    </w:p>
    <w:p>
      <w:pPr>
        <w:pStyle w:val="Compact"/>
        <w:numPr>
          <w:ilvl w:val="0"/>
          <w:numId w:val="1058"/>
        </w:numPr>
      </w:pPr>
      <w:r>
        <w:t xml:space="preserve">Provide confidence and limitations.</w:t>
      </w:r>
    </w:p>
    <w:p>
      <w:pPr>
        <w:pStyle w:val="Compact"/>
        <w:numPr>
          <w:ilvl w:val="0"/>
          <w:numId w:val="1058"/>
        </w:numPr>
      </w:pPr>
      <w:r>
        <w:t xml:space="preserve">Preserve evidence references.</w:t>
      </w:r>
    </w:p>
    <w:p>
      <w:pPr>
        <w:pStyle w:val="Compact"/>
        <w:numPr>
          <w:ilvl w:val="0"/>
          <w:numId w:val="1058"/>
        </w:numPr>
      </w:pPr>
      <w:r>
        <w:t xml:space="preserve">Never act as final authority.</w:t>
      </w:r>
    </w:p>
    <w:bookmarkEnd w:id="154"/>
    <w:bookmarkStart w:id="155" w:name="system-administrator"/>
    <w:p>
      <w:pPr>
        <w:pStyle w:val="Heading3"/>
      </w:pPr>
      <w:r>
        <w:t xml:space="preserve">System Administrator</w:t>
      </w:r>
    </w:p>
    <w:p>
      <w:pPr>
        <w:pStyle w:val="FirstParagraph"/>
      </w:pPr>
      <w:r>
        <w:t xml:space="preserve">Responsible for tenant setup, access control, integrations, configuration, and security operations.</w:t>
      </w:r>
    </w:p>
    <w:p>
      <w:pPr>
        <w:pStyle w:val="BodyText"/>
      </w:pPr>
      <w:r>
        <w:t xml:space="preserve">Responsibilities:</w:t>
      </w:r>
    </w:p>
    <w:p>
      <w:pPr>
        <w:pStyle w:val="Compact"/>
        <w:numPr>
          <w:ilvl w:val="0"/>
          <w:numId w:val="1059"/>
        </w:numPr>
      </w:pPr>
      <w:r>
        <w:t xml:space="preserve">Configure tenant.</w:t>
      </w:r>
    </w:p>
    <w:p>
      <w:pPr>
        <w:pStyle w:val="Compact"/>
        <w:numPr>
          <w:ilvl w:val="0"/>
          <w:numId w:val="1059"/>
        </w:numPr>
      </w:pPr>
      <w:r>
        <w:t xml:space="preserve">Configure roles.</w:t>
      </w:r>
    </w:p>
    <w:p>
      <w:pPr>
        <w:pStyle w:val="Compact"/>
        <w:numPr>
          <w:ilvl w:val="0"/>
          <w:numId w:val="1059"/>
        </w:numPr>
      </w:pPr>
      <w:r>
        <w:t xml:space="preserve">Configure access policies.</w:t>
      </w:r>
    </w:p>
    <w:p>
      <w:pPr>
        <w:pStyle w:val="Compact"/>
        <w:numPr>
          <w:ilvl w:val="0"/>
          <w:numId w:val="1059"/>
        </w:numPr>
      </w:pPr>
      <w:r>
        <w:t xml:space="preserve">Configure integrations.</w:t>
      </w:r>
    </w:p>
    <w:p>
      <w:pPr>
        <w:pStyle w:val="Compact"/>
        <w:numPr>
          <w:ilvl w:val="0"/>
          <w:numId w:val="1059"/>
        </w:numPr>
      </w:pPr>
      <w:r>
        <w:t xml:space="preserve">Manage identity provider settings.</w:t>
      </w:r>
    </w:p>
    <w:p>
      <w:pPr>
        <w:pStyle w:val="Compact"/>
        <w:numPr>
          <w:ilvl w:val="0"/>
          <w:numId w:val="1059"/>
        </w:numPr>
      </w:pPr>
      <w:r>
        <w:t xml:space="preserve">Monitor security logs.</w:t>
      </w:r>
    </w:p>
    <w:p>
      <w:pPr>
        <w:pStyle w:val="Compact"/>
        <w:numPr>
          <w:ilvl w:val="0"/>
          <w:numId w:val="1059"/>
        </w:numPr>
      </w:pPr>
      <w:r>
        <w:t xml:space="preserve">Support backup/recovery.</w:t>
      </w:r>
    </w:p>
    <w:p>
      <w:pPr>
        <w:pStyle w:val="Compact"/>
        <w:numPr>
          <w:ilvl w:val="0"/>
          <w:numId w:val="1059"/>
        </w:numPr>
      </w:pPr>
      <w:r>
        <w:t xml:space="preserve">Enforce access revocation.</w:t>
      </w:r>
    </w:p>
    <w:bookmarkEnd w:id="155"/>
    <w:bookmarkStart w:id="156" w:name="sponsor-viewer"/>
    <w:p>
      <w:pPr>
        <w:pStyle w:val="Heading3"/>
      </w:pPr>
      <w:r>
        <w:t xml:space="preserve">Sponsor Viewer</w:t>
      </w:r>
    </w:p>
    <w:p>
      <w:pPr>
        <w:pStyle w:val="FirstParagraph"/>
      </w:pPr>
      <w:r>
        <w:t xml:space="preserve">Responsible for reviewing authorized sponsor-facing evidence and status.</w:t>
      </w:r>
    </w:p>
    <w:p>
      <w:pPr>
        <w:pStyle w:val="BodyText"/>
      </w:pPr>
      <w:r>
        <w:t xml:space="preserve">Responsibilities:</w:t>
      </w:r>
    </w:p>
    <w:p>
      <w:pPr>
        <w:pStyle w:val="Compact"/>
        <w:numPr>
          <w:ilvl w:val="0"/>
          <w:numId w:val="1060"/>
        </w:numPr>
      </w:pPr>
      <w:r>
        <w:t xml:space="preserve">Review readiness packets.</w:t>
      </w:r>
    </w:p>
    <w:p>
      <w:pPr>
        <w:pStyle w:val="Compact"/>
        <w:numPr>
          <w:ilvl w:val="0"/>
          <w:numId w:val="1060"/>
        </w:numPr>
      </w:pPr>
      <w:r>
        <w:t xml:space="preserve">Review open findings.</w:t>
      </w:r>
    </w:p>
    <w:p>
      <w:pPr>
        <w:pStyle w:val="Compact"/>
        <w:numPr>
          <w:ilvl w:val="0"/>
          <w:numId w:val="1060"/>
        </w:numPr>
      </w:pPr>
      <w:r>
        <w:t xml:space="preserve">Review CAPA status.</w:t>
      </w:r>
    </w:p>
    <w:p>
      <w:pPr>
        <w:pStyle w:val="Compact"/>
        <w:numPr>
          <w:ilvl w:val="0"/>
          <w:numId w:val="1060"/>
        </w:numPr>
      </w:pPr>
      <w:r>
        <w:t xml:space="preserve">Review risk summaries.</w:t>
      </w:r>
    </w:p>
    <w:p>
      <w:pPr>
        <w:pStyle w:val="Compact"/>
        <w:numPr>
          <w:ilvl w:val="0"/>
          <w:numId w:val="1060"/>
        </w:numPr>
      </w:pPr>
      <w:r>
        <w:t xml:space="preserve">Request clarification.</w:t>
      </w:r>
    </w:p>
    <w:p>
      <w:pPr>
        <w:pStyle w:val="Compact"/>
        <w:numPr>
          <w:ilvl w:val="0"/>
          <w:numId w:val="1060"/>
        </w:numPr>
      </w:pPr>
      <w:r>
        <w:t xml:space="preserve">Receive authorized exports.</w:t>
      </w:r>
    </w:p>
    <w:p>
      <w:pPr>
        <w:pStyle w:val="Compact"/>
        <w:numPr>
          <w:ilvl w:val="0"/>
          <w:numId w:val="1060"/>
        </w:numPr>
      </w:pPr>
      <w:r>
        <w:t xml:space="preserve">Respect access limitations.</w:t>
      </w:r>
    </w:p>
    <w:bookmarkEnd w:id="156"/>
    <w:bookmarkStart w:id="157" w:name="cro-portfolio-manager"/>
    <w:p>
      <w:pPr>
        <w:pStyle w:val="Heading3"/>
      </w:pPr>
      <w:r>
        <w:t xml:space="preserve">CRO Portfolio Manager</w:t>
      </w:r>
    </w:p>
    <w:p>
      <w:pPr>
        <w:pStyle w:val="FirstParagraph"/>
      </w:pPr>
      <w:r>
        <w:t xml:space="preserve">Responsible for cross-site oversight and sponsor reporting.</w:t>
      </w:r>
    </w:p>
    <w:p>
      <w:pPr>
        <w:pStyle w:val="BodyText"/>
      </w:pPr>
      <w:r>
        <w:t xml:space="preserve">Responsibilities:</w:t>
      </w:r>
    </w:p>
    <w:p>
      <w:pPr>
        <w:pStyle w:val="Compact"/>
        <w:numPr>
          <w:ilvl w:val="0"/>
          <w:numId w:val="1061"/>
        </w:numPr>
      </w:pPr>
      <w:r>
        <w:t xml:space="preserve">Monitor site readiness across portfolio.</w:t>
      </w:r>
    </w:p>
    <w:p>
      <w:pPr>
        <w:pStyle w:val="Compact"/>
        <w:numPr>
          <w:ilvl w:val="0"/>
          <w:numId w:val="1061"/>
        </w:numPr>
      </w:pPr>
      <w:r>
        <w:t xml:space="preserve">Compare sites.</w:t>
      </w:r>
    </w:p>
    <w:p>
      <w:pPr>
        <w:pStyle w:val="Compact"/>
        <w:numPr>
          <w:ilvl w:val="0"/>
          <w:numId w:val="1061"/>
        </w:numPr>
      </w:pPr>
      <w:r>
        <w:t xml:space="preserve">Track startup status.</w:t>
      </w:r>
    </w:p>
    <w:p>
      <w:pPr>
        <w:pStyle w:val="Compact"/>
        <w:numPr>
          <w:ilvl w:val="0"/>
          <w:numId w:val="1061"/>
        </w:numPr>
      </w:pPr>
      <w:r>
        <w:t xml:space="preserve">Track findings and CAPAs.</w:t>
      </w:r>
    </w:p>
    <w:p>
      <w:pPr>
        <w:pStyle w:val="Compact"/>
        <w:numPr>
          <w:ilvl w:val="0"/>
          <w:numId w:val="1061"/>
        </w:numPr>
      </w:pPr>
      <w:r>
        <w:t xml:space="preserve">Manage sponsor reports.</w:t>
      </w:r>
    </w:p>
    <w:p>
      <w:pPr>
        <w:pStyle w:val="Compact"/>
        <w:numPr>
          <w:ilvl w:val="0"/>
          <w:numId w:val="1061"/>
        </w:numPr>
      </w:pPr>
      <w:r>
        <w:t xml:space="preserve">Escalate systemic risk.</w:t>
      </w:r>
    </w:p>
    <w:p>
      <w:pPr>
        <w:pStyle w:val="Compact"/>
        <w:numPr>
          <w:ilvl w:val="0"/>
          <w:numId w:val="1061"/>
        </w:numPr>
      </w:pPr>
      <w:r>
        <w:t xml:space="preserve">Identify training and quality trends.</w:t>
      </w:r>
    </w:p>
    <w:bookmarkEnd w:id="157"/>
    <w:bookmarkEnd w:id="158"/>
    <w:bookmarkStart w:id="159" w:name="permission-model"/>
    <w:p>
      <w:pPr>
        <w:pStyle w:val="Heading2"/>
      </w:pPr>
      <w:r>
        <w:t xml:space="preserve">Permission model</w:t>
      </w:r>
    </w:p>
    <w:p>
      <w:pPr>
        <w:pStyle w:val="FirstParagraph"/>
      </w:pPr>
      <w:r>
        <w:t xml:space="preserve">The system shall implement role-based access control, attribute-based access control, authority-chain validation, least privilege, time-bound access, tenant isolation, study-level isolation, sponsor-visible view constraints, and revocation.</w:t>
      </w:r>
    </w:p>
    <w:p>
      <w:pPr>
        <w:pStyle w:val="BodyText"/>
      </w:pPr>
      <w:r>
        <w:t xml:space="preserve">Permission dimensions shall include:</w:t>
      </w:r>
    </w:p>
    <w:p>
      <w:pPr>
        <w:pStyle w:val="Compact"/>
        <w:numPr>
          <w:ilvl w:val="0"/>
          <w:numId w:val="1062"/>
        </w:numPr>
      </w:pPr>
      <w:r>
        <w:t xml:space="preserve">Tenant.</w:t>
      </w:r>
    </w:p>
    <w:p>
      <w:pPr>
        <w:pStyle w:val="Compact"/>
        <w:numPr>
          <w:ilvl w:val="0"/>
          <w:numId w:val="1062"/>
        </w:numPr>
      </w:pPr>
      <w:r>
        <w:t xml:space="preserve">Site.</w:t>
      </w:r>
    </w:p>
    <w:p>
      <w:pPr>
        <w:pStyle w:val="Compact"/>
        <w:numPr>
          <w:ilvl w:val="0"/>
          <w:numId w:val="1062"/>
        </w:numPr>
      </w:pPr>
      <w:r>
        <w:t xml:space="preserve">Study.</w:t>
      </w:r>
    </w:p>
    <w:p>
      <w:pPr>
        <w:pStyle w:val="Compact"/>
        <w:numPr>
          <w:ilvl w:val="0"/>
          <w:numId w:val="1062"/>
        </w:numPr>
      </w:pPr>
      <w:r>
        <w:t xml:space="preserve">Protocol.</w:t>
      </w:r>
    </w:p>
    <w:p>
      <w:pPr>
        <w:pStyle w:val="Compact"/>
        <w:numPr>
          <w:ilvl w:val="0"/>
          <w:numId w:val="1062"/>
        </w:numPr>
      </w:pPr>
      <w:r>
        <w:t xml:space="preserve">Role.</w:t>
      </w:r>
    </w:p>
    <w:p>
      <w:pPr>
        <w:pStyle w:val="Compact"/>
        <w:numPr>
          <w:ilvl w:val="0"/>
          <w:numId w:val="1062"/>
        </w:numPr>
      </w:pPr>
      <w:r>
        <w:t xml:space="preserve">Delegation.</w:t>
      </w:r>
    </w:p>
    <w:p>
      <w:pPr>
        <w:pStyle w:val="Compact"/>
        <w:numPr>
          <w:ilvl w:val="0"/>
          <w:numId w:val="1062"/>
        </w:numPr>
      </w:pPr>
      <w:r>
        <w:t xml:space="preserve">Sponsor visibility.</w:t>
      </w:r>
    </w:p>
    <w:p>
      <w:pPr>
        <w:pStyle w:val="Compact"/>
        <w:numPr>
          <w:ilvl w:val="0"/>
          <w:numId w:val="1062"/>
        </w:numPr>
      </w:pPr>
      <w:r>
        <w:t xml:space="preserve">CRO visibility.</w:t>
      </w:r>
    </w:p>
    <w:p>
      <w:pPr>
        <w:pStyle w:val="Compact"/>
        <w:numPr>
          <w:ilvl w:val="0"/>
          <w:numId w:val="1062"/>
        </w:numPr>
      </w:pPr>
      <w:r>
        <w:t xml:space="preserve">Confidentiality classification.</w:t>
      </w:r>
    </w:p>
    <w:p>
      <w:pPr>
        <w:pStyle w:val="Compact"/>
        <w:numPr>
          <w:ilvl w:val="0"/>
          <w:numId w:val="1062"/>
        </w:numPr>
      </w:pPr>
      <w:r>
        <w:t xml:space="preserve">PHI/PII classification.</w:t>
      </w:r>
    </w:p>
    <w:p>
      <w:pPr>
        <w:pStyle w:val="Compact"/>
        <w:numPr>
          <w:ilvl w:val="0"/>
          <w:numId w:val="1062"/>
        </w:numPr>
      </w:pPr>
      <w:r>
        <w:t xml:space="preserve">Evidence type.</w:t>
      </w:r>
    </w:p>
    <w:p>
      <w:pPr>
        <w:pStyle w:val="Compact"/>
        <w:numPr>
          <w:ilvl w:val="0"/>
          <w:numId w:val="1062"/>
        </w:numPr>
      </w:pPr>
      <w:r>
        <w:t xml:space="preserve">Decision matter.</w:t>
      </w:r>
    </w:p>
    <w:p>
      <w:pPr>
        <w:pStyle w:val="Compact"/>
        <w:numPr>
          <w:ilvl w:val="0"/>
          <w:numId w:val="1062"/>
        </w:numPr>
      </w:pPr>
      <w:r>
        <w:t xml:space="preserve">Action type.</w:t>
      </w:r>
    </w:p>
    <w:p>
      <w:pPr>
        <w:pStyle w:val="Compact"/>
        <w:numPr>
          <w:ilvl w:val="0"/>
          <w:numId w:val="1062"/>
        </w:numPr>
      </w:pPr>
      <w:r>
        <w:t xml:space="preserve">Emergency access.</w:t>
      </w:r>
    </w:p>
    <w:p>
      <w:pPr>
        <w:pStyle w:val="Compact"/>
        <w:numPr>
          <w:ilvl w:val="0"/>
          <w:numId w:val="1062"/>
        </w:numPr>
      </w:pPr>
      <w:r>
        <w:t xml:space="preserve">Expiration.</w:t>
      </w:r>
    </w:p>
    <w:p>
      <w:pPr>
        <w:pStyle w:val="FirstParagraph"/>
      </w:pPr>
      <w:r>
        <w:t xml:space="preserve">Actions requiring explicit authority include:</w:t>
      </w:r>
    </w:p>
    <w:p>
      <w:pPr>
        <w:pStyle w:val="Compact"/>
        <w:numPr>
          <w:ilvl w:val="0"/>
          <w:numId w:val="1063"/>
        </w:numPr>
      </w:pPr>
      <w:r>
        <w:t xml:space="preserve">Site QMS Passport approval.</w:t>
      </w:r>
    </w:p>
    <w:p>
      <w:pPr>
        <w:pStyle w:val="Compact"/>
        <w:numPr>
          <w:ilvl w:val="0"/>
          <w:numId w:val="1063"/>
        </w:numPr>
      </w:pPr>
      <w:r>
        <w:t xml:space="preserve">Control library publication.</w:t>
      </w:r>
    </w:p>
    <w:p>
      <w:pPr>
        <w:pStyle w:val="Compact"/>
        <w:numPr>
          <w:ilvl w:val="0"/>
          <w:numId w:val="1063"/>
        </w:numPr>
      </w:pPr>
      <w:r>
        <w:t xml:space="preserve">Policy approval.</w:t>
      </w:r>
    </w:p>
    <w:p>
      <w:pPr>
        <w:pStyle w:val="Compact"/>
        <w:numPr>
          <w:ilvl w:val="0"/>
          <w:numId w:val="1063"/>
        </w:numPr>
      </w:pPr>
      <w:r>
        <w:t xml:space="preserve">SOP approval.</w:t>
      </w:r>
    </w:p>
    <w:p>
      <w:pPr>
        <w:pStyle w:val="Compact"/>
        <w:numPr>
          <w:ilvl w:val="0"/>
          <w:numId w:val="1063"/>
        </w:numPr>
      </w:pPr>
      <w:r>
        <w:t xml:space="preserve">Trial acceptance.</w:t>
      </w:r>
    </w:p>
    <w:p>
      <w:pPr>
        <w:pStyle w:val="Compact"/>
        <w:numPr>
          <w:ilvl w:val="0"/>
          <w:numId w:val="1063"/>
        </w:numPr>
      </w:pPr>
      <w:r>
        <w:t xml:space="preserve">Trial launch authorization.</w:t>
      </w:r>
    </w:p>
    <w:p>
      <w:pPr>
        <w:pStyle w:val="Compact"/>
        <w:numPr>
          <w:ilvl w:val="0"/>
          <w:numId w:val="1063"/>
        </w:numPr>
      </w:pPr>
      <w:r>
        <w:t xml:space="preserve">Enrollment authorization.</w:t>
      </w:r>
    </w:p>
    <w:p>
      <w:pPr>
        <w:pStyle w:val="Compact"/>
        <w:numPr>
          <w:ilvl w:val="0"/>
          <w:numId w:val="1063"/>
        </w:numPr>
      </w:pPr>
      <w:r>
        <w:t xml:space="preserve">Consent form activation.</w:t>
      </w:r>
    </w:p>
    <w:p>
      <w:pPr>
        <w:pStyle w:val="Compact"/>
        <w:numPr>
          <w:ilvl w:val="0"/>
          <w:numId w:val="1063"/>
        </w:numPr>
      </w:pPr>
      <w:r>
        <w:t xml:space="preserve">Delegation approval.</w:t>
      </w:r>
    </w:p>
    <w:p>
      <w:pPr>
        <w:pStyle w:val="Compact"/>
        <w:numPr>
          <w:ilvl w:val="0"/>
          <w:numId w:val="1063"/>
        </w:numPr>
      </w:pPr>
      <w:r>
        <w:t xml:space="preserve">Deviation closure.</w:t>
      </w:r>
    </w:p>
    <w:p>
      <w:pPr>
        <w:pStyle w:val="Compact"/>
        <w:numPr>
          <w:ilvl w:val="0"/>
          <w:numId w:val="1063"/>
        </w:numPr>
      </w:pPr>
      <w:r>
        <w:t xml:space="preserve">CAPA closure.</w:t>
      </w:r>
    </w:p>
    <w:p>
      <w:pPr>
        <w:pStyle w:val="Compact"/>
        <w:numPr>
          <w:ilvl w:val="0"/>
          <w:numId w:val="1063"/>
        </w:numPr>
      </w:pPr>
      <w:r>
        <w:t xml:space="preserve">Critical risk acceptance.</w:t>
      </w:r>
    </w:p>
    <w:p>
      <w:pPr>
        <w:pStyle w:val="Compact"/>
        <w:numPr>
          <w:ilvl w:val="0"/>
          <w:numId w:val="1063"/>
        </w:numPr>
      </w:pPr>
      <w:r>
        <w:t xml:space="preserve">Audit report finalization.</w:t>
      </w:r>
    </w:p>
    <w:p>
      <w:pPr>
        <w:pStyle w:val="Compact"/>
        <w:numPr>
          <w:ilvl w:val="0"/>
          <w:numId w:val="1063"/>
        </w:numPr>
      </w:pPr>
      <w:r>
        <w:t xml:space="preserve">Sponsor export release.</w:t>
      </w:r>
    </w:p>
    <w:p>
      <w:pPr>
        <w:pStyle w:val="Compact"/>
        <w:numPr>
          <w:ilvl w:val="0"/>
          <w:numId w:val="1063"/>
        </w:numPr>
      </w:pPr>
      <w:r>
        <w:t xml:space="preserve">Evidence disclosure.</w:t>
      </w:r>
    </w:p>
    <w:p>
      <w:pPr>
        <w:pStyle w:val="Compact"/>
        <w:numPr>
          <w:ilvl w:val="0"/>
          <w:numId w:val="1063"/>
        </w:numPr>
      </w:pPr>
      <w:r>
        <w:t xml:space="preserve">Emergency override.</w:t>
      </w:r>
    </w:p>
    <w:p>
      <w:pPr>
        <w:pStyle w:val="Compact"/>
        <w:numPr>
          <w:ilvl w:val="0"/>
          <w:numId w:val="1063"/>
        </w:numPr>
      </w:pPr>
      <w:r>
        <w:t xml:space="preserve">Access to sensitive participant-linked evidence.</w:t>
      </w:r>
    </w:p>
    <w:p>
      <w:pPr>
        <w:pStyle w:val="Compact"/>
        <w:numPr>
          <w:ilvl w:val="0"/>
          <w:numId w:val="1063"/>
        </w:numPr>
      </w:pPr>
      <w:r>
        <w:t xml:space="preserve">Clinical trial product release/use authorization.</w:t>
      </w:r>
    </w:p>
    <w:bookmarkEnd w:id="159"/>
    <w:bookmarkStart w:id="160" w:name="data-model-overview"/>
    <w:p>
      <w:pPr>
        <w:pStyle w:val="Heading2"/>
      </w:pPr>
      <w:r>
        <w:t xml:space="preserve">Data model overview</w:t>
      </w:r>
    </w:p>
    <w:p>
      <w:pPr>
        <w:pStyle w:val="FirstParagraph"/>
      </w:pPr>
      <w:r>
        <w:t xml:space="preserve">Core data entities shall include:</w:t>
      </w:r>
    </w:p>
    <w:p>
      <w:pPr>
        <w:pStyle w:val="Compact"/>
        <w:numPr>
          <w:ilvl w:val="0"/>
          <w:numId w:val="1064"/>
        </w:numPr>
      </w:pPr>
      <w:r>
        <w:t xml:space="preserve">Tenant.</w:t>
      </w:r>
    </w:p>
    <w:p>
      <w:pPr>
        <w:pStyle w:val="Compact"/>
        <w:numPr>
          <w:ilvl w:val="0"/>
          <w:numId w:val="1064"/>
        </w:numPr>
      </w:pPr>
      <w:r>
        <w:t xml:space="preserve">Organization.</w:t>
      </w:r>
    </w:p>
    <w:p>
      <w:pPr>
        <w:pStyle w:val="Compact"/>
        <w:numPr>
          <w:ilvl w:val="0"/>
          <w:numId w:val="1064"/>
        </w:numPr>
      </w:pPr>
      <w:r>
        <w:t xml:space="preserve">Site.</w:t>
      </w:r>
    </w:p>
    <w:p>
      <w:pPr>
        <w:pStyle w:val="Compact"/>
        <w:numPr>
          <w:ilvl w:val="0"/>
          <w:numId w:val="1064"/>
        </w:numPr>
      </w:pPr>
      <w:r>
        <w:t xml:space="preserve">Facility.</w:t>
      </w:r>
    </w:p>
    <w:p>
      <w:pPr>
        <w:pStyle w:val="Compact"/>
        <w:numPr>
          <w:ilvl w:val="0"/>
          <w:numId w:val="1064"/>
        </w:numPr>
      </w:pPr>
      <w:r>
        <w:t xml:space="preserve">Study.</w:t>
      </w:r>
    </w:p>
    <w:p>
      <w:pPr>
        <w:pStyle w:val="Compact"/>
        <w:numPr>
          <w:ilvl w:val="0"/>
          <w:numId w:val="1064"/>
        </w:numPr>
      </w:pPr>
      <w:r>
        <w:t xml:space="preserve">Protocol.</w:t>
      </w:r>
    </w:p>
    <w:p>
      <w:pPr>
        <w:pStyle w:val="Compact"/>
        <w:numPr>
          <w:ilvl w:val="0"/>
          <w:numId w:val="1064"/>
        </w:numPr>
      </w:pPr>
      <w:r>
        <w:t xml:space="preserve">Protocol amendment.</w:t>
      </w:r>
    </w:p>
    <w:p>
      <w:pPr>
        <w:pStyle w:val="Compact"/>
        <w:numPr>
          <w:ilvl w:val="0"/>
          <w:numId w:val="1064"/>
        </w:numPr>
      </w:pPr>
      <w:r>
        <w:t xml:space="preserve">Clinical trial agreement.</w:t>
      </w:r>
    </w:p>
    <w:p>
      <w:pPr>
        <w:pStyle w:val="Compact"/>
        <w:numPr>
          <w:ilvl w:val="0"/>
          <w:numId w:val="1064"/>
        </w:numPr>
      </w:pPr>
      <w:r>
        <w:t xml:space="preserve">Sponsor.</w:t>
      </w:r>
    </w:p>
    <w:p>
      <w:pPr>
        <w:pStyle w:val="Compact"/>
        <w:numPr>
          <w:ilvl w:val="0"/>
          <w:numId w:val="1064"/>
        </w:numPr>
      </w:pPr>
      <w:r>
        <w:t xml:space="preserve">CRO.</w:t>
      </w:r>
    </w:p>
    <w:p>
      <w:pPr>
        <w:pStyle w:val="Compact"/>
        <w:numPr>
          <w:ilvl w:val="0"/>
          <w:numId w:val="1064"/>
        </w:numPr>
      </w:pPr>
      <w:r>
        <w:t xml:space="preserve">IEC/IRB.</w:t>
      </w:r>
    </w:p>
    <w:p>
      <w:pPr>
        <w:pStyle w:val="Compact"/>
        <w:numPr>
          <w:ilvl w:val="0"/>
          <w:numId w:val="1064"/>
        </w:numPr>
      </w:pPr>
      <w:r>
        <w:t xml:space="preserve">User.</w:t>
      </w:r>
    </w:p>
    <w:p>
      <w:pPr>
        <w:pStyle w:val="Compact"/>
        <w:numPr>
          <w:ilvl w:val="0"/>
          <w:numId w:val="1064"/>
        </w:numPr>
      </w:pPr>
      <w:r>
        <w:t xml:space="preserve">Role.</w:t>
      </w:r>
    </w:p>
    <w:p>
      <w:pPr>
        <w:pStyle w:val="Compact"/>
        <w:numPr>
          <w:ilvl w:val="0"/>
          <w:numId w:val="1064"/>
        </w:numPr>
      </w:pPr>
      <w:r>
        <w:t xml:space="preserve">Responsibility.</w:t>
      </w:r>
    </w:p>
    <w:p>
      <w:pPr>
        <w:pStyle w:val="Compact"/>
        <w:numPr>
          <w:ilvl w:val="0"/>
          <w:numId w:val="1064"/>
        </w:numPr>
      </w:pPr>
      <w:r>
        <w:t xml:space="preserve">Delegation.</w:t>
      </w:r>
    </w:p>
    <w:p>
      <w:pPr>
        <w:pStyle w:val="Compact"/>
        <w:numPr>
          <w:ilvl w:val="0"/>
          <w:numId w:val="1064"/>
        </w:numPr>
      </w:pPr>
      <w:r>
        <w:t xml:space="preserve">Authority chain.</w:t>
      </w:r>
    </w:p>
    <w:p>
      <w:pPr>
        <w:pStyle w:val="Compact"/>
        <w:numPr>
          <w:ilvl w:val="0"/>
          <w:numId w:val="1064"/>
        </w:numPr>
      </w:pPr>
      <w:r>
        <w:t xml:space="preserve">Staff profile.</w:t>
      </w:r>
    </w:p>
    <w:p>
      <w:pPr>
        <w:pStyle w:val="Compact"/>
        <w:numPr>
          <w:ilvl w:val="0"/>
          <w:numId w:val="1064"/>
        </w:numPr>
      </w:pPr>
      <w:r>
        <w:t xml:space="preserve">Training requirement.</w:t>
      </w:r>
    </w:p>
    <w:p>
      <w:pPr>
        <w:pStyle w:val="Compact"/>
        <w:numPr>
          <w:ilvl w:val="0"/>
          <w:numId w:val="1064"/>
        </w:numPr>
      </w:pPr>
      <w:r>
        <w:t xml:space="preserve">Training completion.</w:t>
      </w:r>
    </w:p>
    <w:p>
      <w:pPr>
        <w:pStyle w:val="Compact"/>
        <w:numPr>
          <w:ilvl w:val="0"/>
          <w:numId w:val="1064"/>
        </w:numPr>
      </w:pPr>
      <w:r>
        <w:t xml:space="preserve">Competency attestation.</w:t>
      </w:r>
    </w:p>
    <w:p>
      <w:pPr>
        <w:pStyle w:val="Compact"/>
        <w:numPr>
          <w:ilvl w:val="0"/>
          <w:numId w:val="1064"/>
        </w:numPr>
      </w:pPr>
      <w:r>
        <w:t xml:space="preserve">Policy.</w:t>
      </w:r>
    </w:p>
    <w:p>
      <w:pPr>
        <w:pStyle w:val="Compact"/>
        <w:numPr>
          <w:ilvl w:val="0"/>
          <w:numId w:val="1064"/>
        </w:numPr>
      </w:pPr>
      <w:r>
        <w:t xml:space="preserve">Procedure.</w:t>
      </w:r>
    </w:p>
    <w:p>
      <w:pPr>
        <w:pStyle w:val="Compact"/>
        <w:numPr>
          <w:ilvl w:val="0"/>
          <w:numId w:val="1064"/>
        </w:numPr>
      </w:pPr>
      <w:r>
        <w:t xml:space="preserve">SOP.</w:t>
      </w:r>
    </w:p>
    <w:p>
      <w:pPr>
        <w:pStyle w:val="Compact"/>
        <w:numPr>
          <w:ilvl w:val="0"/>
          <w:numId w:val="1064"/>
        </w:numPr>
      </w:pPr>
      <w:r>
        <w:t xml:space="preserve">Controlled document.</w:t>
      </w:r>
    </w:p>
    <w:p>
      <w:pPr>
        <w:pStyle w:val="Compact"/>
        <w:numPr>
          <w:ilvl w:val="0"/>
          <w:numId w:val="1064"/>
        </w:numPr>
      </w:pPr>
      <w:r>
        <w:t xml:space="preserve">Control.</w:t>
      </w:r>
    </w:p>
    <w:p>
      <w:pPr>
        <w:pStyle w:val="Compact"/>
        <w:numPr>
          <w:ilvl w:val="0"/>
          <w:numId w:val="1064"/>
        </w:numPr>
      </w:pPr>
      <w:r>
        <w:t xml:space="preserve">Control assessment.</w:t>
      </w:r>
    </w:p>
    <w:p>
      <w:pPr>
        <w:pStyle w:val="Compact"/>
        <w:numPr>
          <w:ilvl w:val="0"/>
          <w:numId w:val="1064"/>
        </w:numPr>
      </w:pPr>
      <w:r>
        <w:t xml:space="preserve">Evidence object.</w:t>
      </w:r>
    </w:p>
    <w:p>
      <w:pPr>
        <w:pStyle w:val="Compact"/>
        <w:numPr>
          <w:ilvl w:val="0"/>
          <w:numId w:val="1064"/>
        </w:numPr>
      </w:pPr>
      <w:r>
        <w:t xml:space="preserve">Evidence receipt.</w:t>
      </w:r>
    </w:p>
    <w:p>
      <w:pPr>
        <w:pStyle w:val="Compact"/>
        <w:numPr>
          <w:ilvl w:val="0"/>
          <w:numId w:val="1064"/>
        </w:numPr>
      </w:pPr>
      <w:r>
        <w:t xml:space="preserve">Chain-of-custody record.</w:t>
      </w:r>
    </w:p>
    <w:p>
      <w:pPr>
        <w:pStyle w:val="Compact"/>
        <w:numPr>
          <w:ilvl w:val="0"/>
          <w:numId w:val="1064"/>
        </w:numPr>
      </w:pPr>
      <w:r>
        <w:t xml:space="preserve">Risk.</w:t>
      </w:r>
    </w:p>
    <w:p>
      <w:pPr>
        <w:pStyle w:val="Compact"/>
        <w:numPr>
          <w:ilvl w:val="0"/>
          <w:numId w:val="1064"/>
        </w:numPr>
      </w:pPr>
      <w:r>
        <w:t xml:space="preserve">Risk assessment.</w:t>
      </w:r>
    </w:p>
    <w:p>
      <w:pPr>
        <w:pStyle w:val="Compact"/>
        <w:numPr>
          <w:ilvl w:val="0"/>
          <w:numId w:val="1064"/>
        </w:numPr>
      </w:pPr>
      <w:r>
        <w:t xml:space="preserve">Mitigation.</w:t>
      </w:r>
    </w:p>
    <w:p>
      <w:pPr>
        <w:pStyle w:val="Compact"/>
        <w:numPr>
          <w:ilvl w:val="0"/>
          <w:numId w:val="1064"/>
        </w:numPr>
      </w:pPr>
      <w:r>
        <w:t xml:space="preserve">Safety plan.</w:t>
      </w:r>
    </w:p>
    <w:p>
      <w:pPr>
        <w:pStyle w:val="Compact"/>
        <w:numPr>
          <w:ilvl w:val="0"/>
          <w:numId w:val="1064"/>
        </w:numPr>
      </w:pPr>
      <w:r>
        <w:t xml:space="preserve">Deviation.</w:t>
      </w:r>
    </w:p>
    <w:p>
      <w:pPr>
        <w:pStyle w:val="Compact"/>
        <w:numPr>
          <w:ilvl w:val="0"/>
          <w:numId w:val="1064"/>
        </w:numPr>
      </w:pPr>
      <w:r>
        <w:t xml:space="preserve">Nonconformance.</w:t>
      </w:r>
    </w:p>
    <w:p>
      <w:pPr>
        <w:pStyle w:val="Compact"/>
        <w:numPr>
          <w:ilvl w:val="0"/>
          <w:numId w:val="1064"/>
        </w:numPr>
      </w:pPr>
      <w:r>
        <w:t xml:space="preserve">CAPA.</w:t>
      </w:r>
    </w:p>
    <w:p>
      <w:pPr>
        <w:pStyle w:val="Compact"/>
        <w:numPr>
          <w:ilvl w:val="0"/>
          <w:numId w:val="1064"/>
        </w:numPr>
      </w:pPr>
      <w:r>
        <w:t xml:space="preserve">Complaint.</w:t>
      </w:r>
    </w:p>
    <w:p>
      <w:pPr>
        <w:pStyle w:val="Compact"/>
        <w:numPr>
          <w:ilvl w:val="0"/>
          <w:numId w:val="1064"/>
        </w:numPr>
      </w:pPr>
      <w:r>
        <w:t xml:space="preserve">Concern.</w:t>
      </w:r>
    </w:p>
    <w:p>
      <w:pPr>
        <w:pStyle w:val="Compact"/>
        <w:numPr>
          <w:ilvl w:val="0"/>
          <w:numId w:val="1064"/>
        </w:numPr>
      </w:pPr>
      <w:r>
        <w:t xml:space="preserve">AE/SAE/SUSAR.</w:t>
      </w:r>
    </w:p>
    <w:p>
      <w:pPr>
        <w:pStyle w:val="Compact"/>
        <w:numPr>
          <w:ilvl w:val="0"/>
          <w:numId w:val="1064"/>
        </w:numPr>
      </w:pPr>
      <w:r>
        <w:t xml:space="preserve">Consent form.</w:t>
      </w:r>
    </w:p>
    <w:p>
      <w:pPr>
        <w:pStyle w:val="Compact"/>
        <w:numPr>
          <w:ilvl w:val="0"/>
          <w:numId w:val="1064"/>
        </w:numPr>
      </w:pPr>
      <w:r>
        <w:t xml:space="preserve">Consent process.</w:t>
      </w:r>
    </w:p>
    <w:p>
      <w:pPr>
        <w:pStyle w:val="Compact"/>
        <w:numPr>
          <w:ilvl w:val="0"/>
          <w:numId w:val="1064"/>
        </w:numPr>
      </w:pPr>
      <w:r>
        <w:t xml:space="preserve">Participant code.</w:t>
      </w:r>
    </w:p>
    <w:p>
      <w:pPr>
        <w:pStyle w:val="Compact"/>
        <w:numPr>
          <w:ilvl w:val="0"/>
          <w:numId w:val="1064"/>
        </w:numPr>
      </w:pPr>
      <w:r>
        <w:t xml:space="preserve">Data sharing consent.</w:t>
      </w:r>
    </w:p>
    <w:p>
      <w:pPr>
        <w:pStyle w:val="Compact"/>
        <w:numPr>
          <w:ilvl w:val="0"/>
          <w:numId w:val="1064"/>
        </w:numPr>
      </w:pPr>
      <w:r>
        <w:t xml:space="preserve">Information management plan.</w:t>
      </w:r>
    </w:p>
    <w:p>
      <w:pPr>
        <w:pStyle w:val="Compact"/>
        <w:numPr>
          <w:ilvl w:val="0"/>
          <w:numId w:val="1064"/>
        </w:numPr>
      </w:pPr>
      <w:r>
        <w:t xml:space="preserve">Equipment.</w:t>
      </w:r>
    </w:p>
    <w:p>
      <w:pPr>
        <w:pStyle w:val="Compact"/>
        <w:numPr>
          <w:ilvl w:val="0"/>
          <w:numId w:val="1064"/>
        </w:numPr>
      </w:pPr>
      <w:r>
        <w:t xml:space="preserve">Calibration record.</w:t>
      </w:r>
    </w:p>
    <w:p>
      <w:pPr>
        <w:pStyle w:val="Compact"/>
        <w:numPr>
          <w:ilvl w:val="0"/>
          <w:numId w:val="1064"/>
        </w:numPr>
      </w:pPr>
      <w:r>
        <w:t xml:space="preserve">Clinical trial product.</w:t>
      </w:r>
    </w:p>
    <w:p>
      <w:pPr>
        <w:pStyle w:val="Compact"/>
        <w:numPr>
          <w:ilvl w:val="0"/>
          <w:numId w:val="1064"/>
        </w:numPr>
      </w:pPr>
      <w:r>
        <w:t xml:space="preserve">Product accountability record.</w:t>
      </w:r>
    </w:p>
    <w:p>
      <w:pPr>
        <w:pStyle w:val="Compact"/>
        <w:numPr>
          <w:ilvl w:val="0"/>
          <w:numId w:val="1064"/>
        </w:numPr>
      </w:pPr>
      <w:r>
        <w:t xml:space="preserve">Audit.</w:t>
      </w:r>
    </w:p>
    <w:p>
      <w:pPr>
        <w:pStyle w:val="Compact"/>
        <w:numPr>
          <w:ilvl w:val="0"/>
          <w:numId w:val="1064"/>
        </w:numPr>
      </w:pPr>
      <w:r>
        <w:t xml:space="preserve">Finding.</w:t>
      </w:r>
    </w:p>
    <w:p>
      <w:pPr>
        <w:pStyle w:val="Compact"/>
        <w:numPr>
          <w:ilvl w:val="0"/>
          <w:numId w:val="1064"/>
        </w:numPr>
      </w:pPr>
      <w:r>
        <w:t xml:space="preserve">KPI.</w:t>
      </w:r>
    </w:p>
    <w:p>
      <w:pPr>
        <w:pStyle w:val="Compact"/>
        <w:numPr>
          <w:ilvl w:val="0"/>
          <w:numId w:val="1064"/>
        </w:numPr>
      </w:pPr>
      <w:r>
        <w:t xml:space="preserve">Decision matter.</w:t>
      </w:r>
    </w:p>
    <w:p>
      <w:pPr>
        <w:pStyle w:val="Compact"/>
        <w:numPr>
          <w:ilvl w:val="0"/>
          <w:numId w:val="1064"/>
        </w:numPr>
      </w:pPr>
      <w:r>
        <w:t xml:space="preserve">Decision vote.</w:t>
      </w:r>
    </w:p>
    <w:p>
      <w:pPr>
        <w:pStyle w:val="Compact"/>
        <w:numPr>
          <w:ilvl w:val="0"/>
          <w:numId w:val="1064"/>
        </w:numPr>
      </w:pPr>
      <w:r>
        <w:t xml:space="preserve">Decision rationale.</w:t>
      </w:r>
    </w:p>
    <w:p>
      <w:pPr>
        <w:pStyle w:val="Compact"/>
        <w:numPr>
          <w:ilvl w:val="0"/>
          <w:numId w:val="1064"/>
        </w:numPr>
      </w:pPr>
      <w:r>
        <w:t xml:space="preserve">Conflict disclosure.</w:t>
      </w:r>
    </w:p>
    <w:p>
      <w:pPr>
        <w:pStyle w:val="Compact"/>
        <w:numPr>
          <w:ilvl w:val="0"/>
          <w:numId w:val="1064"/>
        </w:numPr>
      </w:pPr>
      <w:r>
        <w:t xml:space="preserve">Recusal.</w:t>
      </w:r>
    </w:p>
    <w:p>
      <w:pPr>
        <w:pStyle w:val="Compact"/>
        <w:numPr>
          <w:ilvl w:val="0"/>
          <w:numId w:val="1064"/>
        </w:numPr>
      </w:pPr>
      <w:r>
        <w:t xml:space="preserve">AI review.</w:t>
      </w:r>
    </w:p>
    <w:p>
      <w:pPr>
        <w:pStyle w:val="Compact"/>
        <w:numPr>
          <w:ilvl w:val="0"/>
          <w:numId w:val="1064"/>
        </w:numPr>
      </w:pPr>
      <w:r>
        <w:t xml:space="preserve">Export packet.</w:t>
      </w:r>
    </w:p>
    <w:p>
      <w:pPr>
        <w:pStyle w:val="Compact"/>
        <w:numPr>
          <w:ilvl w:val="0"/>
          <w:numId w:val="1064"/>
        </w:numPr>
      </w:pPr>
      <w:r>
        <w:t xml:space="preserve">Disclosure log.</w:t>
      </w:r>
    </w:p>
    <w:p>
      <w:pPr>
        <w:pStyle w:val="Compact"/>
        <w:numPr>
          <w:ilvl w:val="0"/>
          <w:numId w:val="1064"/>
        </w:numPr>
      </w:pPr>
      <w:r>
        <w:t xml:space="preserve">Audit log entry.</w:t>
      </w:r>
    </w:p>
    <w:p>
      <w:pPr>
        <w:pStyle w:val="Compact"/>
        <w:numPr>
          <w:ilvl w:val="0"/>
          <w:numId w:val="1064"/>
        </w:numPr>
      </w:pPr>
      <w:r>
        <w:t xml:space="preserve">Exochain anchor.</w:t>
      </w:r>
    </w:p>
    <w:bookmarkEnd w:id="160"/>
    <w:bookmarkStart w:id="211" w:name="functional-requirements"/>
    <w:p>
      <w:pPr>
        <w:pStyle w:val="Heading2"/>
      </w:pPr>
      <w:r>
        <w:t xml:space="preserve">Functional requirements</w:t>
      </w:r>
    </w:p>
    <w:bookmarkStart w:id="161" w:name="X7e1aa018deb01f2a450108b8cef547d50312dac"/>
    <w:p>
      <w:pPr>
        <w:pStyle w:val="Heading3"/>
      </w:pPr>
      <w:r>
        <w:t xml:space="preserve">FR-001: Tenant and organization management</w:t>
      </w:r>
    </w:p>
    <w:p>
      <w:pPr>
        <w:pStyle w:val="FirstParagraph"/>
      </w:pPr>
      <w:r>
        <w:t xml:space="preserve">The system shall support multiple tenants, each with isolated organizations, sites, studies, users, roles, controls, evidence, and configuration.</w:t>
      </w:r>
    </w:p>
    <w:bookmarkEnd w:id="161"/>
    <w:bookmarkStart w:id="162" w:name="X10bbe7bfc8af549daa572d32417097c88535b11"/>
    <w:p>
      <w:pPr>
        <w:pStyle w:val="Heading3"/>
      </w:pPr>
      <w:r>
        <w:t xml:space="preserve">FR-002: Site creation and profile management</w:t>
      </w:r>
    </w:p>
    <w:p>
      <w:pPr>
        <w:pStyle w:val="FirstParagraph"/>
      </w:pPr>
      <w:r>
        <w:t xml:space="preserve">The system shall allow authorized users to create, maintain, review, and approve site profiles.</w:t>
      </w:r>
    </w:p>
    <w:bookmarkEnd w:id="162"/>
    <w:bookmarkStart w:id="163" w:name="fr-003-standards-derived-control-library"/>
    <w:p>
      <w:pPr>
        <w:pStyle w:val="Heading3"/>
      </w:pPr>
      <w:r>
        <w:t xml:space="preserve">FR-003: Standards-derived control library</w:t>
      </w:r>
    </w:p>
    <w:p>
      <w:pPr>
        <w:pStyle w:val="FirstParagraph"/>
      </w:pPr>
      <w:r>
        <w:t xml:space="preserve">The system shall maintain a configurable library of standards-derived controls.</w:t>
      </w:r>
    </w:p>
    <w:bookmarkEnd w:id="163"/>
    <w:bookmarkStart w:id="164" w:name="X489c37076b81d9f48b01800baf2b01cd4d3add8"/>
    <w:p>
      <w:pPr>
        <w:pStyle w:val="Heading3"/>
      </w:pPr>
      <w:r>
        <w:t xml:space="preserve">FR-004: Control applicability determination</w:t>
      </w:r>
    </w:p>
    <w:p>
      <w:pPr>
        <w:pStyle w:val="FirstParagraph"/>
      </w:pPr>
      <w:r>
        <w:t xml:space="preserve">The system shall allow controls to be marked applicable, not applicable, conditionally applicable, deferred, waived, or superseded with rationale and approval.</w:t>
      </w:r>
    </w:p>
    <w:bookmarkEnd w:id="164"/>
    <w:bookmarkStart w:id="165" w:name="fr-005-evidence-upload-and-linking"/>
    <w:p>
      <w:pPr>
        <w:pStyle w:val="Heading3"/>
      </w:pPr>
      <w:r>
        <w:t xml:space="preserve">FR-005: Evidence upload and linking</w:t>
      </w:r>
    </w:p>
    <w:p>
      <w:pPr>
        <w:pStyle w:val="FirstParagraph"/>
      </w:pPr>
      <w:r>
        <w:t xml:space="preserve">The system shall allow evidence upload, linking, classification, versioning, hashing, chain-of-custody, review, and approval.</w:t>
      </w:r>
    </w:p>
    <w:bookmarkEnd w:id="165"/>
    <w:bookmarkStart w:id="166" w:name="fr-006-evidence-completeness-scoring"/>
    <w:p>
      <w:pPr>
        <w:pStyle w:val="Heading3"/>
      </w:pPr>
      <w:r>
        <w:t xml:space="preserve">FR-006: Evidence completeness scoring</w:t>
      </w:r>
    </w:p>
    <w:p>
      <w:pPr>
        <w:pStyle w:val="FirstParagraph"/>
      </w:pPr>
      <w:r>
        <w:t xml:space="preserve">The system shall compute evidence completeness by control, site, study, protocol, and diligence packet.</w:t>
      </w:r>
    </w:p>
    <w:bookmarkEnd w:id="166"/>
    <w:bookmarkStart w:id="167" w:name="fr-007-evidence-freshness-scoring"/>
    <w:p>
      <w:pPr>
        <w:pStyle w:val="Heading3"/>
      </w:pPr>
      <w:r>
        <w:t xml:space="preserve">FR-007: Evidence freshness scoring</w:t>
      </w:r>
    </w:p>
    <w:p>
      <w:pPr>
        <w:pStyle w:val="FirstParagraph"/>
      </w:pPr>
      <w:r>
        <w:t xml:space="preserve">The system shall compute evidence freshness and flag stale evidence.</w:t>
      </w:r>
    </w:p>
    <w:bookmarkEnd w:id="167"/>
    <w:bookmarkStart w:id="168" w:name="fr-008-ai-control-review"/>
    <w:p>
      <w:pPr>
        <w:pStyle w:val="Heading3"/>
      </w:pPr>
      <w:r>
        <w:t xml:space="preserve">FR-008: AI control review</w:t>
      </w:r>
    </w:p>
    <w:p>
      <w:pPr>
        <w:pStyle w:val="FirstParagraph"/>
      </w:pPr>
      <w:r>
        <w:t xml:space="preserve">The system shall run AI-assisted review on controls and evidence with human-readable findings and confidence levels.</w:t>
      </w:r>
    </w:p>
    <w:bookmarkEnd w:id="168"/>
    <w:bookmarkStart w:id="169" w:name="fr-009-site-qms-passport-generation"/>
    <w:p>
      <w:pPr>
        <w:pStyle w:val="Heading3"/>
      </w:pPr>
      <w:r>
        <w:t xml:space="preserve">FR-009: Site QMS Passport generation</w:t>
      </w:r>
    </w:p>
    <w:p>
      <w:pPr>
        <w:pStyle w:val="FirstParagraph"/>
      </w:pPr>
      <w:r>
        <w:t xml:space="preserve">The system shall generate a site QMS Passport summarizing readiness, evidence, risks, findings, CAPAs, KPIs, and approvals.</w:t>
      </w:r>
    </w:p>
    <w:bookmarkEnd w:id="169"/>
    <w:bookmarkStart w:id="170" w:name="fr-010-protocol-intake"/>
    <w:p>
      <w:pPr>
        <w:pStyle w:val="Heading3"/>
      </w:pPr>
      <w:r>
        <w:t xml:space="preserve">FR-010: Protocol intake</w:t>
      </w:r>
    </w:p>
    <w:p>
      <w:pPr>
        <w:pStyle w:val="FirstParagraph"/>
      </w:pPr>
      <w:r>
        <w:t xml:space="preserve">The system shall support intake of protocol documents, amendments, sponsor materials, investigator brochures, and trial agreements.</w:t>
      </w:r>
    </w:p>
    <w:bookmarkEnd w:id="170"/>
    <w:bookmarkStart w:id="171" w:name="X1dbc96aea0f489fb7715a12f884769e9b980932"/>
    <w:p>
      <w:pPr>
        <w:pStyle w:val="Heading3"/>
      </w:pPr>
      <w:r>
        <w:t xml:space="preserve">FR-011: Protocol-to-site feasibility analysis</w:t>
      </w:r>
    </w:p>
    <w:p>
      <w:pPr>
        <w:pStyle w:val="FirstParagraph"/>
      </w:pPr>
      <w:r>
        <w:t xml:space="preserve">The system shall support structured feasibility review and AI-assisted protocol-to-site fit analysis.</w:t>
      </w:r>
    </w:p>
    <w:bookmarkEnd w:id="171"/>
    <w:bookmarkStart w:id="172" w:name="fr-012-trial-startup-risk-assessment"/>
    <w:p>
      <w:pPr>
        <w:pStyle w:val="Heading3"/>
      </w:pPr>
      <w:r>
        <w:t xml:space="preserve">FR-012: Trial startup risk assessment</w:t>
      </w:r>
    </w:p>
    <w:p>
      <w:pPr>
        <w:pStyle w:val="FirstParagraph"/>
      </w:pPr>
      <w:r>
        <w:t xml:space="preserve">The system shall support creation, review, approval, and monitoring of trial startup risk assessments.</w:t>
      </w:r>
    </w:p>
    <w:bookmarkEnd w:id="172"/>
    <w:bookmarkStart w:id="173" w:name="fr-013-launch-gate-workflow"/>
    <w:p>
      <w:pPr>
        <w:pStyle w:val="Heading3"/>
      </w:pPr>
      <w:r>
        <w:t xml:space="preserve">FR-013: Launch gate workflow</w:t>
      </w:r>
    </w:p>
    <w:p>
      <w:pPr>
        <w:pStyle w:val="FirstParagraph"/>
      </w:pPr>
      <w:r>
        <w:t xml:space="preserve">The system shall enforce a launch gate requiring required approvals, evidence, training, delegation, consent readiness, facility readiness, product readiness, and risk controls.</w:t>
      </w:r>
    </w:p>
    <w:bookmarkEnd w:id="173"/>
    <w:bookmarkStart w:id="174" w:name="fr-014-enrollment-gate-workflow"/>
    <w:p>
      <w:pPr>
        <w:pStyle w:val="Heading3"/>
      </w:pPr>
      <w:r>
        <w:t xml:space="preserve">FR-014: Enrollment gate workflow</w:t>
      </w:r>
    </w:p>
    <w:p>
      <w:pPr>
        <w:pStyle w:val="FirstParagraph"/>
      </w:pPr>
      <w:r>
        <w:t xml:space="preserve">The system shall enforce enrollment gate readiness before participant enrollment.</w:t>
      </w:r>
    </w:p>
    <w:bookmarkEnd w:id="174"/>
    <w:bookmarkStart w:id="175" w:name="fr-015-informed-consent-management"/>
    <w:p>
      <w:pPr>
        <w:pStyle w:val="Heading3"/>
      </w:pPr>
      <w:r>
        <w:t xml:space="preserve">FR-015: Informed consent management</w:t>
      </w:r>
    </w:p>
    <w:p>
      <w:pPr>
        <w:pStyle w:val="FirstParagraph"/>
      </w:pPr>
      <w:r>
        <w:t xml:space="preserve">The system shall manage consent form versions, approval status, readability review, required element review, activation, supersession, and reconsent triggers.</w:t>
      </w:r>
    </w:p>
    <w:bookmarkEnd w:id="175"/>
    <w:bookmarkStart w:id="176" w:name="fr-016-consent-process-documentation"/>
    <w:p>
      <w:pPr>
        <w:pStyle w:val="Heading3"/>
      </w:pPr>
      <w:r>
        <w:t xml:space="preserve">FR-016: Consent process documentation</w:t>
      </w:r>
    </w:p>
    <w:p>
      <w:pPr>
        <w:pStyle w:val="FirstParagraph"/>
      </w:pPr>
      <w:r>
        <w:t xml:space="preserve">The system shall allow authorized staff to document consent process completion, participant copy delivery, questions, signatures, dates, LAR/witness/assent status, and data sharing consent.</w:t>
      </w:r>
    </w:p>
    <w:bookmarkEnd w:id="176"/>
    <w:bookmarkStart w:id="177" w:name="fr-017-participant-code-management"/>
    <w:p>
      <w:pPr>
        <w:pStyle w:val="Heading3"/>
      </w:pPr>
      <w:r>
        <w:t xml:space="preserve">FR-017: Participant code management</w:t>
      </w:r>
    </w:p>
    <w:p>
      <w:pPr>
        <w:pStyle w:val="FirstParagraph"/>
      </w:pPr>
      <w:r>
        <w:t xml:space="preserve">The system shall support participant unique code numbers without exposing unnecessary identifiers.</w:t>
      </w:r>
    </w:p>
    <w:bookmarkEnd w:id="177"/>
    <w:bookmarkStart w:id="178" w:name="Xd2866660250c1c34b12ffd6ed81163ca9f381c0"/>
    <w:p>
      <w:pPr>
        <w:pStyle w:val="Heading3"/>
      </w:pPr>
      <w:r>
        <w:t xml:space="preserve">FR-018: Withdrawal and lost-to-follow-up management</w:t>
      </w:r>
    </w:p>
    <w:p>
      <w:pPr>
        <w:pStyle w:val="FirstParagraph"/>
      </w:pPr>
      <w:r>
        <w:t xml:space="preserve">The system shall support documented withdrawal, refusal to provide reason, and lost-to-follow-up process tracking.</w:t>
      </w:r>
    </w:p>
    <w:bookmarkEnd w:id="178"/>
    <w:bookmarkStart w:id="179" w:name="fr-019-aesaesusar-workflow"/>
    <w:p>
      <w:pPr>
        <w:pStyle w:val="Heading3"/>
      </w:pPr>
      <w:r>
        <w:t xml:space="preserve">FR-019: AE/SAE/SUSAR workflow</w:t>
      </w:r>
    </w:p>
    <w:p>
      <w:pPr>
        <w:pStyle w:val="FirstParagraph"/>
      </w:pPr>
      <w:r>
        <w:t xml:space="preserve">The system shall support event reporting, classification, investigation, notifications, follow-up, and closure.</w:t>
      </w:r>
    </w:p>
    <w:bookmarkEnd w:id="179"/>
    <w:bookmarkStart w:id="180" w:name="fr-020-deviation-workflow"/>
    <w:p>
      <w:pPr>
        <w:pStyle w:val="Heading3"/>
      </w:pPr>
      <w:r>
        <w:t xml:space="preserve">FR-020: Deviation workflow</w:t>
      </w:r>
    </w:p>
    <w:p>
      <w:pPr>
        <w:pStyle w:val="FirstParagraph"/>
      </w:pPr>
      <w:r>
        <w:t xml:space="preserve">The system shall support planned and unplanned deviations, immediate action, reporting, root cause, CAPA, and closure.</w:t>
      </w:r>
    </w:p>
    <w:bookmarkEnd w:id="180"/>
    <w:bookmarkStart w:id="181" w:name="fr-021-capa-workflow"/>
    <w:p>
      <w:pPr>
        <w:pStyle w:val="Heading3"/>
      </w:pPr>
      <w:r>
        <w:t xml:space="preserve">FR-021: CAPA workflow</w:t>
      </w:r>
    </w:p>
    <w:p>
      <w:pPr>
        <w:pStyle w:val="FirstParagraph"/>
      </w:pPr>
      <w:r>
        <w:t xml:space="preserve">The system shall support CAPA creation, approval, implementation, verification, effectiveness check, closure, and reopening.</w:t>
      </w:r>
    </w:p>
    <w:bookmarkEnd w:id="181"/>
    <w:bookmarkStart w:id="182" w:name="fr-022-training-matrix"/>
    <w:p>
      <w:pPr>
        <w:pStyle w:val="Heading3"/>
      </w:pPr>
      <w:r>
        <w:t xml:space="preserve">FR-022: Training matrix</w:t>
      </w:r>
    </w:p>
    <w:p>
      <w:pPr>
        <w:pStyle w:val="FirstParagraph"/>
      </w:pPr>
      <w:r>
        <w:t xml:space="preserve">The system shall maintain role/protocol/control-based training requirements.</w:t>
      </w:r>
    </w:p>
    <w:bookmarkEnd w:id="182"/>
    <w:bookmarkStart w:id="183" w:name="fr-023-training-gap-detection"/>
    <w:p>
      <w:pPr>
        <w:pStyle w:val="Heading3"/>
      </w:pPr>
      <w:r>
        <w:t xml:space="preserve">FR-023: Training gap detection</w:t>
      </w:r>
    </w:p>
    <w:p>
      <w:pPr>
        <w:pStyle w:val="FirstParagraph"/>
      </w:pPr>
      <w:r>
        <w:t xml:space="preserve">The system shall detect and report training gaps.</w:t>
      </w:r>
    </w:p>
    <w:bookmarkEnd w:id="183"/>
    <w:bookmarkStart w:id="184" w:name="fr-024-competency-records"/>
    <w:p>
      <w:pPr>
        <w:pStyle w:val="Heading3"/>
      </w:pPr>
      <w:r>
        <w:t xml:space="preserve">FR-024: Competency records</w:t>
      </w:r>
    </w:p>
    <w:p>
      <w:pPr>
        <w:pStyle w:val="FirstParagraph"/>
      </w:pPr>
      <w:r>
        <w:t xml:space="preserve">The system shall store and manage competency attestations and qualification evidence.</w:t>
      </w:r>
    </w:p>
    <w:bookmarkEnd w:id="184"/>
    <w:bookmarkStart w:id="185" w:name="fr-025-delegation-log"/>
    <w:p>
      <w:pPr>
        <w:pStyle w:val="Heading3"/>
      </w:pPr>
      <w:r>
        <w:t xml:space="preserve">FR-025: Delegation log</w:t>
      </w:r>
    </w:p>
    <w:p>
      <w:pPr>
        <w:pStyle w:val="FirstParagraph"/>
      </w:pPr>
      <w:r>
        <w:t xml:space="preserve">The system shall maintain protocol-specific delegation logs with authority verification.</w:t>
      </w:r>
    </w:p>
    <w:bookmarkEnd w:id="185"/>
    <w:bookmarkStart w:id="186" w:name="fr-026-concern-reporting"/>
    <w:p>
      <w:pPr>
        <w:pStyle w:val="Heading3"/>
      </w:pPr>
      <w:r>
        <w:t xml:space="preserve">FR-026: Concern reporting</w:t>
      </w:r>
    </w:p>
    <w:p>
      <w:pPr>
        <w:pStyle w:val="FirstParagraph"/>
      </w:pPr>
      <w:r>
        <w:t xml:space="preserve">The system shall support identified and anonymous concern reporting.</w:t>
      </w:r>
    </w:p>
    <w:bookmarkEnd w:id="186"/>
    <w:bookmarkStart w:id="187" w:name="fr-027-conflict-disclosure"/>
    <w:p>
      <w:pPr>
        <w:pStyle w:val="Heading3"/>
      </w:pPr>
      <w:r>
        <w:t xml:space="preserve">FR-027: Conflict disclosure</w:t>
      </w:r>
    </w:p>
    <w:p>
      <w:pPr>
        <w:pStyle w:val="FirstParagraph"/>
      </w:pPr>
      <w:r>
        <w:t xml:space="preserve">The system shall collect conflict disclosures for decision participants and reviewers.</w:t>
      </w:r>
    </w:p>
    <w:bookmarkEnd w:id="187"/>
    <w:bookmarkStart w:id="188" w:name="fr-028-recusal-management"/>
    <w:p>
      <w:pPr>
        <w:pStyle w:val="Heading3"/>
      </w:pPr>
      <w:r>
        <w:t xml:space="preserve">FR-028: Recusal management</w:t>
      </w:r>
    </w:p>
    <w:p>
      <w:pPr>
        <w:pStyle w:val="FirstParagraph"/>
      </w:pPr>
      <w:r>
        <w:t xml:space="preserve">The system shall support recusal from decisions and reviews.</w:t>
      </w:r>
    </w:p>
    <w:bookmarkEnd w:id="188"/>
    <w:bookmarkStart w:id="189" w:name="fr-029-decision-forum-matters"/>
    <w:p>
      <w:pPr>
        <w:pStyle w:val="Heading3"/>
      </w:pPr>
      <w:r>
        <w:t xml:space="preserve">FR-029: Decision Forum matters</w:t>
      </w:r>
    </w:p>
    <w:p>
      <w:pPr>
        <w:pStyle w:val="FirstParagraph"/>
      </w:pPr>
      <w:r>
        <w:t xml:space="preserve">The system shall support creation, review, deliberation, vote, rationale, closure, contestation, and receipts for decision matters.</w:t>
      </w:r>
    </w:p>
    <w:bookmarkEnd w:id="189"/>
    <w:bookmarkStart w:id="190" w:name="fr-030-emergency-action-workflow"/>
    <w:p>
      <w:pPr>
        <w:pStyle w:val="Heading3"/>
      </w:pPr>
      <w:r>
        <w:t xml:space="preserve">FR-030: Emergency action workflow</w:t>
      </w:r>
    </w:p>
    <w:p>
      <w:pPr>
        <w:pStyle w:val="FirstParagraph"/>
      </w:pPr>
      <w:r>
        <w:t xml:space="preserve">The system shall allow emergency action records with retrospective review requirements.</w:t>
      </w:r>
    </w:p>
    <w:bookmarkEnd w:id="190"/>
    <w:bookmarkStart w:id="191" w:name="fr-031-document-control"/>
    <w:p>
      <w:pPr>
        <w:pStyle w:val="Heading3"/>
      </w:pPr>
      <w:r>
        <w:t xml:space="preserve">FR-031: Document control</w:t>
      </w:r>
    </w:p>
    <w:p>
      <w:pPr>
        <w:pStyle w:val="FirstParagraph"/>
      </w:pPr>
      <w:r>
        <w:t xml:space="preserve">The system shall manage controlled documents, versions, effective dates, approval workflows, supersession, review cycles, and access controls.</w:t>
      </w:r>
    </w:p>
    <w:bookmarkEnd w:id="191"/>
    <w:bookmarkStart w:id="192" w:name="fr-032-information-management-plan"/>
    <w:p>
      <w:pPr>
        <w:pStyle w:val="Heading3"/>
      </w:pPr>
      <w:r>
        <w:t xml:space="preserve">FR-032: Information management plan</w:t>
      </w:r>
    </w:p>
    <w:p>
      <w:pPr>
        <w:pStyle w:val="FirstParagraph"/>
      </w:pPr>
      <w:r>
        <w:t xml:space="preserve">The system shall support trial-specific information management plans and associated procedures.</w:t>
      </w:r>
    </w:p>
    <w:bookmarkEnd w:id="192"/>
    <w:bookmarkStart w:id="193" w:name="X3bf82ae08d721f2fdf91e9cade1747e59a07c67"/>
    <w:p>
      <w:pPr>
        <w:pStyle w:val="Heading3"/>
      </w:pPr>
      <w:r>
        <w:t xml:space="preserve">FR-033: Electronic system validation evidence</w:t>
      </w:r>
    </w:p>
    <w:p>
      <w:pPr>
        <w:pStyle w:val="FirstParagraph"/>
      </w:pPr>
      <w:r>
        <w:t xml:space="preserve">The system shall store validation and verification evidence for electronic systems used in trial data collection.</w:t>
      </w:r>
    </w:p>
    <w:bookmarkEnd w:id="193"/>
    <w:bookmarkStart w:id="194" w:name="fr-034-facility-readiness"/>
    <w:p>
      <w:pPr>
        <w:pStyle w:val="Heading3"/>
      </w:pPr>
      <w:r>
        <w:t xml:space="preserve">FR-034: Facility readiness</w:t>
      </w:r>
    </w:p>
    <w:p>
      <w:pPr>
        <w:pStyle w:val="FirstParagraph"/>
      </w:pPr>
      <w:r>
        <w:t xml:space="preserve">The system shall support facility requirement review, evidence, gaps, approval, and monitoring.</w:t>
      </w:r>
    </w:p>
    <w:bookmarkEnd w:id="194"/>
    <w:bookmarkStart w:id="195" w:name="fr-035-equipment-calibration"/>
    <w:p>
      <w:pPr>
        <w:pStyle w:val="Heading3"/>
      </w:pPr>
      <w:r>
        <w:t xml:space="preserve">FR-035: Equipment calibration</w:t>
      </w:r>
    </w:p>
    <w:p>
      <w:pPr>
        <w:pStyle w:val="FirstParagraph"/>
      </w:pPr>
      <w:r>
        <w:t xml:space="preserve">The system shall track equipment requiring calibration/checks, due dates, evidence, defects, and quarantine.</w:t>
      </w:r>
    </w:p>
    <w:bookmarkEnd w:id="195"/>
    <w:bookmarkStart w:id="196" w:name="Xac3208953c19f099ac5e31c03d1b2c04c9eb074"/>
    <w:p>
      <w:pPr>
        <w:pStyle w:val="Heading3"/>
      </w:pPr>
      <w:r>
        <w:t xml:space="preserve">FR-036: Clinical trial product accountability</w:t>
      </w:r>
    </w:p>
    <w:p>
      <w:pPr>
        <w:pStyle w:val="FirstParagraph"/>
      </w:pPr>
      <w:r>
        <w:t xml:space="preserve">The system shall track clinical trial product receipt, storage, dispensing, access, stock, expiration, return, disposal, and reconciliation.</w:t>
      </w:r>
    </w:p>
    <w:bookmarkEnd w:id="196"/>
    <w:bookmarkStart w:id="197" w:name="fr-037-kpi-management"/>
    <w:p>
      <w:pPr>
        <w:pStyle w:val="Heading3"/>
      </w:pPr>
      <w:r>
        <w:t xml:space="preserve">FR-037: KPI management</w:t>
      </w:r>
    </w:p>
    <w:p>
      <w:pPr>
        <w:pStyle w:val="FirstParagraph"/>
      </w:pPr>
      <w:r>
        <w:t xml:space="preserve">The system shall define, collect, monitor, analyze, report, and trend KPIs.</w:t>
      </w:r>
    </w:p>
    <w:bookmarkEnd w:id="197"/>
    <w:bookmarkStart w:id="198" w:name="fr-038-internal-audit-management"/>
    <w:p>
      <w:pPr>
        <w:pStyle w:val="Heading3"/>
      </w:pPr>
      <w:r>
        <w:t xml:space="preserve">FR-038: Internal audit management</w:t>
      </w:r>
    </w:p>
    <w:p>
      <w:pPr>
        <w:pStyle w:val="FirstParagraph"/>
      </w:pPr>
      <w:r>
        <w:t xml:space="preserve">The system shall support audit planning, execution, findings, reports, management response, CAPA, and closure.</w:t>
      </w:r>
    </w:p>
    <w:bookmarkEnd w:id="198"/>
    <w:bookmarkStart w:id="199" w:name="fr-039-assessment-management"/>
    <w:p>
      <w:pPr>
        <w:pStyle w:val="Heading3"/>
      </w:pPr>
      <w:r>
        <w:t xml:space="preserve">FR-039: Assessment management</w:t>
      </w:r>
    </w:p>
    <w:p>
      <w:pPr>
        <w:pStyle w:val="FirstParagraph"/>
      </w:pPr>
      <w:r>
        <w:t xml:space="preserve">The system shall support self-assessment, external assessment, reviewer assignment, comments, recommendations, close assessment, and locked reports.</w:t>
      </w:r>
    </w:p>
    <w:bookmarkEnd w:id="199"/>
    <w:bookmarkStart w:id="200" w:name="fr-040-sponsorcro-diligence-packet"/>
    <w:p>
      <w:pPr>
        <w:pStyle w:val="Heading3"/>
      </w:pPr>
      <w:r>
        <w:t xml:space="preserve">FR-040: Sponsor/CRO diligence packet</w:t>
      </w:r>
    </w:p>
    <w:p>
      <w:pPr>
        <w:pStyle w:val="FirstParagraph"/>
      </w:pPr>
      <w:r>
        <w:t xml:space="preserve">The system shall generate controlled diligence packets with configurable audience access and disclosure logging.</w:t>
      </w:r>
    </w:p>
    <w:bookmarkEnd w:id="200"/>
    <w:bookmarkStart w:id="201" w:name="fr-041-export-controls"/>
    <w:p>
      <w:pPr>
        <w:pStyle w:val="Heading3"/>
      </w:pPr>
      <w:r>
        <w:t xml:space="preserve">FR-041: Export controls</w:t>
      </w:r>
    </w:p>
    <w:p>
      <w:pPr>
        <w:pStyle w:val="FirstParagraph"/>
      </w:pPr>
      <w:r>
        <w:t xml:space="preserve">The system shall enforce privacy, confidentiality, and access rules during exports.</w:t>
      </w:r>
    </w:p>
    <w:bookmarkEnd w:id="201"/>
    <w:bookmarkStart w:id="202" w:name="fr-042-exochain-anchoring"/>
    <w:p>
      <w:pPr>
        <w:pStyle w:val="Heading3"/>
      </w:pPr>
      <w:r>
        <w:t xml:space="preserve">FR-042: Exochain anchoring</w:t>
      </w:r>
    </w:p>
    <w:p>
      <w:pPr>
        <w:pStyle w:val="FirstParagraph"/>
      </w:pPr>
      <w:r>
        <w:t xml:space="preserve">The system shall generate evidence receipts, decision receipts, consent receipts, authority receipts, and audit anchors.</w:t>
      </w:r>
    </w:p>
    <w:bookmarkEnd w:id="202"/>
    <w:bookmarkStart w:id="203" w:name="fr-043-audit-logs"/>
    <w:p>
      <w:pPr>
        <w:pStyle w:val="Heading3"/>
      </w:pPr>
      <w:r>
        <w:t xml:space="preserve">FR-043: Audit logs</w:t>
      </w:r>
    </w:p>
    <w:p>
      <w:pPr>
        <w:pStyle w:val="FirstParagraph"/>
      </w:pPr>
      <w:r>
        <w:t xml:space="preserve">The system shall maintain immutable, append-only, tamper-evident audit logs.</w:t>
      </w:r>
    </w:p>
    <w:bookmarkEnd w:id="203"/>
    <w:bookmarkStart w:id="204" w:name="fr-044-chain-of-custody"/>
    <w:p>
      <w:pPr>
        <w:pStyle w:val="Heading3"/>
      </w:pPr>
      <w:r>
        <w:t xml:space="preserve">FR-044: Chain-of-custody</w:t>
      </w:r>
    </w:p>
    <w:p>
      <w:pPr>
        <w:pStyle w:val="FirstParagraph"/>
      </w:pPr>
      <w:r>
        <w:t xml:space="preserve">The system shall track custody transfers for evidence.</w:t>
      </w:r>
    </w:p>
    <w:bookmarkEnd w:id="204"/>
    <w:bookmarkStart w:id="205" w:name="fr-045-notifications-and-alerts"/>
    <w:p>
      <w:pPr>
        <w:pStyle w:val="Heading3"/>
      </w:pPr>
      <w:r>
        <w:t xml:space="preserve">FR-045: Notifications and alerts</w:t>
      </w:r>
    </w:p>
    <w:p>
      <w:pPr>
        <w:pStyle w:val="FirstParagraph"/>
      </w:pPr>
      <w:r>
        <w:t xml:space="preserve">The system shall notify users of assignments, due dates, expirations, critical risks, findings, decisions, approvals, and escalations.</w:t>
      </w:r>
    </w:p>
    <w:bookmarkEnd w:id="205"/>
    <w:bookmarkStart w:id="206" w:name="fr-046-search-and-retrieval"/>
    <w:p>
      <w:pPr>
        <w:pStyle w:val="Heading3"/>
      </w:pPr>
      <w:r>
        <w:t xml:space="preserve">FR-046: Search and retrieval</w:t>
      </w:r>
    </w:p>
    <w:p>
      <w:pPr>
        <w:pStyle w:val="FirstParagraph"/>
      </w:pPr>
      <w:r>
        <w:t xml:space="preserve">The system shall support advanced search across controls, evidence, documents, risks, CAPAs, decisions, audits, and sites subject to access restrictions.</w:t>
      </w:r>
    </w:p>
    <w:bookmarkEnd w:id="206"/>
    <w:bookmarkStart w:id="207" w:name="fr-047-dashboards"/>
    <w:p>
      <w:pPr>
        <w:pStyle w:val="Heading3"/>
      </w:pPr>
      <w:r>
        <w:t xml:space="preserve">FR-047: Dashboards</w:t>
      </w:r>
    </w:p>
    <w:p>
      <w:pPr>
        <w:pStyle w:val="FirstParagraph"/>
      </w:pPr>
      <w:r>
        <w:t xml:space="preserve">The system shall provide dashboards for site leaders, quality managers, CRO portfolio managers, sponsor viewers, investigators, coordinators, and auditors.</w:t>
      </w:r>
    </w:p>
    <w:bookmarkEnd w:id="207"/>
    <w:bookmarkStart w:id="208" w:name="fr-048-integrations"/>
    <w:p>
      <w:pPr>
        <w:pStyle w:val="Heading3"/>
      </w:pPr>
      <w:r>
        <w:t xml:space="preserve">FR-048: Integrations</w:t>
      </w:r>
    </w:p>
    <w:p>
      <w:pPr>
        <w:pStyle w:val="FirstParagraph"/>
      </w:pPr>
      <w:r>
        <w:t xml:space="preserve">The system shall support integrations with identity providers, CTMS, eTMF, EDC, eConsent, LMS, HRIS, QMS, document systems, IRB systems, sponsor portals, and data warehouses.</w:t>
      </w:r>
    </w:p>
    <w:bookmarkEnd w:id="208"/>
    <w:bookmarkStart w:id="209" w:name="fr-049-api-access"/>
    <w:p>
      <w:pPr>
        <w:pStyle w:val="Heading3"/>
      </w:pPr>
      <w:r>
        <w:t xml:space="preserve">FR-049: API access</w:t>
      </w:r>
    </w:p>
    <w:p>
      <w:pPr>
        <w:pStyle w:val="FirstParagraph"/>
      </w:pPr>
      <w:r>
        <w:t xml:space="preserve">The system shall expose governed APIs for authorized integration and reporting.</w:t>
      </w:r>
    </w:p>
    <w:bookmarkEnd w:id="209"/>
    <w:bookmarkStart w:id="210" w:name="fr-050-reporting"/>
    <w:p>
      <w:pPr>
        <w:pStyle w:val="Heading3"/>
      </w:pPr>
      <w:r>
        <w:t xml:space="preserve">FR-050: Reporting</w:t>
      </w:r>
    </w:p>
    <w:p>
      <w:pPr>
        <w:pStyle w:val="FirstParagraph"/>
      </w:pPr>
      <w:r>
        <w:t xml:space="preserve">The system shall support standard and custom reports for QMS status, site readiness, training, deviations, CAPA, risk, audit, consent readiness, equipment, product accountability, and sponsor diligence.</w:t>
      </w:r>
    </w:p>
    <w:bookmarkEnd w:id="210"/>
    <w:bookmarkEnd w:id="211"/>
    <w:bookmarkStart w:id="226" w:name="nonfunctional-requirements"/>
    <w:p>
      <w:pPr>
        <w:pStyle w:val="Heading2"/>
      </w:pPr>
      <w:r>
        <w:t xml:space="preserve">Nonfunctional requirements</w:t>
      </w:r>
    </w:p>
    <w:bookmarkStart w:id="212" w:name="nfr-001-security"/>
    <w:p>
      <w:pPr>
        <w:pStyle w:val="Heading3"/>
      </w:pPr>
      <w:r>
        <w:t xml:space="preserve">NFR-001: Security</w:t>
      </w:r>
    </w:p>
    <w:p>
      <w:pPr>
        <w:pStyle w:val="FirstParagraph"/>
      </w:pPr>
      <w:r>
        <w:t xml:space="preserve">The system shall implement encryption in transit, encryption at rest, secrets management, role-based access control, attribute-based access control, least privilege, multi-factor authentication support, identity provider integration, session controls, audit logging, and security monitoring.</w:t>
      </w:r>
    </w:p>
    <w:bookmarkEnd w:id="212"/>
    <w:bookmarkStart w:id="213" w:name="nfr-002-privacy"/>
    <w:p>
      <w:pPr>
        <w:pStyle w:val="Heading3"/>
      </w:pPr>
      <w:r>
        <w:t xml:space="preserve">NFR-002: Privacy</w:t>
      </w:r>
    </w:p>
    <w:p>
      <w:pPr>
        <w:pStyle w:val="FirstParagraph"/>
      </w:pPr>
      <w:r>
        <w:t xml:space="preserve">The system shall support HIPAA, GDPR, and other applicable privacy configurations, including data minimization, access restrictions, consent tracking, retention, disclosure logging, and protected data classification.</w:t>
      </w:r>
    </w:p>
    <w:bookmarkEnd w:id="213"/>
    <w:bookmarkStart w:id="214" w:name="nfr-003-availability"/>
    <w:p>
      <w:pPr>
        <w:pStyle w:val="Heading3"/>
      </w:pPr>
      <w:r>
        <w:t xml:space="preserve">NFR-003: Availability</w:t>
      </w:r>
    </w:p>
    <w:p>
      <w:pPr>
        <w:pStyle w:val="FirstParagraph"/>
      </w:pPr>
      <w:r>
        <w:t xml:space="preserve">The system shall support high availability appropriate for clinical operations, with monitored uptime, backups, recovery procedures, and disaster recovery plans.</w:t>
      </w:r>
    </w:p>
    <w:bookmarkEnd w:id="214"/>
    <w:bookmarkStart w:id="215" w:name="nfr-004-data-integrity"/>
    <w:p>
      <w:pPr>
        <w:pStyle w:val="Heading3"/>
      </w:pPr>
      <w:r>
        <w:t xml:space="preserve">NFR-004: Data integrity</w:t>
      </w:r>
    </w:p>
    <w:p>
      <w:pPr>
        <w:pStyle w:val="FirstParagraph"/>
      </w:pPr>
      <w:r>
        <w:t xml:space="preserve">The system shall preserve attributable, legible, contemporaneous, original, accurate, and complete records.</w:t>
      </w:r>
    </w:p>
    <w:bookmarkEnd w:id="215"/>
    <w:bookmarkStart w:id="216" w:name="nfr-005-auditability"/>
    <w:p>
      <w:pPr>
        <w:pStyle w:val="Heading3"/>
      </w:pPr>
      <w:r>
        <w:t xml:space="preserve">NFR-005: Auditability</w:t>
      </w:r>
    </w:p>
    <w:p>
      <w:pPr>
        <w:pStyle w:val="FirstParagraph"/>
      </w:pPr>
      <w:r>
        <w:t xml:space="preserve">The system shall provide complete audit trails for authentication, access, evidence, decisions, approvals, document changes, exports, delegations, and privileged actions.</w:t>
      </w:r>
    </w:p>
    <w:bookmarkEnd w:id="216"/>
    <w:bookmarkStart w:id="217" w:name="nfr-006-tamper-evidence"/>
    <w:p>
      <w:pPr>
        <w:pStyle w:val="Heading3"/>
      </w:pPr>
      <w:r>
        <w:t xml:space="preserve">NFR-006: Tamper evidence</w:t>
      </w:r>
    </w:p>
    <w:p>
      <w:pPr>
        <w:pStyle w:val="FirstParagraph"/>
      </w:pPr>
      <w:r>
        <w:t xml:space="preserve">The system shall provide tamper-evident receipts and hash-chained records for critical governance and evidence actions.</w:t>
      </w:r>
    </w:p>
    <w:bookmarkEnd w:id="217"/>
    <w:bookmarkStart w:id="218" w:name="nfr-007-interoperability"/>
    <w:p>
      <w:pPr>
        <w:pStyle w:val="Heading3"/>
      </w:pPr>
      <w:r>
        <w:t xml:space="preserve">NFR-007: Interoperability</w:t>
      </w:r>
    </w:p>
    <w:p>
      <w:pPr>
        <w:pStyle w:val="FirstParagraph"/>
      </w:pPr>
      <w:r>
        <w:t xml:space="preserve">The system shall provide APIs, webhooks, import/export formats, and connectors to common clinical research systems.</w:t>
      </w:r>
    </w:p>
    <w:bookmarkEnd w:id="218"/>
    <w:bookmarkStart w:id="219" w:name="nfr-008-configurability"/>
    <w:p>
      <w:pPr>
        <w:pStyle w:val="Heading3"/>
      </w:pPr>
      <w:r>
        <w:t xml:space="preserve">NFR-008: Configurability</w:t>
      </w:r>
    </w:p>
    <w:p>
      <w:pPr>
        <w:pStyle w:val="FirstParagraph"/>
      </w:pPr>
      <w:r>
        <w:t xml:space="preserve">The system shall allow tenant-specific control sets, workflows, roles, SOP mappings, evidence requirements, review frequencies, and reporting templates.</w:t>
      </w:r>
    </w:p>
    <w:bookmarkEnd w:id="219"/>
    <w:bookmarkStart w:id="220" w:name="nfr-009-scalability"/>
    <w:p>
      <w:pPr>
        <w:pStyle w:val="Heading3"/>
      </w:pPr>
      <w:r>
        <w:t xml:space="preserve">NFR-009: Scalability</w:t>
      </w:r>
    </w:p>
    <w:p>
      <w:pPr>
        <w:pStyle w:val="FirstParagraph"/>
      </w:pPr>
      <w:r>
        <w:t xml:space="preserve">The system shall scale across sites, networks, CRO portfolios, sponsors, studies, evidence volumes, and decision records.</w:t>
      </w:r>
    </w:p>
    <w:bookmarkEnd w:id="220"/>
    <w:bookmarkStart w:id="221" w:name="nfr-010-usability"/>
    <w:p>
      <w:pPr>
        <w:pStyle w:val="Heading3"/>
      </w:pPr>
      <w:r>
        <w:t xml:space="preserve">NFR-010: Usability</w:t>
      </w:r>
    </w:p>
    <w:p>
      <w:pPr>
        <w:pStyle w:val="FirstParagraph"/>
      </w:pPr>
      <w:r>
        <w:t xml:space="preserve">The system shall provide role-specific views, guided workflows, clear status indicators, evidence checklists, plain-language explanations, and accessible design.</w:t>
      </w:r>
    </w:p>
    <w:bookmarkEnd w:id="221"/>
    <w:bookmarkStart w:id="222" w:name="nfr-011-explainability"/>
    <w:p>
      <w:pPr>
        <w:pStyle w:val="Heading3"/>
      </w:pPr>
      <w:r>
        <w:t xml:space="preserve">NFR-011: Explainability</w:t>
      </w:r>
    </w:p>
    <w:p>
      <w:pPr>
        <w:pStyle w:val="FirstParagraph"/>
      </w:pPr>
      <w:r>
        <w:t xml:space="preserve">AI outputs shall include evidence references, reasoning summaries, confidence, limitations, unresolved assumptions, and recommended human reviewers.</w:t>
      </w:r>
    </w:p>
    <w:bookmarkEnd w:id="222"/>
    <w:bookmarkStart w:id="223" w:name="nfr-012-reliability"/>
    <w:p>
      <w:pPr>
        <w:pStyle w:val="Heading3"/>
      </w:pPr>
      <w:r>
        <w:t xml:space="preserve">NFR-012: Reliability</w:t>
      </w:r>
    </w:p>
    <w:p>
      <w:pPr>
        <w:pStyle w:val="FirstParagraph"/>
      </w:pPr>
      <w:r>
        <w:t xml:space="preserve">The system shall be resilient to partial failures, integration failures, interrupted uploads, duplicate submissions, and retry scenarios.</w:t>
      </w:r>
    </w:p>
    <w:bookmarkEnd w:id="223"/>
    <w:bookmarkStart w:id="224" w:name="nfr-013-data-portability"/>
    <w:p>
      <w:pPr>
        <w:pStyle w:val="Heading3"/>
      </w:pPr>
      <w:r>
        <w:t xml:space="preserve">NFR-013: Data portability</w:t>
      </w:r>
    </w:p>
    <w:p>
      <w:pPr>
        <w:pStyle w:val="FirstParagraph"/>
      </w:pPr>
      <w:r>
        <w:t xml:space="preserve">The system shall support structured export of site data, evidence indexes, audit records, and diligence packets subject to access policy.</w:t>
      </w:r>
    </w:p>
    <w:bookmarkEnd w:id="224"/>
    <w:bookmarkStart w:id="225" w:name="nfr-014-legal-defensibility"/>
    <w:p>
      <w:pPr>
        <w:pStyle w:val="Heading3"/>
      </w:pPr>
      <w:r>
        <w:t xml:space="preserve">NFR-014: Legal defensibility</w:t>
      </w:r>
    </w:p>
    <w:p>
      <w:pPr>
        <w:pStyle w:val="FirstParagraph"/>
      </w:pPr>
      <w:r>
        <w:t xml:space="preserve">The system shall preserve evidence provenance, custody, timestamps, access logs, decision rationale, and version history in a manner designed to support audit, inspection, dispute resolution, and diligence.</w:t>
      </w:r>
    </w:p>
    <w:bookmarkEnd w:id="225"/>
    <w:bookmarkEnd w:id="226"/>
    <w:bookmarkStart w:id="227" w:name="ai-governance-requirements"/>
    <w:p>
      <w:pPr>
        <w:pStyle w:val="Heading2"/>
      </w:pPr>
      <w:r>
        <w:t xml:space="preserve">AI governance requirements</w:t>
      </w:r>
    </w:p>
    <w:p>
      <w:pPr>
        <w:pStyle w:val="Compact"/>
        <w:numPr>
          <w:ilvl w:val="0"/>
          <w:numId w:val="1065"/>
        </w:numPr>
      </w:pPr>
      <w:r>
        <w:t xml:space="preserve">AI shall not make final regulated, ethical, clinical, or enrollment-authorizing decisions.</w:t>
      </w:r>
    </w:p>
    <w:p>
      <w:pPr>
        <w:pStyle w:val="Compact"/>
        <w:numPr>
          <w:ilvl w:val="0"/>
          <w:numId w:val="1065"/>
        </w:numPr>
      </w:pPr>
      <w:r>
        <w:t xml:space="preserve">AI shall operate under explicit scope and permissions.</w:t>
      </w:r>
    </w:p>
    <w:p>
      <w:pPr>
        <w:pStyle w:val="Compact"/>
        <w:numPr>
          <w:ilvl w:val="0"/>
          <w:numId w:val="1065"/>
        </w:numPr>
      </w:pPr>
      <w:r>
        <w:t xml:space="preserve">AI shall identify the evidence used in its analysis.</w:t>
      </w:r>
    </w:p>
    <w:p>
      <w:pPr>
        <w:pStyle w:val="Compact"/>
        <w:numPr>
          <w:ilvl w:val="0"/>
          <w:numId w:val="1065"/>
        </w:numPr>
      </w:pPr>
      <w:r>
        <w:t xml:space="preserve">AI shall state confidence and limitations.</w:t>
      </w:r>
    </w:p>
    <w:p>
      <w:pPr>
        <w:pStyle w:val="Compact"/>
        <w:numPr>
          <w:ilvl w:val="0"/>
          <w:numId w:val="1065"/>
        </w:numPr>
      </w:pPr>
      <w:r>
        <w:t xml:space="preserve">AI shall flag missing evidence.</w:t>
      </w:r>
    </w:p>
    <w:p>
      <w:pPr>
        <w:pStyle w:val="Compact"/>
        <w:numPr>
          <w:ilvl w:val="0"/>
          <w:numId w:val="1065"/>
        </w:numPr>
      </w:pPr>
      <w:r>
        <w:t xml:space="preserve">AI shall flag contradictions.</w:t>
      </w:r>
    </w:p>
    <w:p>
      <w:pPr>
        <w:pStyle w:val="Compact"/>
        <w:numPr>
          <w:ilvl w:val="0"/>
          <w:numId w:val="1065"/>
        </w:numPr>
      </w:pPr>
      <w:r>
        <w:t xml:space="preserve">AI shall flag possible participant safety risks.</w:t>
      </w:r>
    </w:p>
    <w:p>
      <w:pPr>
        <w:pStyle w:val="Compact"/>
        <w:numPr>
          <w:ilvl w:val="0"/>
          <w:numId w:val="1065"/>
        </w:numPr>
      </w:pPr>
      <w:r>
        <w:t xml:space="preserve">AI shall flag data integrity risks.</w:t>
      </w:r>
    </w:p>
    <w:p>
      <w:pPr>
        <w:pStyle w:val="Compact"/>
        <w:numPr>
          <w:ilvl w:val="0"/>
          <w:numId w:val="1065"/>
        </w:numPr>
      </w:pPr>
      <w:r>
        <w:t xml:space="preserve">AI shall flag privacy risks.</w:t>
      </w:r>
    </w:p>
    <w:p>
      <w:pPr>
        <w:pStyle w:val="Compact"/>
        <w:numPr>
          <w:ilvl w:val="0"/>
          <w:numId w:val="1065"/>
        </w:numPr>
      </w:pPr>
      <w:r>
        <w:t xml:space="preserve">AI shall flag conflicts or recusal issues where apparent.</w:t>
      </w:r>
    </w:p>
    <w:p>
      <w:pPr>
        <w:pStyle w:val="Compact"/>
        <w:numPr>
          <w:ilvl w:val="0"/>
          <w:numId w:val="1065"/>
        </w:numPr>
      </w:pPr>
      <w:r>
        <w:t xml:space="preserve">AI shall not access data outside its authorization scope.</w:t>
      </w:r>
    </w:p>
    <w:p>
      <w:pPr>
        <w:pStyle w:val="Compact"/>
        <w:numPr>
          <w:ilvl w:val="0"/>
          <w:numId w:val="1065"/>
        </w:numPr>
      </w:pPr>
      <w:r>
        <w:t xml:space="preserve">AI shall not export protected content without human authorization.</w:t>
      </w:r>
    </w:p>
    <w:p>
      <w:pPr>
        <w:pStyle w:val="Compact"/>
        <w:numPr>
          <w:ilvl w:val="0"/>
          <w:numId w:val="1065"/>
        </w:numPr>
      </w:pPr>
      <w:r>
        <w:t xml:space="preserve">AI reviews shall be logged.</w:t>
      </w:r>
    </w:p>
    <w:p>
      <w:pPr>
        <w:pStyle w:val="Compact"/>
        <w:numPr>
          <w:ilvl w:val="0"/>
          <w:numId w:val="1065"/>
        </w:numPr>
      </w:pPr>
      <w:r>
        <w:t xml:space="preserve">AI prompts and outputs for material decisions shall be retained as evidence.</w:t>
      </w:r>
    </w:p>
    <w:p>
      <w:pPr>
        <w:pStyle w:val="Compact"/>
        <w:numPr>
          <w:ilvl w:val="0"/>
          <w:numId w:val="1065"/>
        </w:numPr>
      </w:pPr>
      <w:r>
        <w:t xml:space="preserve">AI model/version shall be recorded where applicable.</w:t>
      </w:r>
    </w:p>
    <w:p>
      <w:pPr>
        <w:pStyle w:val="Compact"/>
        <w:numPr>
          <w:ilvl w:val="0"/>
          <w:numId w:val="1065"/>
        </w:numPr>
      </w:pPr>
      <w:r>
        <w:t xml:space="preserve">AI recommendations shall be contestable.</w:t>
      </w:r>
    </w:p>
    <w:p>
      <w:pPr>
        <w:pStyle w:val="Compact"/>
        <w:numPr>
          <w:ilvl w:val="0"/>
          <w:numId w:val="1065"/>
        </w:numPr>
      </w:pPr>
      <w:r>
        <w:t xml:space="preserve">AI-generated summaries shall be marked as AI-generated.</w:t>
      </w:r>
    </w:p>
    <w:p>
      <w:pPr>
        <w:pStyle w:val="Compact"/>
        <w:numPr>
          <w:ilvl w:val="0"/>
          <w:numId w:val="1065"/>
        </w:numPr>
      </w:pPr>
      <w:r>
        <w:t xml:space="preserve">AI shall not silently overwrite human-entered evidence.</w:t>
      </w:r>
    </w:p>
    <w:p>
      <w:pPr>
        <w:pStyle w:val="Compact"/>
        <w:numPr>
          <w:ilvl w:val="0"/>
          <w:numId w:val="1065"/>
        </w:numPr>
      </w:pPr>
      <w:r>
        <w:t xml:space="preserve">AI shall preserve source references.</w:t>
      </w:r>
    </w:p>
    <w:p>
      <w:pPr>
        <w:pStyle w:val="Compact"/>
        <w:numPr>
          <w:ilvl w:val="0"/>
          <w:numId w:val="1065"/>
        </w:numPr>
      </w:pPr>
      <w:r>
        <w:t xml:space="preserve">AI use shall be governed by tenant policy.</w:t>
      </w:r>
    </w:p>
    <w:bookmarkEnd w:id="227"/>
    <w:bookmarkStart w:id="228" w:name="exochain-specific-requirements"/>
    <w:p>
      <w:pPr>
        <w:pStyle w:val="Heading2"/>
      </w:pPr>
      <w:r>
        <w:t xml:space="preserve">Exochain-specific requirements</w:t>
      </w:r>
    </w:p>
    <w:p>
      <w:pPr>
        <w:pStyle w:val="FirstParagraph"/>
      </w:pPr>
      <w:r>
        <w:t xml:space="preserve">CyberMedica shall use Exochain primitives to provide identity, authority, consent, evidence, legal provenance, governance, and audit guarantees.</w:t>
      </w:r>
    </w:p>
    <w:p>
      <w:pPr>
        <w:pStyle w:val="BodyText"/>
      </w:pPr>
      <w:r>
        <w:t xml:space="preserve">Required Exochain capabilities include:</w:t>
      </w:r>
    </w:p>
    <w:p>
      <w:pPr>
        <w:pStyle w:val="Compact"/>
        <w:numPr>
          <w:ilvl w:val="0"/>
          <w:numId w:val="1066"/>
        </w:numPr>
      </w:pPr>
      <w:r>
        <w:t xml:space="preserve">Decentralized or verifiable identity linkage for authorized actors.</w:t>
      </w:r>
    </w:p>
    <w:p>
      <w:pPr>
        <w:pStyle w:val="Compact"/>
        <w:numPr>
          <w:ilvl w:val="0"/>
          <w:numId w:val="1066"/>
        </w:numPr>
      </w:pPr>
      <w:r>
        <w:t xml:space="preserve">Authority chain verification.</w:t>
      </w:r>
    </w:p>
    <w:p>
      <w:pPr>
        <w:pStyle w:val="Compact"/>
        <w:numPr>
          <w:ilvl w:val="0"/>
          <w:numId w:val="1066"/>
        </w:numPr>
      </w:pPr>
      <w:r>
        <w:t xml:space="preserve">Delegation scope validation.</w:t>
      </w:r>
    </w:p>
    <w:p>
      <w:pPr>
        <w:pStyle w:val="Compact"/>
        <w:numPr>
          <w:ilvl w:val="0"/>
          <w:numId w:val="1066"/>
        </w:numPr>
      </w:pPr>
      <w:r>
        <w:t xml:space="preserve">Consent/bailment policy enforcement.</w:t>
      </w:r>
    </w:p>
    <w:p>
      <w:pPr>
        <w:pStyle w:val="Compact"/>
        <w:numPr>
          <w:ilvl w:val="0"/>
          <w:numId w:val="1066"/>
        </w:numPr>
      </w:pPr>
      <w:r>
        <w:t xml:space="preserve">Default-deny access decisions for protected actions.</w:t>
      </w:r>
    </w:p>
    <w:p>
      <w:pPr>
        <w:pStyle w:val="Compact"/>
        <w:numPr>
          <w:ilvl w:val="0"/>
          <w:numId w:val="1066"/>
        </w:numPr>
      </w:pPr>
      <w:r>
        <w:t xml:space="preserve">Tamper-evident evidence hashing.</w:t>
      </w:r>
    </w:p>
    <w:p>
      <w:pPr>
        <w:pStyle w:val="Compact"/>
        <w:numPr>
          <w:ilvl w:val="0"/>
          <w:numId w:val="1066"/>
        </w:numPr>
      </w:pPr>
      <w:r>
        <w:t xml:space="preserve">Chain-of-custody records.</w:t>
      </w:r>
    </w:p>
    <w:p>
      <w:pPr>
        <w:pStyle w:val="Compact"/>
        <w:numPr>
          <w:ilvl w:val="0"/>
          <w:numId w:val="1066"/>
        </w:numPr>
      </w:pPr>
      <w:r>
        <w:t xml:space="preserve">Hash-chained governance audit logs.</w:t>
      </w:r>
    </w:p>
    <w:p>
      <w:pPr>
        <w:pStyle w:val="Compact"/>
        <w:numPr>
          <w:ilvl w:val="0"/>
          <w:numId w:val="1066"/>
        </w:numPr>
      </w:pPr>
      <w:r>
        <w:t xml:space="preserve">Decision receipts.</w:t>
      </w:r>
    </w:p>
    <w:p>
      <w:pPr>
        <w:pStyle w:val="Compact"/>
        <w:numPr>
          <w:ilvl w:val="0"/>
          <w:numId w:val="1066"/>
        </w:numPr>
      </w:pPr>
      <w:r>
        <w:t xml:space="preserve">Evidence receipts.</w:t>
      </w:r>
    </w:p>
    <w:p>
      <w:pPr>
        <w:pStyle w:val="Compact"/>
        <w:numPr>
          <w:ilvl w:val="0"/>
          <w:numId w:val="1066"/>
        </w:numPr>
      </w:pPr>
      <w:r>
        <w:t xml:space="preserve">Consent receipts.</w:t>
      </w:r>
    </w:p>
    <w:p>
      <w:pPr>
        <w:pStyle w:val="Compact"/>
        <w:numPr>
          <w:ilvl w:val="0"/>
          <w:numId w:val="1066"/>
        </w:numPr>
      </w:pPr>
      <w:r>
        <w:t xml:space="preserve">Revocation logs.</w:t>
      </w:r>
    </w:p>
    <w:p>
      <w:pPr>
        <w:pStyle w:val="Compact"/>
        <w:numPr>
          <w:ilvl w:val="0"/>
          <w:numId w:val="1066"/>
        </w:numPr>
      </w:pPr>
      <w:r>
        <w:t xml:space="preserve">Records retention metadata.</w:t>
      </w:r>
    </w:p>
    <w:p>
      <w:pPr>
        <w:pStyle w:val="Compact"/>
        <w:numPr>
          <w:ilvl w:val="0"/>
          <w:numId w:val="1066"/>
        </w:numPr>
      </w:pPr>
      <w:r>
        <w:t xml:space="preserve">Conflict disclosure evidence.</w:t>
      </w:r>
    </w:p>
    <w:p>
      <w:pPr>
        <w:pStyle w:val="Compact"/>
        <w:numPr>
          <w:ilvl w:val="0"/>
          <w:numId w:val="1066"/>
        </w:numPr>
      </w:pPr>
      <w:r>
        <w:t xml:space="preserve">Human oversight gate receipts.</w:t>
      </w:r>
    </w:p>
    <w:p>
      <w:pPr>
        <w:pStyle w:val="Compact"/>
        <w:numPr>
          <w:ilvl w:val="0"/>
          <w:numId w:val="1066"/>
        </w:numPr>
      </w:pPr>
      <w:r>
        <w:t xml:space="preserve">Contestation/reversal records.</w:t>
      </w:r>
    </w:p>
    <w:p>
      <w:pPr>
        <w:pStyle w:val="Compact"/>
        <w:numPr>
          <w:ilvl w:val="0"/>
          <w:numId w:val="1066"/>
        </w:numPr>
      </w:pPr>
      <w:r>
        <w:t xml:space="preserve">Emergency action records.</w:t>
      </w:r>
    </w:p>
    <w:p>
      <w:pPr>
        <w:pStyle w:val="Compact"/>
        <w:numPr>
          <w:ilvl w:val="0"/>
          <w:numId w:val="1066"/>
        </w:numPr>
      </w:pPr>
      <w:r>
        <w:t xml:space="preserve">Tenant isolation.</w:t>
      </w:r>
    </w:p>
    <w:p>
      <w:pPr>
        <w:pStyle w:val="Compact"/>
        <w:numPr>
          <w:ilvl w:val="0"/>
          <w:numId w:val="1066"/>
        </w:numPr>
      </w:pPr>
      <w:r>
        <w:t xml:space="preserve">Privacy-preserving anchors.</w:t>
      </w:r>
    </w:p>
    <w:p>
      <w:pPr>
        <w:pStyle w:val="Compact"/>
        <w:numPr>
          <w:ilvl w:val="0"/>
          <w:numId w:val="1066"/>
        </w:numPr>
      </w:pPr>
      <w:r>
        <w:t xml:space="preserve">Sponsor/CRO export receipts.</w:t>
      </w:r>
    </w:p>
    <w:bookmarkEnd w:id="228"/>
    <w:bookmarkStart w:id="236" w:name="reporting-and-dashboards"/>
    <w:p>
      <w:pPr>
        <w:pStyle w:val="Heading2"/>
      </w:pPr>
      <w:r>
        <w:t xml:space="preserve">Reporting and dashboards</w:t>
      </w:r>
    </w:p>
    <w:bookmarkStart w:id="229" w:name="site-leader-dashboard"/>
    <w:p>
      <w:pPr>
        <w:pStyle w:val="Heading3"/>
      </w:pPr>
      <w:r>
        <w:t xml:space="preserve">Site Leader Dashboard</w:t>
      </w:r>
    </w:p>
    <w:p>
      <w:pPr>
        <w:pStyle w:val="FirstParagraph"/>
      </w:pPr>
      <w:r>
        <w:t xml:space="preserve">Must show:</w:t>
      </w:r>
    </w:p>
    <w:p>
      <w:pPr>
        <w:pStyle w:val="Compact"/>
        <w:numPr>
          <w:ilvl w:val="0"/>
          <w:numId w:val="1067"/>
        </w:numPr>
      </w:pPr>
      <w:r>
        <w:t xml:space="preserve">Site QMS Passport status.</w:t>
      </w:r>
    </w:p>
    <w:p>
      <w:pPr>
        <w:pStyle w:val="Compact"/>
        <w:numPr>
          <w:ilvl w:val="0"/>
          <w:numId w:val="1067"/>
        </w:numPr>
      </w:pPr>
      <w:r>
        <w:t xml:space="preserve">Critical gaps.</w:t>
      </w:r>
    </w:p>
    <w:p>
      <w:pPr>
        <w:pStyle w:val="Compact"/>
        <w:numPr>
          <w:ilvl w:val="0"/>
          <w:numId w:val="1067"/>
        </w:numPr>
      </w:pPr>
      <w:r>
        <w:t xml:space="preserve">Open risks.</w:t>
      </w:r>
    </w:p>
    <w:p>
      <w:pPr>
        <w:pStyle w:val="Compact"/>
        <w:numPr>
          <w:ilvl w:val="0"/>
          <w:numId w:val="1067"/>
        </w:numPr>
      </w:pPr>
      <w:r>
        <w:t xml:space="preserve">Open CAPAs.</w:t>
      </w:r>
    </w:p>
    <w:p>
      <w:pPr>
        <w:pStyle w:val="Compact"/>
        <w:numPr>
          <w:ilvl w:val="0"/>
          <w:numId w:val="1067"/>
        </w:numPr>
      </w:pPr>
      <w:r>
        <w:t xml:space="preserve">Training gaps.</w:t>
      </w:r>
    </w:p>
    <w:p>
      <w:pPr>
        <w:pStyle w:val="Compact"/>
        <w:numPr>
          <w:ilvl w:val="0"/>
          <w:numId w:val="1067"/>
        </w:numPr>
      </w:pPr>
      <w:r>
        <w:t xml:space="preserve">Upcoming reviews.</w:t>
      </w:r>
    </w:p>
    <w:p>
      <w:pPr>
        <w:pStyle w:val="Compact"/>
        <w:numPr>
          <w:ilvl w:val="0"/>
          <w:numId w:val="1067"/>
        </w:numPr>
      </w:pPr>
      <w:r>
        <w:t xml:space="preserve">Audit status.</w:t>
      </w:r>
    </w:p>
    <w:p>
      <w:pPr>
        <w:pStyle w:val="Compact"/>
        <w:numPr>
          <w:ilvl w:val="0"/>
          <w:numId w:val="1067"/>
        </w:numPr>
      </w:pPr>
      <w:r>
        <w:t xml:space="preserve">Protocol startup status.</w:t>
      </w:r>
    </w:p>
    <w:p>
      <w:pPr>
        <w:pStyle w:val="Compact"/>
        <w:numPr>
          <w:ilvl w:val="0"/>
          <w:numId w:val="1067"/>
        </w:numPr>
      </w:pPr>
      <w:r>
        <w:t xml:space="preserve">Decision Forum matters.</w:t>
      </w:r>
    </w:p>
    <w:p>
      <w:pPr>
        <w:pStyle w:val="Compact"/>
        <w:numPr>
          <w:ilvl w:val="0"/>
          <w:numId w:val="1067"/>
        </w:numPr>
      </w:pPr>
      <w:r>
        <w:t xml:space="preserve">Sponsor/CRO requests.</w:t>
      </w:r>
    </w:p>
    <w:bookmarkEnd w:id="229"/>
    <w:bookmarkStart w:id="230" w:name="quality-manager-dashboard"/>
    <w:p>
      <w:pPr>
        <w:pStyle w:val="Heading3"/>
      </w:pPr>
      <w:r>
        <w:t xml:space="preserve">Quality Manager Dashboard</w:t>
      </w:r>
    </w:p>
    <w:p>
      <w:pPr>
        <w:pStyle w:val="FirstParagraph"/>
      </w:pPr>
      <w:r>
        <w:t xml:space="preserve">Must show:</w:t>
      </w:r>
    </w:p>
    <w:p>
      <w:pPr>
        <w:pStyle w:val="Compact"/>
        <w:numPr>
          <w:ilvl w:val="0"/>
          <w:numId w:val="1068"/>
        </w:numPr>
      </w:pPr>
      <w:r>
        <w:t xml:space="preserve">Control status.</w:t>
      </w:r>
    </w:p>
    <w:p>
      <w:pPr>
        <w:pStyle w:val="Compact"/>
        <w:numPr>
          <w:ilvl w:val="0"/>
          <w:numId w:val="1068"/>
        </w:numPr>
      </w:pPr>
      <w:r>
        <w:t xml:space="preserve">Evidence completeness.</w:t>
      </w:r>
    </w:p>
    <w:p>
      <w:pPr>
        <w:pStyle w:val="Compact"/>
        <w:numPr>
          <w:ilvl w:val="0"/>
          <w:numId w:val="1068"/>
        </w:numPr>
      </w:pPr>
      <w:r>
        <w:t xml:space="preserve">Evidence freshness.</w:t>
      </w:r>
    </w:p>
    <w:p>
      <w:pPr>
        <w:pStyle w:val="Compact"/>
        <w:numPr>
          <w:ilvl w:val="0"/>
          <w:numId w:val="1068"/>
        </w:numPr>
      </w:pPr>
      <w:r>
        <w:t xml:space="preserve">Findings by severity.</w:t>
      </w:r>
    </w:p>
    <w:p>
      <w:pPr>
        <w:pStyle w:val="Compact"/>
        <w:numPr>
          <w:ilvl w:val="0"/>
          <w:numId w:val="1068"/>
        </w:numPr>
      </w:pPr>
      <w:r>
        <w:t xml:space="preserve">CAPA aging.</w:t>
      </w:r>
    </w:p>
    <w:p>
      <w:pPr>
        <w:pStyle w:val="Compact"/>
        <w:numPr>
          <w:ilvl w:val="0"/>
          <w:numId w:val="1068"/>
        </w:numPr>
      </w:pPr>
      <w:r>
        <w:t xml:space="preserve">Deviation trends.</w:t>
      </w:r>
    </w:p>
    <w:p>
      <w:pPr>
        <w:pStyle w:val="Compact"/>
        <w:numPr>
          <w:ilvl w:val="0"/>
          <w:numId w:val="1068"/>
        </w:numPr>
      </w:pPr>
      <w:r>
        <w:t xml:space="preserve">Audit schedule.</w:t>
      </w:r>
    </w:p>
    <w:p>
      <w:pPr>
        <w:pStyle w:val="Compact"/>
        <w:numPr>
          <w:ilvl w:val="0"/>
          <w:numId w:val="1068"/>
        </w:numPr>
      </w:pPr>
      <w:r>
        <w:t xml:space="preserve">Risk register.</w:t>
      </w:r>
    </w:p>
    <w:p>
      <w:pPr>
        <w:pStyle w:val="Compact"/>
        <w:numPr>
          <w:ilvl w:val="0"/>
          <w:numId w:val="1068"/>
        </w:numPr>
      </w:pPr>
      <w:r>
        <w:t xml:space="preserve">Document review queue.</w:t>
      </w:r>
    </w:p>
    <w:p>
      <w:pPr>
        <w:pStyle w:val="Compact"/>
        <w:numPr>
          <w:ilvl w:val="0"/>
          <w:numId w:val="1068"/>
        </w:numPr>
      </w:pPr>
      <w:r>
        <w:t xml:space="preserve">Training gap trends.</w:t>
      </w:r>
    </w:p>
    <w:bookmarkEnd w:id="230"/>
    <w:bookmarkStart w:id="231" w:name="pi-dashboard"/>
    <w:p>
      <w:pPr>
        <w:pStyle w:val="Heading3"/>
      </w:pPr>
      <w:r>
        <w:t xml:space="preserve">PI Dashboard</w:t>
      </w:r>
    </w:p>
    <w:p>
      <w:pPr>
        <w:pStyle w:val="FirstParagraph"/>
      </w:pPr>
      <w:r>
        <w:t xml:space="preserve">Must show:</w:t>
      </w:r>
    </w:p>
    <w:p>
      <w:pPr>
        <w:pStyle w:val="Compact"/>
        <w:numPr>
          <w:ilvl w:val="0"/>
          <w:numId w:val="1069"/>
        </w:numPr>
      </w:pPr>
      <w:r>
        <w:t xml:space="preserve">Protocol readiness.</w:t>
      </w:r>
    </w:p>
    <w:p>
      <w:pPr>
        <w:pStyle w:val="Compact"/>
        <w:numPr>
          <w:ilvl w:val="0"/>
          <w:numId w:val="1069"/>
        </w:numPr>
      </w:pPr>
      <w:r>
        <w:t xml:space="preserve">Delegation log.</w:t>
      </w:r>
    </w:p>
    <w:p>
      <w:pPr>
        <w:pStyle w:val="Compact"/>
        <w:numPr>
          <w:ilvl w:val="0"/>
          <w:numId w:val="1069"/>
        </w:numPr>
      </w:pPr>
      <w:r>
        <w:t xml:space="preserve">Training completion.</w:t>
      </w:r>
    </w:p>
    <w:p>
      <w:pPr>
        <w:pStyle w:val="Compact"/>
        <w:numPr>
          <w:ilvl w:val="0"/>
          <w:numId w:val="1069"/>
        </w:numPr>
      </w:pPr>
      <w:r>
        <w:t xml:space="preserve">Consent form status.</w:t>
      </w:r>
    </w:p>
    <w:p>
      <w:pPr>
        <w:pStyle w:val="Compact"/>
        <w:numPr>
          <w:ilvl w:val="0"/>
          <w:numId w:val="1069"/>
        </w:numPr>
      </w:pPr>
      <w:r>
        <w:t xml:space="preserve">Active deviations.</w:t>
      </w:r>
    </w:p>
    <w:p>
      <w:pPr>
        <w:pStyle w:val="Compact"/>
        <w:numPr>
          <w:ilvl w:val="0"/>
          <w:numId w:val="1069"/>
        </w:numPr>
      </w:pPr>
      <w:r>
        <w:t xml:space="preserve">Safety events.</w:t>
      </w:r>
    </w:p>
    <w:p>
      <w:pPr>
        <w:pStyle w:val="Compact"/>
        <w:numPr>
          <w:ilvl w:val="0"/>
          <w:numId w:val="1069"/>
        </w:numPr>
      </w:pPr>
      <w:r>
        <w:t xml:space="preserve">Participant protection tasks.</w:t>
      </w:r>
    </w:p>
    <w:p>
      <w:pPr>
        <w:pStyle w:val="Compact"/>
        <w:numPr>
          <w:ilvl w:val="0"/>
          <w:numId w:val="1069"/>
        </w:numPr>
      </w:pPr>
      <w:r>
        <w:t xml:space="preserve">Launch/enrollment gate status.</w:t>
      </w:r>
    </w:p>
    <w:p>
      <w:pPr>
        <w:pStyle w:val="Compact"/>
        <w:numPr>
          <w:ilvl w:val="0"/>
          <w:numId w:val="1069"/>
        </w:numPr>
      </w:pPr>
      <w:r>
        <w:t xml:space="preserve">Required approvals.</w:t>
      </w:r>
    </w:p>
    <w:p>
      <w:pPr>
        <w:pStyle w:val="Compact"/>
        <w:numPr>
          <w:ilvl w:val="0"/>
          <w:numId w:val="1069"/>
        </w:numPr>
      </w:pPr>
      <w:r>
        <w:t xml:space="preserve">Study action items.</w:t>
      </w:r>
    </w:p>
    <w:bookmarkEnd w:id="231"/>
    <w:bookmarkStart w:id="232" w:name="coordinator-dashboard"/>
    <w:p>
      <w:pPr>
        <w:pStyle w:val="Heading3"/>
      </w:pPr>
      <w:r>
        <w:t xml:space="preserve">Coordinator Dashboard</w:t>
      </w:r>
    </w:p>
    <w:p>
      <w:pPr>
        <w:pStyle w:val="FirstParagraph"/>
      </w:pPr>
      <w:r>
        <w:t xml:space="preserve">Must show:</w:t>
      </w:r>
    </w:p>
    <w:p>
      <w:pPr>
        <w:pStyle w:val="Compact"/>
        <w:numPr>
          <w:ilvl w:val="0"/>
          <w:numId w:val="1070"/>
        </w:numPr>
      </w:pPr>
      <w:r>
        <w:t xml:space="preserve">Assigned tasks.</w:t>
      </w:r>
    </w:p>
    <w:p>
      <w:pPr>
        <w:pStyle w:val="Compact"/>
        <w:numPr>
          <w:ilvl w:val="0"/>
          <w:numId w:val="1070"/>
        </w:numPr>
      </w:pPr>
      <w:r>
        <w:t xml:space="preserve">Training requirements.</w:t>
      </w:r>
    </w:p>
    <w:p>
      <w:pPr>
        <w:pStyle w:val="Compact"/>
        <w:numPr>
          <w:ilvl w:val="0"/>
          <w:numId w:val="1070"/>
        </w:numPr>
      </w:pPr>
      <w:r>
        <w:t xml:space="preserve">Protocol procedures.</w:t>
      </w:r>
    </w:p>
    <w:p>
      <w:pPr>
        <w:pStyle w:val="Compact"/>
        <w:numPr>
          <w:ilvl w:val="0"/>
          <w:numId w:val="1070"/>
        </w:numPr>
      </w:pPr>
      <w:r>
        <w:t xml:space="preserve">Active consent version.</w:t>
      </w:r>
    </w:p>
    <w:p>
      <w:pPr>
        <w:pStyle w:val="Compact"/>
        <w:numPr>
          <w:ilvl w:val="0"/>
          <w:numId w:val="1070"/>
        </w:numPr>
      </w:pPr>
      <w:r>
        <w:t xml:space="preserve">Deviation reporting shortcut.</w:t>
      </w:r>
    </w:p>
    <w:p>
      <w:pPr>
        <w:pStyle w:val="Compact"/>
        <w:numPr>
          <w:ilvl w:val="0"/>
          <w:numId w:val="1070"/>
        </w:numPr>
      </w:pPr>
      <w:r>
        <w:t xml:space="preserve">Participant visit requirements.</w:t>
      </w:r>
    </w:p>
    <w:p>
      <w:pPr>
        <w:pStyle w:val="Compact"/>
        <w:numPr>
          <w:ilvl w:val="0"/>
          <w:numId w:val="1070"/>
        </w:numPr>
      </w:pPr>
      <w:r>
        <w:t xml:space="preserve">Document access.</w:t>
      </w:r>
    </w:p>
    <w:p>
      <w:pPr>
        <w:pStyle w:val="Compact"/>
        <w:numPr>
          <w:ilvl w:val="0"/>
          <w:numId w:val="1070"/>
        </w:numPr>
      </w:pPr>
      <w:r>
        <w:t xml:space="preserve">Upcoming due dates.</w:t>
      </w:r>
    </w:p>
    <w:p>
      <w:pPr>
        <w:pStyle w:val="Compact"/>
        <w:numPr>
          <w:ilvl w:val="0"/>
          <w:numId w:val="1070"/>
        </w:numPr>
      </w:pPr>
      <w:r>
        <w:t xml:space="preserve">Concern reporting.</w:t>
      </w:r>
    </w:p>
    <w:bookmarkEnd w:id="232"/>
    <w:bookmarkStart w:id="233" w:name="cro-portfolio-dashboard"/>
    <w:p>
      <w:pPr>
        <w:pStyle w:val="Heading3"/>
      </w:pPr>
      <w:r>
        <w:t xml:space="preserve">CRO Portfolio Dashboard</w:t>
      </w:r>
    </w:p>
    <w:p>
      <w:pPr>
        <w:pStyle w:val="FirstParagraph"/>
      </w:pPr>
      <w:r>
        <w:t xml:space="preserve">Must show:</w:t>
      </w:r>
    </w:p>
    <w:p>
      <w:pPr>
        <w:pStyle w:val="Compact"/>
        <w:numPr>
          <w:ilvl w:val="0"/>
          <w:numId w:val="1071"/>
        </w:numPr>
      </w:pPr>
      <w:r>
        <w:t xml:space="preserve">Sites by readiness status.</w:t>
      </w:r>
    </w:p>
    <w:p>
      <w:pPr>
        <w:pStyle w:val="Compact"/>
        <w:numPr>
          <w:ilvl w:val="0"/>
          <w:numId w:val="1071"/>
        </w:numPr>
      </w:pPr>
      <w:r>
        <w:t xml:space="preserve">Studies by startup status.</w:t>
      </w:r>
    </w:p>
    <w:p>
      <w:pPr>
        <w:pStyle w:val="Compact"/>
        <w:numPr>
          <w:ilvl w:val="0"/>
          <w:numId w:val="1071"/>
        </w:numPr>
      </w:pPr>
      <w:r>
        <w:t xml:space="preserve">Site gaps.</w:t>
      </w:r>
    </w:p>
    <w:p>
      <w:pPr>
        <w:pStyle w:val="Compact"/>
        <w:numPr>
          <w:ilvl w:val="0"/>
          <w:numId w:val="1071"/>
        </w:numPr>
      </w:pPr>
      <w:r>
        <w:t xml:space="preserve">Critical findings.</w:t>
      </w:r>
    </w:p>
    <w:p>
      <w:pPr>
        <w:pStyle w:val="Compact"/>
        <w:numPr>
          <w:ilvl w:val="0"/>
          <w:numId w:val="1071"/>
        </w:numPr>
      </w:pPr>
      <w:r>
        <w:t xml:space="preserve">CAPA aging.</w:t>
      </w:r>
    </w:p>
    <w:p>
      <w:pPr>
        <w:pStyle w:val="Compact"/>
        <w:numPr>
          <w:ilvl w:val="0"/>
          <w:numId w:val="1071"/>
        </w:numPr>
      </w:pPr>
      <w:r>
        <w:t xml:space="preserve">Training coverage.</w:t>
      </w:r>
    </w:p>
    <w:p>
      <w:pPr>
        <w:pStyle w:val="Compact"/>
        <w:numPr>
          <w:ilvl w:val="0"/>
          <w:numId w:val="1071"/>
        </w:numPr>
      </w:pPr>
      <w:r>
        <w:t xml:space="preserve">Risk heatmap.</w:t>
      </w:r>
    </w:p>
    <w:p>
      <w:pPr>
        <w:pStyle w:val="Compact"/>
        <w:numPr>
          <w:ilvl w:val="0"/>
          <w:numId w:val="1071"/>
        </w:numPr>
      </w:pPr>
      <w:r>
        <w:t xml:space="preserve">Sponsor exports.</w:t>
      </w:r>
    </w:p>
    <w:p>
      <w:pPr>
        <w:pStyle w:val="Compact"/>
        <w:numPr>
          <w:ilvl w:val="0"/>
          <w:numId w:val="1071"/>
        </w:numPr>
      </w:pPr>
      <w:r>
        <w:t xml:space="preserve">Monitoring findings.</w:t>
      </w:r>
    </w:p>
    <w:p>
      <w:pPr>
        <w:pStyle w:val="Compact"/>
        <w:numPr>
          <w:ilvl w:val="0"/>
          <w:numId w:val="1071"/>
        </w:numPr>
      </w:pPr>
      <w:r>
        <w:t xml:space="preserve">Cross-site trends.</w:t>
      </w:r>
    </w:p>
    <w:bookmarkEnd w:id="233"/>
    <w:bookmarkStart w:id="234" w:name="sponsor-viewer-dashboard"/>
    <w:p>
      <w:pPr>
        <w:pStyle w:val="Heading3"/>
      </w:pPr>
      <w:r>
        <w:t xml:space="preserve">Sponsor Viewer Dashboard</w:t>
      </w:r>
    </w:p>
    <w:p>
      <w:pPr>
        <w:pStyle w:val="FirstParagraph"/>
      </w:pPr>
      <w:r>
        <w:t xml:space="preserve">Must show:</w:t>
      </w:r>
    </w:p>
    <w:p>
      <w:pPr>
        <w:pStyle w:val="Compact"/>
        <w:numPr>
          <w:ilvl w:val="0"/>
          <w:numId w:val="1072"/>
        </w:numPr>
      </w:pPr>
      <w:r>
        <w:t xml:space="preserve">Authorized site readiness view.</w:t>
      </w:r>
    </w:p>
    <w:p>
      <w:pPr>
        <w:pStyle w:val="Compact"/>
        <w:numPr>
          <w:ilvl w:val="0"/>
          <w:numId w:val="1072"/>
        </w:numPr>
      </w:pPr>
      <w:r>
        <w:t xml:space="preserve">Evidence summary.</w:t>
      </w:r>
    </w:p>
    <w:p>
      <w:pPr>
        <w:pStyle w:val="Compact"/>
        <w:numPr>
          <w:ilvl w:val="0"/>
          <w:numId w:val="1072"/>
        </w:numPr>
      </w:pPr>
      <w:r>
        <w:t xml:space="preserve">Open critical/major gaps.</w:t>
      </w:r>
    </w:p>
    <w:p>
      <w:pPr>
        <w:pStyle w:val="Compact"/>
        <w:numPr>
          <w:ilvl w:val="0"/>
          <w:numId w:val="1072"/>
        </w:numPr>
      </w:pPr>
      <w:r>
        <w:t xml:space="preserve">CAPA status.</w:t>
      </w:r>
    </w:p>
    <w:p>
      <w:pPr>
        <w:pStyle w:val="Compact"/>
        <w:numPr>
          <w:ilvl w:val="0"/>
          <w:numId w:val="1072"/>
        </w:numPr>
      </w:pPr>
      <w:r>
        <w:t xml:space="preserve">Training summary.</w:t>
      </w:r>
    </w:p>
    <w:p>
      <w:pPr>
        <w:pStyle w:val="Compact"/>
        <w:numPr>
          <w:ilvl w:val="0"/>
          <w:numId w:val="1072"/>
        </w:numPr>
      </w:pPr>
      <w:r>
        <w:t xml:space="preserve">Facility/equipment status.</w:t>
      </w:r>
    </w:p>
    <w:p>
      <w:pPr>
        <w:pStyle w:val="Compact"/>
        <w:numPr>
          <w:ilvl w:val="0"/>
          <w:numId w:val="1072"/>
        </w:numPr>
      </w:pPr>
      <w:r>
        <w:t xml:space="preserve">Consent readiness.</w:t>
      </w:r>
    </w:p>
    <w:p>
      <w:pPr>
        <w:pStyle w:val="Compact"/>
        <w:numPr>
          <w:ilvl w:val="0"/>
          <w:numId w:val="1072"/>
        </w:numPr>
      </w:pPr>
      <w:r>
        <w:t xml:space="preserve">Deviation trends.</w:t>
      </w:r>
    </w:p>
    <w:p>
      <w:pPr>
        <w:pStyle w:val="Compact"/>
        <w:numPr>
          <w:ilvl w:val="0"/>
          <w:numId w:val="1072"/>
        </w:numPr>
      </w:pPr>
      <w:r>
        <w:t xml:space="preserve">Audit/assessment reports.</w:t>
      </w:r>
    </w:p>
    <w:p>
      <w:pPr>
        <w:pStyle w:val="Compact"/>
        <w:numPr>
          <w:ilvl w:val="0"/>
          <w:numId w:val="1072"/>
        </w:numPr>
      </w:pPr>
      <w:r>
        <w:t xml:space="preserve">Decision certificates.</w:t>
      </w:r>
    </w:p>
    <w:bookmarkEnd w:id="234"/>
    <w:bookmarkStart w:id="235" w:name="decision-forum-dashboard"/>
    <w:p>
      <w:pPr>
        <w:pStyle w:val="Heading3"/>
      </w:pPr>
      <w:r>
        <w:t xml:space="preserve">Decision Forum Dashboard</w:t>
      </w:r>
    </w:p>
    <w:p>
      <w:pPr>
        <w:pStyle w:val="FirstParagraph"/>
      </w:pPr>
      <w:r>
        <w:t xml:space="preserve">Must show:</w:t>
      </w:r>
    </w:p>
    <w:p>
      <w:pPr>
        <w:pStyle w:val="Compact"/>
        <w:numPr>
          <w:ilvl w:val="0"/>
          <w:numId w:val="1073"/>
        </w:numPr>
      </w:pPr>
      <w:r>
        <w:t xml:space="preserve">Pending matters.</w:t>
      </w:r>
    </w:p>
    <w:p>
      <w:pPr>
        <w:pStyle w:val="Compact"/>
        <w:numPr>
          <w:ilvl w:val="0"/>
          <w:numId w:val="1073"/>
        </w:numPr>
      </w:pPr>
      <w:r>
        <w:t xml:space="preserve">Required quorum.</w:t>
      </w:r>
    </w:p>
    <w:p>
      <w:pPr>
        <w:pStyle w:val="Compact"/>
        <w:numPr>
          <w:ilvl w:val="0"/>
          <w:numId w:val="1073"/>
        </w:numPr>
      </w:pPr>
      <w:r>
        <w:t xml:space="preserve">Conflict disclosures.</w:t>
      </w:r>
    </w:p>
    <w:p>
      <w:pPr>
        <w:pStyle w:val="Compact"/>
        <w:numPr>
          <w:ilvl w:val="0"/>
          <w:numId w:val="1073"/>
        </w:numPr>
      </w:pPr>
      <w:r>
        <w:t xml:space="preserve">Evidence bundles.</w:t>
      </w:r>
    </w:p>
    <w:p>
      <w:pPr>
        <w:pStyle w:val="Compact"/>
        <w:numPr>
          <w:ilvl w:val="0"/>
          <w:numId w:val="1073"/>
        </w:numPr>
      </w:pPr>
      <w:r>
        <w:t xml:space="preserve">AI review summaries.</w:t>
      </w:r>
    </w:p>
    <w:p>
      <w:pPr>
        <w:pStyle w:val="Compact"/>
        <w:numPr>
          <w:ilvl w:val="0"/>
          <w:numId w:val="1073"/>
        </w:numPr>
      </w:pPr>
      <w:r>
        <w:t xml:space="preserve">Votes.</w:t>
      </w:r>
    </w:p>
    <w:p>
      <w:pPr>
        <w:pStyle w:val="Compact"/>
        <w:numPr>
          <w:ilvl w:val="0"/>
          <w:numId w:val="1073"/>
        </w:numPr>
      </w:pPr>
      <w:r>
        <w:t xml:space="preserve">Conditions.</w:t>
      </w:r>
    </w:p>
    <w:p>
      <w:pPr>
        <w:pStyle w:val="Compact"/>
        <w:numPr>
          <w:ilvl w:val="0"/>
          <w:numId w:val="1073"/>
        </w:numPr>
      </w:pPr>
      <w:r>
        <w:t xml:space="preserve">Dissent.</w:t>
      </w:r>
    </w:p>
    <w:p>
      <w:pPr>
        <w:pStyle w:val="Compact"/>
        <w:numPr>
          <w:ilvl w:val="0"/>
          <w:numId w:val="1073"/>
        </w:numPr>
      </w:pPr>
      <w:r>
        <w:t xml:space="preserve">Decisions.</w:t>
      </w:r>
    </w:p>
    <w:p>
      <w:pPr>
        <w:pStyle w:val="Compact"/>
        <w:numPr>
          <w:ilvl w:val="0"/>
          <w:numId w:val="1073"/>
        </w:numPr>
      </w:pPr>
      <w:r>
        <w:t xml:space="preserve">Follow-up actions.</w:t>
      </w:r>
    </w:p>
    <w:bookmarkEnd w:id="235"/>
    <w:bookmarkEnd w:id="236"/>
    <w:bookmarkStart w:id="237" w:name="acceptance-criteria"/>
    <w:p>
      <w:pPr>
        <w:pStyle w:val="Heading2"/>
      </w:pPr>
      <w:r>
        <w:t xml:space="preserve">Acceptance criteria</w:t>
      </w:r>
    </w:p>
    <w:p>
      <w:pPr>
        <w:pStyle w:val="FirstParagraph"/>
      </w:pPr>
      <w:r>
        <w:t xml:space="preserve">CyberMedica 2.0 shall be considered complete against this master PRD when the system can support the following end-to-end outcomes:</w:t>
      </w:r>
    </w:p>
    <w:p>
      <w:pPr>
        <w:pStyle w:val="Compact"/>
        <w:numPr>
          <w:ilvl w:val="0"/>
          <w:numId w:val="1074"/>
        </w:numPr>
      </w:pPr>
      <w:r>
        <w:t xml:space="preserve">A site can create and maintain a complete QMS Passport.</w:t>
      </w:r>
    </w:p>
    <w:p>
      <w:pPr>
        <w:pStyle w:val="Compact"/>
        <w:numPr>
          <w:ilvl w:val="0"/>
          <w:numId w:val="1074"/>
        </w:numPr>
      </w:pPr>
      <w:r>
        <w:t xml:space="preserve">A standards-derived control library can be managed, versioned, and reviewed.</w:t>
      </w:r>
    </w:p>
    <w:p>
      <w:pPr>
        <w:pStyle w:val="Compact"/>
        <w:numPr>
          <w:ilvl w:val="0"/>
          <w:numId w:val="1074"/>
        </w:numPr>
      </w:pPr>
      <w:r>
        <w:t xml:space="preserve">A site can complete self-assessment against controls.</w:t>
      </w:r>
    </w:p>
    <w:p>
      <w:pPr>
        <w:pStyle w:val="Compact"/>
        <w:numPr>
          <w:ilvl w:val="0"/>
          <w:numId w:val="1074"/>
        </w:numPr>
      </w:pPr>
      <w:r>
        <w:t xml:space="preserve">Evidence can be uploaded, classified, linked, reviewed, versioned, hashed, and anchored.</w:t>
      </w:r>
    </w:p>
    <w:p>
      <w:pPr>
        <w:pStyle w:val="Compact"/>
        <w:numPr>
          <w:ilvl w:val="0"/>
          <w:numId w:val="1074"/>
        </w:numPr>
      </w:pPr>
      <w:r>
        <w:t xml:space="preserve">AI can analyze evidence against controls and generate review findings.</w:t>
      </w:r>
    </w:p>
    <w:p>
      <w:pPr>
        <w:pStyle w:val="Compact"/>
        <w:numPr>
          <w:ilvl w:val="0"/>
          <w:numId w:val="1074"/>
        </w:numPr>
      </w:pPr>
      <w:r>
        <w:t xml:space="preserve">Human reviewers can approve, reject, condition, contest, and escalate.</w:t>
      </w:r>
    </w:p>
    <w:p>
      <w:pPr>
        <w:pStyle w:val="Compact"/>
        <w:numPr>
          <w:ilvl w:val="0"/>
          <w:numId w:val="1074"/>
        </w:numPr>
      </w:pPr>
      <w:r>
        <w:t xml:space="preserve">A protocol can be ingested and assessed for site feasibility.</w:t>
      </w:r>
    </w:p>
    <w:p>
      <w:pPr>
        <w:pStyle w:val="Compact"/>
        <w:numPr>
          <w:ilvl w:val="0"/>
          <w:numId w:val="1074"/>
        </w:numPr>
      </w:pPr>
      <w:r>
        <w:t xml:space="preserve">A trial startup risk assessment can be completed and approved.</w:t>
      </w:r>
    </w:p>
    <w:p>
      <w:pPr>
        <w:pStyle w:val="Compact"/>
        <w:numPr>
          <w:ilvl w:val="0"/>
          <w:numId w:val="1074"/>
        </w:numPr>
      </w:pPr>
      <w:r>
        <w:t xml:space="preserve">A trial launch gate can block or authorize launch based on evidence.</w:t>
      </w:r>
    </w:p>
    <w:p>
      <w:pPr>
        <w:pStyle w:val="Compact"/>
        <w:numPr>
          <w:ilvl w:val="0"/>
          <w:numId w:val="1074"/>
        </w:numPr>
      </w:pPr>
      <w:r>
        <w:t xml:space="preserve">An enrollment gate can block or authorize enrollment readiness.</w:t>
      </w:r>
    </w:p>
    <w:p>
      <w:pPr>
        <w:pStyle w:val="Compact"/>
        <w:numPr>
          <w:ilvl w:val="0"/>
          <w:numId w:val="1074"/>
        </w:numPr>
      </w:pPr>
      <w:r>
        <w:t xml:space="preserve">Consent form versions can be controlled and superseded versions blocked.</w:t>
      </w:r>
    </w:p>
    <w:p>
      <w:pPr>
        <w:pStyle w:val="Compact"/>
        <w:numPr>
          <w:ilvl w:val="0"/>
          <w:numId w:val="1074"/>
        </w:numPr>
      </w:pPr>
      <w:r>
        <w:t xml:space="preserve">Consent process evidence can be documented and governed.</w:t>
      </w:r>
    </w:p>
    <w:p>
      <w:pPr>
        <w:pStyle w:val="Compact"/>
        <w:numPr>
          <w:ilvl w:val="0"/>
          <w:numId w:val="1074"/>
        </w:numPr>
      </w:pPr>
      <w:r>
        <w:t xml:space="preserve">Training and competency requirements can block delegation and controlled actions.</w:t>
      </w:r>
    </w:p>
    <w:p>
      <w:pPr>
        <w:pStyle w:val="Compact"/>
        <w:numPr>
          <w:ilvl w:val="0"/>
          <w:numId w:val="1074"/>
        </w:numPr>
      </w:pPr>
      <w:r>
        <w:t xml:space="preserve">Delegation logs can be authorized, scoped, expired, and revoked.</w:t>
      </w:r>
    </w:p>
    <w:p>
      <w:pPr>
        <w:pStyle w:val="Compact"/>
        <w:numPr>
          <w:ilvl w:val="0"/>
          <w:numId w:val="1074"/>
        </w:numPr>
      </w:pPr>
      <w:r>
        <w:t xml:space="preserve">Deviations can be reported, investigated, corrected, prevented, and closed.</w:t>
      </w:r>
    </w:p>
    <w:p>
      <w:pPr>
        <w:pStyle w:val="Compact"/>
        <w:numPr>
          <w:ilvl w:val="0"/>
          <w:numId w:val="1074"/>
        </w:numPr>
      </w:pPr>
      <w:r>
        <w:t xml:space="preserve">CAPAs can be managed through effectiveness check.</w:t>
      </w:r>
    </w:p>
    <w:p>
      <w:pPr>
        <w:pStyle w:val="Compact"/>
        <w:numPr>
          <w:ilvl w:val="0"/>
          <w:numId w:val="1074"/>
        </w:numPr>
      </w:pPr>
      <w:r>
        <w:t xml:space="preserve">AE/SAE/SUSAR workflows can be documented and tracked.</w:t>
      </w:r>
    </w:p>
    <w:p>
      <w:pPr>
        <w:pStyle w:val="Compact"/>
        <w:numPr>
          <w:ilvl w:val="0"/>
          <w:numId w:val="1074"/>
        </w:numPr>
      </w:pPr>
      <w:r>
        <w:t xml:space="preserve">Facility readiness and equipment calibration can be tracked.</w:t>
      </w:r>
    </w:p>
    <w:p>
      <w:pPr>
        <w:pStyle w:val="Compact"/>
        <w:numPr>
          <w:ilvl w:val="0"/>
          <w:numId w:val="1074"/>
        </w:numPr>
      </w:pPr>
      <w:r>
        <w:t xml:space="preserve">Clinical trial product accountability can be maintained.</w:t>
      </w:r>
    </w:p>
    <w:p>
      <w:pPr>
        <w:pStyle w:val="Compact"/>
        <w:numPr>
          <w:ilvl w:val="0"/>
          <w:numId w:val="1074"/>
        </w:numPr>
      </w:pPr>
      <w:r>
        <w:t xml:space="preserve">Internal audits and assessments can be performed and locked.</w:t>
      </w:r>
    </w:p>
    <w:p>
      <w:pPr>
        <w:pStyle w:val="Compact"/>
        <w:numPr>
          <w:ilvl w:val="0"/>
          <w:numId w:val="1074"/>
        </w:numPr>
      </w:pPr>
      <w:r>
        <w:t xml:space="preserve">KPIs can be defined, monitored, and used in decisions.</w:t>
      </w:r>
    </w:p>
    <w:p>
      <w:pPr>
        <w:pStyle w:val="Compact"/>
        <w:numPr>
          <w:ilvl w:val="0"/>
          <w:numId w:val="1074"/>
        </w:numPr>
      </w:pPr>
      <w:r>
        <w:t xml:space="preserve">Sponsor/CRO diligence packets can be generated with access controls.</w:t>
      </w:r>
    </w:p>
    <w:p>
      <w:pPr>
        <w:pStyle w:val="Compact"/>
        <w:numPr>
          <w:ilvl w:val="0"/>
          <w:numId w:val="1074"/>
        </w:numPr>
      </w:pPr>
      <w:r>
        <w:t xml:space="preserve">Protected content can be excluded from unauthorized exports.</w:t>
      </w:r>
    </w:p>
    <w:p>
      <w:pPr>
        <w:pStyle w:val="Compact"/>
        <w:numPr>
          <w:ilvl w:val="0"/>
          <w:numId w:val="1074"/>
        </w:numPr>
      </w:pPr>
      <w:r>
        <w:t xml:space="preserve">Chain-of-custody can be maintained for evidence.</w:t>
      </w:r>
    </w:p>
    <w:p>
      <w:pPr>
        <w:pStyle w:val="Compact"/>
        <w:numPr>
          <w:ilvl w:val="0"/>
          <w:numId w:val="1074"/>
        </w:numPr>
      </w:pPr>
      <w:r>
        <w:t xml:space="preserve">Hash-chained audit logs can be generated and verified.</w:t>
      </w:r>
    </w:p>
    <w:p>
      <w:pPr>
        <w:pStyle w:val="Compact"/>
        <w:numPr>
          <w:ilvl w:val="0"/>
          <w:numId w:val="1074"/>
        </w:numPr>
      </w:pPr>
      <w:r>
        <w:t xml:space="preserve">Decision receipts can be generated.</w:t>
      </w:r>
    </w:p>
    <w:p>
      <w:pPr>
        <w:pStyle w:val="Compact"/>
        <w:numPr>
          <w:ilvl w:val="0"/>
          <w:numId w:val="1074"/>
        </w:numPr>
      </w:pPr>
      <w:r>
        <w:t xml:space="preserve">Evidence receipts can be generated.</w:t>
      </w:r>
    </w:p>
    <w:p>
      <w:pPr>
        <w:pStyle w:val="Compact"/>
        <w:numPr>
          <w:ilvl w:val="0"/>
          <w:numId w:val="1074"/>
        </w:numPr>
      </w:pPr>
      <w:r>
        <w:t xml:space="preserve">Consent and authority receipts can be generated.</w:t>
      </w:r>
    </w:p>
    <w:p>
      <w:pPr>
        <w:pStyle w:val="Compact"/>
        <w:numPr>
          <w:ilvl w:val="0"/>
          <w:numId w:val="1074"/>
        </w:numPr>
      </w:pPr>
      <w:r>
        <w:t xml:space="preserve">Emergency actions can be documented and retrospectively reviewed.</w:t>
      </w:r>
    </w:p>
    <w:p>
      <w:pPr>
        <w:pStyle w:val="Compact"/>
        <w:numPr>
          <w:ilvl w:val="0"/>
          <w:numId w:val="1074"/>
        </w:numPr>
      </w:pPr>
      <w:r>
        <w:t xml:space="preserve">All material actions are attributable, time-stamped, auditable, and governed.</w:t>
      </w:r>
    </w:p>
    <w:bookmarkEnd w:id="237"/>
    <w:bookmarkStart w:id="238" w:name="X88a2ba85eeea545ad54699c9460bc372769d486"/>
    <w:p>
      <w:pPr>
        <w:pStyle w:val="Heading2"/>
      </w:pPr>
      <w:r>
        <w:t xml:space="preserve">Open questions for scoping and legal review</w:t>
      </w:r>
    </w:p>
    <w:p>
      <w:pPr>
        <w:pStyle w:val="Compact"/>
        <w:numPr>
          <w:ilvl w:val="0"/>
          <w:numId w:val="1075"/>
        </w:numPr>
      </w:pPr>
      <w:r>
        <w:t xml:space="preserve">What exact legal rights exist to use the SASI-QMS text, derivative control library, title, marks, and accreditation-related language?</w:t>
      </w:r>
    </w:p>
    <w:p>
      <w:pPr>
        <w:pStyle w:val="Compact"/>
        <w:numPr>
          <w:ilvl w:val="0"/>
          <w:numId w:val="1075"/>
        </w:numPr>
      </w:pPr>
      <w:r>
        <w:t xml:space="preserve">Should the CyberMedica offering avoid the term</w:t>
      </w:r>
      <w:r>
        <w:t xml:space="preserve"> </w:t>
      </w:r>
      <w:r>
        <w:t xml:space="preserve">“accreditation”</w:t>
      </w:r>
      <w:r>
        <w:t xml:space="preserve"> </w:t>
      </w:r>
      <w:r>
        <w:t xml:space="preserve">unless a separate accredited body is established?</w:t>
      </w:r>
    </w:p>
    <w:p>
      <w:pPr>
        <w:pStyle w:val="Compact"/>
        <w:numPr>
          <w:ilvl w:val="0"/>
          <w:numId w:val="1075"/>
        </w:numPr>
      </w:pPr>
      <w:r>
        <w:t xml:space="preserve">Should the first commercial form be sold to CROs, site networks, sponsors, academic medical centers, or diligence teams?</w:t>
      </w:r>
    </w:p>
    <w:p>
      <w:pPr>
        <w:pStyle w:val="Compact"/>
        <w:numPr>
          <w:ilvl w:val="0"/>
          <w:numId w:val="1075"/>
        </w:numPr>
      </w:pPr>
      <w:r>
        <w:t xml:space="preserve">Should the initial control library include only SASI-QMS-derived controls or also crosswalks to ISO 9001, ICH E6 R3, HIPAA, GDPR, 21 CFR Part 11, and internal sponsor SOPs?</w:t>
      </w:r>
    </w:p>
    <w:p>
      <w:pPr>
        <w:pStyle w:val="Compact"/>
        <w:numPr>
          <w:ilvl w:val="0"/>
          <w:numId w:val="1075"/>
        </w:numPr>
      </w:pPr>
      <w:r>
        <w:t xml:space="preserve">What is the preferred system-of-record posture: CyberMedica as primary QMS, overlay QMS, or evidence/governance wrapper around existing systems?</w:t>
      </w:r>
    </w:p>
    <w:p>
      <w:pPr>
        <w:pStyle w:val="Compact"/>
        <w:numPr>
          <w:ilvl w:val="0"/>
          <w:numId w:val="1075"/>
        </w:numPr>
      </w:pPr>
      <w:r>
        <w:t xml:space="preserve">Which data types should be explicitly prohibited from Exochain anchoring metadata?</w:t>
      </w:r>
    </w:p>
    <w:p>
      <w:pPr>
        <w:pStyle w:val="Compact"/>
        <w:numPr>
          <w:ilvl w:val="0"/>
          <w:numId w:val="1075"/>
        </w:numPr>
      </w:pPr>
      <w:r>
        <w:t xml:space="preserve">Which Exochain deployment model is preferred for regulated life sciences customers: public anchor, private tenant chain, consortium chain, or internal ledger with exportable proofs?</w:t>
      </w:r>
    </w:p>
    <w:p>
      <w:pPr>
        <w:pStyle w:val="Compact"/>
        <w:numPr>
          <w:ilvl w:val="0"/>
          <w:numId w:val="1075"/>
        </w:numPr>
      </w:pPr>
      <w:r>
        <w:t xml:space="preserve">What level of sponsor visibility should be standard versus negotiated?</w:t>
      </w:r>
    </w:p>
    <w:p>
      <w:pPr>
        <w:pStyle w:val="Compact"/>
        <w:numPr>
          <w:ilvl w:val="0"/>
          <w:numId w:val="1075"/>
        </w:numPr>
      </w:pPr>
      <w:r>
        <w:t xml:space="preserve">Should CROs be allowed to white-label CyberMedica?</w:t>
      </w:r>
    </w:p>
    <w:p>
      <w:pPr>
        <w:pStyle w:val="Compact"/>
        <w:numPr>
          <w:ilvl w:val="0"/>
          <w:numId w:val="1075"/>
        </w:numPr>
      </w:pPr>
      <w:r>
        <w:t xml:space="preserve">Should sites have portable passports across CROs/sponsors?</w:t>
      </w:r>
    </w:p>
    <w:p>
      <w:pPr>
        <w:pStyle w:val="Compact"/>
        <w:numPr>
          <w:ilvl w:val="0"/>
          <w:numId w:val="1075"/>
        </w:numPr>
      </w:pPr>
      <w:r>
        <w:t xml:space="preserve">What commercial claim is safest:</w:t>
      </w:r>
      <w:r>
        <w:t xml:space="preserve"> </w:t>
      </w:r>
      <w:r>
        <w:t xml:space="preserve">“QMS-ready,”</w:t>
      </w:r>
      <w:r>
        <w:t xml:space="preserve"> </w:t>
      </w:r>
      <w:r>
        <w:t xml:space="preserve">“good-to-go oversight,”</w:t>
      </w:r>
      <w:r>
        <w:t xml:space="preserve"> </w:t>
      </w:r>
      <w:r>
        <w:t xml:space="preserve">“audit-ready evidence,”</w:t>
      </w:r>
      <w:r>
        <w:t xml:space="preserve"> </w:t>
      </w:r>
      <w:r>
        <w:t xml:space="preserve">“site quality passport,”</w:t>
      </w:r>
      <w:r>
        <w:t xml:space="preserve"> </w:t>
      </w:r>
      <w:r>
        <w:t xml:space="preserve">or</w:t>
      </w:r>
      <w:r>
        <w:t xml:space="preserve"> </w:t>
      </w:r>
      <w:r>
        <w:t xml:space="preserve">“standard-aligned governance fabric”</w:t>
      </w:r>
      <w:r>
        <w:t xml:space="preserve">?</w:t>
      </w:r>
    </w:p>
    <w:p>
      <w:pPr>
        <w:pStyle w:val="Compact"/>
        <w:numPr>
          <w:ilvl w:val="0"/>
          <w:numId w:val="1075"/>
        </w:numPr>
      </w:pPr>
      <w:r>
        <w:t xml:space="preserve">What role should the AI-IRB have in public-facing language to avoid confusion with legally constituted IRBs/IECs?</w:t>
      </w:r>
    </w:p>
    <w:p>
      <w:pPr>
        <w:pStyle w:val="Compact"/>
        <w:numPr>
          <w:ilvl w:val="0"/>
          <w:numId w:val="1075"/>
        </w:numPr>
      </w:pPr>
      <w:r>
        <w:t xml:space="preserve">Who has final authority over control library amendments?</w:t>
      </w:r>
    </w:p>
    <w:p>
      <w:pPr>
        <w:pStyle w:val="Compact"/>
        <w:numPr>
          <w:ilvl w:val="0"/>
          <w:numId w:val="1075"/>
        </w:numPr>
      </w:pPr>
      <w:r>
        <w:t xml:space="preserve">Should Decision Forum panels be tenant-specific, sponsor-specific, CRO-specific, or independent?</w:t>
      </w:r>
    </w:p>
    <w:p>
      <w:pPr>
        <w:pStyle w:val="Compact"/>
        <w:numPr>
          <w:ilvl w:val="0"/>
          <w:numId w:val="1075"/>
        </w:numPr>
      </w:pPr>
      <w:r>
        <w:t xml:space="preserve">Should evidence retention policies be tenant-configurable or centrally enforced?</w:t>
      </w:r>
    </w:p>
    <w:p>
      <w:pPr>
        <w:pStyle w:val="Compact"/>
        <w:numPr>
          <w:ilvl w:val="0"/>
          <w:numId w:val="1075"/>
        </w:numPr>
      </w:pPr>
      <w:r>
        <w:t xml:space="preserve">Should CyberMedica include participant-facing features or remain site/CRO/sponsor-facing?</w:t>
      </w:r>
    </w:p>
    <w:p>
      <w:pPr>
        <w:pStyle w:val="Compact"/>
        <w:numPr>
          <w:ilvl w:val="0"/>
          <w:numId w:val="1075"/>
        </w:numPr>
      </w:pPr>
      <w:r>
        <w:t xml:space="preserve">Should the product include eConsent execution or integrate with existing eConsent providers?</w:t>
      </w:r>
    </w:p>
    <w:p>
      <w:pPr>
        <w:pStyle w:val="Compact"/>
        <w:numPr>
          <w:ilvl w:val="0"/>
          <w:numId w:val="1075"/>
        </w:numPr>
      </w:pPr>
      <w:r>
        <w:t xml:space="preserve">Should the product include CTMS functions or strictly govern CTMS evidence?</w:t>
      </w:r>
    </w:p>
    <w:p>
      <w:pPr>
        <w:pStyle w:val="Compact"/>
        <w:numPr>
          <w:ilvl w:val="0"/>
          <w:numId w:val="1075"/>
        </w:numPr>
      </w:pPr>
      <w:r>
        <w:t xml:space="preserve">Should clinical trial product accountability be native or integrated with pharmacy systems?</w:t>
      </w:r>
    </w:p>
    <w:p>
      <w:pPr>
        <w:pStyle w:val="Compact"/>
        <w:numPr>
          <w:ilvl w:val="0"/>
          <w:numId w:val="1075"/>
        </w:numPr>
      </w:pPr>
      <w:r>
        <w:t xml:space="preserve">Should the product support inspection mode for regulators and auditors?</w:t>
      </w:r>
    </w:p>
    <w:bookmarkEnd w:id="238"/>
    <w:bookmarkStart w:id="239" w:name="closing-product-thesis"/>
    <w:p>
      <w:pPr>
        <w:pStyle w:val="Heading2"/>
      </w:pPr>
      <w:r>
        <w:t xml:space="preserve">Closing product thesis</w:t>
      </w:r>
    </w:p>
    <w:p>
      <w:pPr>
        <w:pStyle w:val="FirstParagraph"/>
      </w:pPr>
      <w:r>
        <w:t xml:space="preserve">CyberMedica 2.0 is the exochained QMS for clinical research. It transforms standards into controls, controls into evidence, evidence into receipts, decisions into governed records, and sites into trusted execution nodes.</w:t>
      </w:r>
    </w:p>
    <w:p>
      <w:pPr>
        <w:pStyle w:val="BodyText"/>
      </w:pPr>
      <w:r>
        <w:t xml:space="preserve">Its value is not merely better documentation. Its value is reduced trust friction.</w:t>
      </w:r>
    </w:p>
    <w:p>
      <w:pPr>
        <w:pStyle w:val="BodyText"/>
      </w:pPr>
      <w:r>
        <w:t xml:space="preserve">For sites, it provides a path to operational maturity. For CROs, it provides a differentiated quality deployment model. For sponsors, it provides faster diligence and better oversight. For participants, it strengthens protection. For the clinical research ecosystem, it offers a practical route from fragmented compliance toward accountable, verifiable, continuously improving clinical research execution.</w:t>
      </w:r>
    </w:p>
    <w:bookmarkEnd w:id="239"/>
    <w:bookmarkEnd w:id="2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2026-05-18T20:15:02Z</dcterms:created>
  <dcterms:modified xsi:type="dcterms:W3CDTF">2026-05-18T20:15:02Z</dcterms:modified>
</cp:coreProperties>
</file>

<file path=docProps/custom.xml><?xml version="1.0" encoding="utf-8"?>
<Properties xmlns="http://schemas.openxmlformats.org/officeDocument/2006/custom-properties" xmlns:vt="http://schemas.openxmlformats.org/officeDocument/2006/docPropsVTypes"/>
</file>