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color w:val="0B2545"/>
          <w:sz w:val="48"/>
        </w:rPr>
        <w:t>История нашего MPStats-лора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color w:val="4B5563"/>
          <w:sz w:val="24"/>
        </w:rPr>
        <w:t>Что вообще происходило, по неделям и с текущим состоянием на 26 июня 2026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Короткая версия: </w:t>
            </w:r>
            <w:r>
              <w:rPr>
                <w:rFonts w:ascii="Calibri" w:hAnsi="Calibri" w:eastAsia="Calibri"/>
                <w:color w:val="111827"/>
              </w:rPr>
              <w:t>за две с лишним недели работа прошла путь от тушения лагов и кубовых UX-болей до отдельного research-трека по SKU deduplication для «Соусов»: EDA, FAISS-кандидаты, ручная разметка, benchmark reranker-моделей, cost-sensitive thresholding и понятная карта дальнейших шагов.</w:t>
            </w:r>
          </w:p>
        </w:tc>
      </w:tr>
    </w:tbl>
    <w:p>
      <w:pPr>
        <w:keepNext w:val="0"/>
        <w:spacing w:after="120" w:before="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1. Сюжет одним экраном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color w:val="111827"/>
        </w:rPr>
        <w:t>Это не полный протокол всех сообщений, а сжатая реконструкция по памяти Codex и текущим проектным документам. Главный фокус — MPStats; в конце есть короткий appendix по соседним эпизодам: Excel/PL3 и дипломный MVP.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Production-ветка MPStats стабилизировалась вокруг локальной web-app: меньше скрытых тяжёлых polling-paths, понятнее ошибки запуска, нормальное массовое удаление кубовых срезов, явная карта pipeline.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Research-ветка SKU dedup была вынесена в песочницу `research/dedup/` + `notebooks/`: никаких переносов в `pipeline/` и `mpstats_app/` до выбора технологии.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Для категории «Соусы» появился полный исследовательский маршрут: EDA -&gt; embedding/FAISS candidates -&gt; ручная разметка -&gt; matching benchmark -&gt; clustering/report -&gt; threshold calibration.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Ключевой бизнес-принцип: false merge дороже false split. Лучше пропустить дубль, чем автоматически склеить разные товары и испортить справочник.</w:t>
      </w: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2. История по неделям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4300"/>
        <w:gridCol w:w="35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Период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Что было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9"/>
              </w:rPr>
              <w:t>Ключевой результат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12-16 июня</w:t>
            </w:r>
          </w:p>
        </w:tc>
        <w:tc>
          <w:tcPr>
            <w:tcW w:type="dxa" w:w="4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Production MPStats: лаги/polling, классификатор, quality-tab, bulk delete кубов, pipeline map; рядом — workbook и diploma старт.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Hotpaths замерены и исправлены точечно; закреплены правила: мерить, не трогать чужое, не дублировать поля.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17-23 июня</w:t>
            </w:r>
          </w:p>
        </w:tc>
        <w:tc>
          <w:tcPr>
            <w:tcW w:type="dxa" w:w="4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Notebook/research: embedding flow, Polza.ai, EDA по «Соусам», research-only dedup sandbox, cross-marketplace пары и FAISS blocking.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Появился отдельный контур dedup: `ARCHITECTURE`, `AI_INDEX`, `ARCHITECTURE_PROGRESS`, `research/dedup`, `notebooks/00-03`.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11827"/>
                <w:sz w:val="17"/>
              </w:rPr>
              <w:t>24-26 июня</w:t>
            </w:r>
          </w:p>
        </w:tc>
        <w:tc>
          <w:tcPr>
            <w:tcW w:type="dxa" w:w="4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Gold-set и benchmark: calibrated matching, clustering/report, cross-encoder, Qwen/BGE/Jina, model registry, Polza backend, binary labels, thresholds.</w:t>
            </w:r>
          </w:p>
        </w:tc>
        <w:tc>
          <w:tcPr>
            <w:tcW w:type="dxa" w:w="35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Есть сравнимые цифры и направление: Qwen reranker силён, но автосклейка требует cost-sensitive порога и разбора false merge.</w:t>
            </w:r>
          </w:p>
        </w:tc>
      </w:tr>
    </w:tbl>
    <w:p>
      <w:pPr>
        <w:keepNext w:val="0"/>
        <w:spacing w:after="120" w:before="0" w:line="300" w:lineRule="auto"/>
      </w:pPr>
    </w:p>
    <w:p>
      <w:pPr>
        <w:pStyle w:val="Heading2"/>
        <w:keepNext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Неделя 12-16 июня: тушим реальные боли web-app и данных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Лаги в web-app стали диагностироваться через фактические timings и code paths: `SmartPipelineService.get_run()`, `SmartPlanService.get_run_plan()`, polling каждые 1.5 секунды, скрытые writes, тяжёлые пересчёты и frontend-filter costs.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Оптимизации попали в конкретные места: убрать write-heavy work из read-status endpoints, батчить cube lookups, не пересчитывать SHA1 без нужды, читать stored `rows_count`, ускорять `classifiers/engine.py` и weight-parser без изменения семантики.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Для кубов добавлен нормальный batch delete: отдельный API path `POST /api/workflow/pipeline/cube/bulk-delete`, transactional repository method, UI с checkbox-выбором и frontend build/test coverage.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Появился короткий `docs/PIPELINE_OVERVIEW.md`: raw download -&gt; processed preprocessing -&gt; pandas classification -&gt; DuckDB cube import -&gt; registry -&gt; reports/export/quality.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В workbook-задачах закрепился стиль: сначала точный файл, затем sheet/cell-level reconciliation, потом проверка totals и rollback при неверной трактовке.</w:t>
      </w:r>
    </w:p>
    <w:p>
      <w:pPr>
        <w:pStyle w:val="Heading2"/>
        <w:keepNext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Неделя 17-23 июня: research начинает жить отдельно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Embedding notebook строился двухфазно: сначала создать файл для ручной разметки, остановиться, и только потом идти к API/моделям. Это стало важным пользовательским паттерном.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Polza.ai стал единственным online embedding provider в этом контексте: проверка live model catalog, рабочие model ids вроде `openai/text-embedding-3-small`, без старых AIMLAPI-переменных.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EDA по «Соусам» подтвердила рабочий data contract: `mpstats_products`, категория `Соус`, поля `Артикул`, `SKU`, `Бренд`, `Вес, кг`, `Вес, кг (ед.)`, marketplace; notebook оставлен visual/beginner-friendly.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Dedup sandbox стал research-only: `research/dedup/` не импортирует production pipeline, brand/weight/pack экспортируются как признаки пары, но не используются как жёсткие фильтры на candidate generation.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Candidate generation сначала научился не терять cross-marketplace пары через ключ `marketplace + Артикул`, затем перешёл на FAISS top-k по dense embeddings как primary blocking.</w:t>
      </w:r>
    </w:p>
    <w:p>
      <w:pPr>
        <w:pStyle w:val="Heading2"/>
        <w:keepNext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Неделя 24-26 июня: метрики, rerankers и цена ошибок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Размеченный `labeling_sauces.csv` дал 400 пар: 379 входят в evaluation, 21 `uncertain` оставлена вне метрик. Появились dev/test split, matching summary, false-merge examples и первые graph metrics.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Rule-based baseline оказался полезным стартом, но на held-out test имел заметную false-merge проблему. Готовый cross-encoder сам по себе не решил товарный matching.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В benchmark добавлены сильные reranker-модели: Qwen3, BGE v2 m3, Jina v3. Потом их загрузка была переведена через `model_registry.py`, aliases, cache dir и offline mode.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Qwen3-4B переведён на CPU по умолчанию из-за MPS OOM; добавлен лёгкий `qwen3_0_6b` для smoke-прогонов.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Label contract упростили до binary ML-слоя: `exact_duplicate` vs `different_product`; pack/multipack вынесен в deterministic post-processing.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Threshold benchmark перешёл к forced binary: один `threshold_same`, dev выбирает порог, test только проверяет. Главные отчёты — `binary_threshold_summary.csv`, `binary_threshold_predictions.csv`, `binary_threshold_by_volume_bucket.csv`.</w:t>
      </w: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3. Текущая карта MPStats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4380"/>
        <w:gridCol w:w="30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Трек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Состояние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Где смотреть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Production web-app</w:t>
            </w:r>
          </w:p>
        </w:tc>
        <w:tc>
          <w:tcPr>
            <w:tcW w:type="dxa" w:w="43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Основной пользовательский workflow остаётся в `mpstats_app/` + `web/`. Тонкий transport/UI, бизнес-логика в services, SQL/file work в repositories/data layer.</w:t>
            </w:r>
          </w:p>
        </w:tc>
        <w:tc>
          <w:tcPr>
            <w:tcW w:type="dxa" w:w="30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`mpstats_app/`, `web/`, `pipeline/`, `classifiers/`, `docs/USER_GUIDE.md`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Pipeline/classifier</w:t>
            </w:r>
          </w:p>
        </w:tc>
        <w:tc>
          <w:tcPr>
            <w:tcW w:type="dxa" w:w="43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Классификация всё ещё pandas-first: rules, priority, fill/overwrite, `otherwise`, missing target columns. DuckDB уже отвечает за storage/import/export/reporting, но не заменяет rule engine.</w:t>
            </w:r>
          </w:p>
        </w:tc>
        <w:tc>
          <w:tcPr>
            <w:tcW w:type="dxa" w:w="30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`classification_service.py`, `classifiers/engine.py`, `docs/PIPELINE_OVERVIEW.md`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Research dedup</w:t>
            </w:r>
          </w:p>
        </w:tc>
        <w:tc>
          <w:tcPr>
            <w:tcW w:type="dxa" w:w="43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Отдельная песочница для SKU matching по «Соусам». До выбора технологии не переносить в production.</w:t>
            </w:r>
          </w:p>
        </w:tc>
        <w:tc>
          <w:tcPr>
            <w:tcW w:type="dxa" w:w="30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`research/dedup/`, `notebooks/00-05`, `docs/ARCHITECTURE_PROGRESS.md`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Gold-set и метрики</w:t>
            </w:r>
          </w:p>
        </w:tc>
        <w:tc>
          <w:tcPr>
            <w:tcW w:type="dxa" w:w="43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400 размеченных пар, 379 usable, dev/test split. Главный риск — false merge; recall важен, но не ценой грязных автосклеек.</w:t>
            </w:r>
          </w:p>
        </w:tc>
        <w:tc>
          <w:tcPr>
            <w:tcW w:type="dxa" w:w="30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`research/dedup/data/labeling_sauces.csv`, `artifacts/reports/binary_threshold_*.csv`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Документация для агентов</w:t>
            </w:r>
          </w:p>
        </w:tc>
        <w:tc>
          <w:tcPr>
            <w:tcW w:type="dxa" w:w="43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AGENTS -&gt; AI_INDEX -&gt; ARCHITECTURE -&gt; ARCHITECTURE_PROGRESS стали обязательным маршрутом входа.</w:t>
            </w:r>
          </w:p>
        </w:tc>
        <w:tc>
          <w:tcPr>
            <w:tcW w:type="dxa" w:w="308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`AGENTS.md`, `docs/AI_INDEX.md`, `docs/ARCHITECTURE.md`</w:t>
            </w:r>
          </w:p>
        </w:tc>
      </w:tr>
    </w:tbl>
    <w:p>
      <w:pPr>
        <w:keepNext w:val="0"/>
        <w:spacing w:after="120" w:before="0" w:line="300" w:lineRule="auto"/>
      </w:pPr>
    </w:p>
    <w:p>
      <w:pPr>
        <w:pStyle w:val="Heading1"/>
        <w:keepNext/>
        <w:pageBreakBefore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4. Последний research-срез по dedup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color w:val="111827"/>
        </w:rPr>
        <w:t>На текущем этапе хороший F1 сам по себе не является победой: если модель склеивает разные вкусы/типы одного бренда, она ломает справочник. Поэтому читать метрики нужно через две линзы: качество поиска дублей и цена опасных ошибок.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Вариант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Что показывает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Интерпретация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Qwen3-4B + max F1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Test F1 около 0.80, recall высокий, но false merge много.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Силен как scorer, но не годится как безусловный auto-merge threshold.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Qwen3-4B + cost-sensitive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False merge резко меньше, recall ниже.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Похоже на лучший практический компромисс для уверенной автосклейки.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Qwen3-0.6B / Jina conservative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Может давать 0 false merge, но пропускает большую часть дублей.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Безопасно, но слишком трусливо как основной режим.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Rule-based / bi-encoder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Полезны как baseline и retrieval/context, но уступают reranker-слою.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 стоит продавать как финальное ML-ядро.</w:t>
            </w:r>
          </w:p>
        </w:tc>
      </w:tr>
    </w:tbl>
    <w:p>
      <w:pPr>
        <w:keepNext w:val="0"/>
        <w:spacing w:after="120" w:before="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Практический вывод: </w:t>
            </w:r>
            <w:r>
              <w:rPr>
                <w:rFonts w:ascii="Calibri" w:hAnsi="Calibri" w:eastAsia="Calibri"/>
                <w:color w:val="111827"/>
              </w:rPr>
              <w:t>следующий зрелый вариант — не один forced threshold на всё, а зона уверенной автосклейки + зона уверенного отказа + ручной review для середины, особенно на hard negatives одного бренда/веса/категории.</w:t>
            </w:r>
          </w:p>
        </w:tc>
      </w:tr>
    </w:tbl>
    <w:p>
      <w:pPr>
        <w:keepNext w:val="0"/>
        <w:spacing w:after="120" w:before="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5. Повторяющиеся правила нашего лора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Если пользователь говорит “лагает” или “очень долго”, сначала измеряем реальный hotspot и текущий code path, потом правим.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В shared worktree не трогаем чужие изменения и стадим только свои файлы.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Если задача research-only, остаёмся в `research/dedup/`, notebooks и docs; production integration только после явного решения.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Для ноутбуков и ML-объяснений пишем по-русски, для новичка: что за этап, зачем он нужен, что значит метрика.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Схема/поля детерминированного куба не угадываются через alias-листы: если поле называется `Подкатегория`, используем `Подкатегория`.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Не дублируем семантические поля “на всякий случай”: история с `Вес, кг` закрепила, что fallback должен быть оправдан текущим контрактом.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В Excel/workbook задачах точный файл и точные листы важнее скорости. Sheet name может врать; проверяем содержимое.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В dedup false merge дороже false split: автосклейка разных товаров хуже, чем пропущенный дубль.</w:t>
      </w: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6. Открытые нити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Пересмотреть false merge / suspect labels из текущего benchmark и решить, что является ошибкой модели, а что спорной ручной разметкой.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Выровнять фактический `FP_COST` в notebook/config/docs, чтобы markdown и CSV-cost не расходились.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Адаптировать `04_clustering_resolution.ipynb` и `05_evaluation_report.ipynb` под новые `binary_threshold_*` artifacts после forced binary benchmark.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Определить следующую технологию: fine-tune reranker/cross-encoder, добавить LLM-judge для спорной зоны или собрать triage-процесс вокруг текущих scorers.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Не переносить dedup в `pipeline/`/`mpstats_app/`, пока модельный подход и бизнес-порог не выбраны.</w:t>
      </w: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7. Appendix: соседние серии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4200"/>
        <w:gridCol w:w="30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Эпизод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Что было важно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Запомнить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PL3 / logistics workbook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Сверяли `Логистика ` против `Цены`, ловили неверные channel/client mappings, делали rollback к принятой версии.</w:t>
            </w:r>
          </w:p>
        </w:tc>
        <w:tc>
          <w:tcPr>
            <w:tcW w:type="dxa" w:w="30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Всегда подтверждать exact workbook filename; trailing-space sheet names; проверять brand+category+channel, а не только total.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Brand KPI workbook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Разбирали `brands kpi_final.xlsx` на уровне Data Model/XML/pivot logic и сделали reusable markdown с бизнесовой логикой.</w:t>
            </w:r>
          </w:p>
        </w:tc>
        <w:tc>
          <w:tcPr>
            <w:tcW w:type="dxa" w:w="30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Для pivot-heavy xlsx видимые formulas не всегда source of truth; иногда надёжнее ZIP/XML/Data Model.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color w:val="111827"/>
                <w:sz w:val="18"/>
              </w:rPr>
              <w:t>Diploma MVP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Из attachment создан workflow spec, инициализирован git, поднят backend на Docker PostgreSQL, затем собран первый operator UI skeleton.</w:t>
            </w:r>
          </w:p>
        </w:tc>
        <w:tc>
          <w:tcPr>
            <w:tcW w:type="dxa" w:w="306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Когда пользователь говорит “запусти приложение”, сервис реально поднимается и проверяется curl/browser, а не только выдаются команды.</w:t>
            </w:r>
          </w:p>
        </w:tc>
      </w:tr>
    </w:tbl>
    <w:p>
      <w:pPr>
        <w:keepNext w:val="0"/>
        <w:spacing w:after="120" w:before="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8. Источники этой сводки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Memory registry Codex: группы задач по MPStats production, research notebooks, workbook reconciliation, diploma MVP.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Текущие проектные документы: `AGENTS.md`, `docs/AI_INDEX.md`, `docs/ARCHITECTURE.md`, `docs/ARCHITECTURE_PROGRESS.md`.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11827"/>
        </w:rPr>
        <w:t>Свежий read-only анализ benchmark artifacts: `artifacts/reports/binary_threshold_summary.csv` и `binary_threshold_predictions.csv`.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4B5563"/>
        <w:sz w:val="17"/>
      </w:rPr>
      <w:t>Сводка по памяти Codex и текущим проектным документам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4B5563"/>
        <w:sz w:val="18"/>
      </w:rPr>
      <w:t>MPStats lore / июнь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