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20"/>
      </w:pPr>
      <w:r>
        <w:rPr>
          <w:rFonts w:ascii="Calibri" w:hAnsi="Calibri" w:eastAsia="Calibri" w:cs="Calibri"/>
          <w:b/>
          <w:color w:val="0B2545"/>
          <w:sz w:val="48"/>
        </w:rPr>
        <w:t>MPStats: процесс разработки ML-дедупликации SKU</w:t>
      </w:r>
    </w:p>
    <w:p>
      <w:pPr>
        <w:spacing w:after="280"/>
      </w:pPr>
      <w:r>
        <w:rPr>
          <w:rFonts w:ascii="Calibri" w:hAnsi="Calibri" w:eastAsia="Calibri" w:cs="Calibri"/>
          <w:color w:val="1F4D78"/>
          <w:sz w:val="26"/>
        </w:rPr>
        <w:t>От research-ноутбуков до production identity layer в локальной web-app</w:t>
      </w:r>
    </w:p>
    <w:p>
      <w:pPr>
        <w:spacing w:after="360"/>
      </w:pPr>
      <w:r>
        <w:rPr>
          <w:rFonts w:ascii="Calibri" w:hAnsi="Calibri" w:eastAsia="Calibri" w:cs="Calibri"/>
          <w:color w:val="5B6770"/>
          <w:sz w:val="20"/>
        </w:rPr>
        <w:t>Версия отчета: 1 июля 2026. Источники: текущий worktree, проектные docs, локальные research artifacts и скриншоты из /Users/exoldoff/Desktop/да.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AF5EF"/>
            <w:tcBorders>
              <w:top w:val="single" w:sz="4" w:space="0" w:color="C7D1DB"/>
              <w:left w:val="single" w:sz="4" w:space="0" w:color="C7D1DB"/>
              <w:bottom w:val="single" w:sz="4" w:space="0" w:color="C7D1DB"/>
              <w:right w:val="single" w:sz="4" w:space="0" w:color="C7D1DB"/>
              <w:insideH w:val="single" w:sz="4" w:space="0" w:color="C7D1DB"/>
              <w:insideV w:val="single" w:sz="4" w:space="0" w:color="C7D1DB"/>
            </w:tcBorders>
          </w:tcPr>
          <w:p>
            <w:pPr>
              <w:spacing w:after="60"/>
            </w:pPr>
            <w:r>
              <w:rPr>
                <w:rFonts w:ascii="Calibri" w:hAnsi="Calibri" w:eastAsia="Calibri" w:cs="Calibri"/>
                <w:b/>
                <w:color w:val="1F4D78"/>
              </w:rPr>
              <w:t>Главный итог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sz w:val="20"/>
              </w:rPr>
              <w:t>Проект прошел путь от отдельной research-песочницы до production v1: web-app автоматически запускает ML-дедуп для Соус/Соусы, Кокосовое масло и Мыло, хранит результат в identity-таблицах и показывает канонические SKU в интерфейсе. Выбранный scorer — fine-tuned BGE reranker: на локальном frozen benchmark test precision 0.954, recall 0.846, F1 0.897, false merge 5.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8"/>
              </w:rPr>
              <w:t>Контур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8"/>
              </w:rPr>
              <w:t>Текущее состояние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Пользовательский workflow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Локальная web-app mpstats_app/ + web/: запуск, куб, отчеты, выгрузки, ML-дедуп.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Research workflow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notebooks/00-05 + research/dedup/: EDA, FAISS candidates, labeling, model benchmark, fusion graph, demo.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Поддержанные категории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Соус/Соусы, Кокосовое масло, Мыло.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Production scorer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ft_bge_reranker_v2_m3, HF id exoldoff/bge-reranker-v2-m3-cross-encoder-marketplaces-rus.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Retrieval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intfloat/multilingual-e5-small embeddings + FAISS top_k=30.</w:t>
            </w:r>
          </w:p>
        </w:tc>
      </w:tr>
      <w:tr>
        <w:tc>
          <w:tcPr>
            <w:tcW w:type="dxa" w:w="2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Хранение результата</w:t>
            </w:r>
          </w:p>
        </w:tc>
        <w:tc>
          <w:tcPr>
            <w:tcW w:type="dxa" w:w="70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8"/>
              </w:rPr>
              <w:t>dedup_* identity tables + materialized mpstats_products_dedup; исходные факты не схлопываются.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Calibri" w:cs="Calibri"/>
        </w:rPr>
        <w:t>1. Что изменилось относительно старого отчета</w:t>
      </w:r>
    </w:p>
    <w:p>
      <w:r>
        <w:rPr>
          <w:rFonts w:ascii="Calibri" w:hAnsi="Calibri" w:eastAsia="Calibri" w:cs="Calibri"/>
        </w:rPr>
        <w:t>Старый документ фиксировал состояние на 26 июня 2026: research-only дедуп, запрет переносить код в pipeline/web-app до выбора технологии, один основной фокус на «Соусах» и первые threshold reports. Сейчас это уже неактуальная середина истории.</w:t>
      </w:r>
    </w:p>
    <w:p>
      <w:r>
        <w:rPr>
          <w:rFonts w:ascii="Calibri" w:hAnsi="Calibri" w:eastAsia="Calibri" w:cs="Calibri"/>
        </w:rPr>
        <w:t>Текущий отчет переписан под новую стадию: выбран supervised scorer, добавлен production ML-дедуп в основной web workflow, появились category-specific thresholds, инкрементальные cache-слои и пользовательская вкладка «Данные -&gt; ML-дедуп».</w:t>
      </w:r>
    </w:p>
    <w:p>
      <w:pPr>
        <w:pStyle w:val="ListBullet"/>
      </w:pPr>
      <w:r>
        <w:rPr>
          <w:rFonts w:ascii="Calibri" w:hAnsi="Calibri" w:eastAsia="Calibri" w:cs="Calibri"/>
        </w:rPr>
        <w:t>Research остался прозрачным: notebook-цепочка 00-05 показывает, как мы пришли к решению.</w:t>
      </w:r>
    </w:p>
    <w:p>
      <w:pPr>
        <w:pStyle w:val="ListBullet"/>
      </w:pPr>
      <w:r>
        <w:rPr>
          <w:rFonts w:ascii="Calibri" w:hAnsi="Calibri" w:eastAsia="Calibri" w:cs="Calibri"/>
        </w:rPr>
        <w:t>Production слой отделен от фактов: дедуп добавляет идентичность и каноны, но не мутирует mpstats_products.</w:t>
      </w:r>
    </w:p>
    <w:p>
      <w:pPr>
        <w:pStyle w:val="ListBullet"/>
      </w:pPr>
      <w:r>
        <w:rPr>
          <w:rFonts w:ascii="Calibri" w:hAnsi="Calibri" w:eastAsia="Calibri" w:cs="Calibri"/>
        </w:rPr>
        <w:t>Главный риск по-прежнему false merge: ложная склейка разных товаров дороже, чем пропущенный дубль.</w:t>
      </w:r>
    </w:p>
    <w:p>
      <w:pPr>
        <w:pStyle w:val="Heading1"/>
      </w:pPr>
      <w:r>
        <w:rPr>
          <w:rFonts w:ascii="Calibri" w:hAnsi="Calibri" w:eastAsia="Calibri" w:cs="Calibri"/>
        </w:rPr>
        <w:t>2. Сквозной workflow проекта</w:t>
      </w:r>
    </w:p>
    <w:p>
      <w:r>
        <w:rPr>
          <w:rFonts w:ascii="Calibri" w:hAnsi="Calibri" w:eastAsia="Calibri" w:cs="Calibri"/>
        </w:rPr>
        <w:t>Пользовательский контур начинается в web-app: загрузка MPStats, нормализация, парсинг веса/объема, классификация, запись в DuckDB и формирование куба. После сохранения classified-файлов ML-дедуп запускается для поддержанных категорий автоматически, а вручную его можно перезапустить из отдельной вкладки.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5300"/>
        <w:gridCol w:w="2560"/>
      </w:tblGrid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Шаг</w:t>
            </w:r>
          </w:p>
        </w:tc>
        <w:tc>
          <w:tcPr>
            <w:tcW w:type="dxa" w:w="5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Что происходит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Где смотреть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1. MPStats export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Данные выгружаются по задачам, маркетплейсам, категориям, периодам и фильтрам.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web-app, pipeline/services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2. Preprocessing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Колонки приводятся к единой схеме, парсятся вес, объем, цена за кг, продажи.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pipeline/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3. Classification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Товары классифицируются по rules.csv и web-редактору классификатора.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classifiers/, mpstats_app/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4. DuckDB cube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Срезы сохраняются в mpstats_products и cube_registry.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mpstats.duckdb, repositories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5. ML-дедуп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SKU-node проходят embedding retrieval, cross-encoder scoring, threshold decision и graph grouping.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pipeline/services/dedup/</w:t>
            </w:r>
          </w:p>
        </w:tc>
      </w:tr>
      <w:tr>
        <w:tc>
          <w:tcPr>
            <w:tcW w:type="dxa" w:w="1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6. Просмотр/выгрузка</w:t>
            </w:r>
          </w:p>
        </w:tc>
        <w:tc>
          <w:tcPr>
            <w:tcW w:type="dxa" w:w="53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mpstats_products_dedup добавляет ML-группы, канонический SKU и статус без изменения числа фактов.</w:t>
            </w:r>
          </w:p>
        </w:tc>
        <w:tc>
          <w:tcPr>
            <w:tcW w:type="dxa" w:w="25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Данные -&gt; ML-дедуп / Выгрузка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  <w:tcBorders>
              <w:top w:val="single" w:sz="4" w:space="0" w:color="C7D1DB"/>
              <w:left w:val="single" w:sz="4" w:space="0" w:color="C7D1DB"/>
              <w:bottom w:val="single" w:sz="4" w:space="0" w:color="C7D1DB"/>
              <w:right w:val="single" w:sz="4" w:space="0" w:color="C7D1DB"/>
              <w:insideH w:val="single" w:sz="4" w:space="0" w:color="C7D1DB"/>
              <w:insideV w:val="single" w:sz="4" w:space="0" w:color="C7D1DB"/>
            </w:tcBorders>
          </w:tcPr>
          <w:p>
            <w:pPr>
              <w:spacing w:after="60"/>
            </w:pPr>
            <w:r>
              <w:rPr>
                <w:rFonts w:ascii="Calibri" w:hAnsi="Calibri" w:eastAsia="Calibri" w:cs="Calibri"/>
                <w:b/>
                <w:color w:val="1F4D78"/>
              </w:rPr>
              <w:t>DB impact текущего решения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sz w:val="20"/>
              </w:rPr>
              <w:t>Дедуп не заменяет production-факты и не схлопывает monthly rows. Он пишет отдельный identity layer: run, SKU nodes, scored edges, groups и materialized mpstats_products_dedup для браузера/экспорта.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 w:cs="Calibri"/>
        </w:rPr>
        <w:t>3. Research notebook-история 00-05</w:t>
      </w:r>
    </w:p>
    <w:p>
      <w:r>
        <w:rPr>
          <w:rFonts w:ascii="Calibri" w:hAnsi="Calibri" w:eastAsia="Calibri" w:cs="Calibri"/>
        </w:rPr>
        <w:t>Ноутбуки очищены от outputs в git, но построены как читаемый конкурсный рассказ: каждый шаг показывает вход, решение и артефакт, а настройки вынесены в первые MY_* ячейки.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50"/>
        <w:gridCol w:w="4550"/>
        <w:gridCol w:w="2960"/>
      </w:tblGrid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Notebook</w:t>
            </w:r>
          </w:p>
        </w:tc>
        <w:tc>
          <w:tcPr>
            <w:tcW w:type="dxa" w:w="4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Роль</w:t>
            </w:r>
          </w:p>
        </w:tc>
        <w:tc>
          <w:tcPr>
            <w:tcW w:type="dxa" w:w="2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Ключевой выход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00 EDA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Проверка data contract, brand/weight/pack/title-полей по category-run.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Понимание качества входа и ограничений.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01 Candidates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Dense embeddings + FAISS top-k, subcategory-aware blocking, supplemental pairs.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candidates_&lt;suffix&gt;.csv.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02 Labeling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Стратифицированный CSV для ручной разметки и multi-category режим на 3000 строк.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labeling_sauces_coconut_oil_soap.csv.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03 Matching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Benchmark baseline/zero-shot/fine-tuned scorers, dev threshold, test readout.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binary_threshold_*.csv.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04 Fusion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Превращение pairwise decisions в family/pack graph groups через Leiden.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fusion_components_* и fusion_pair_eval_*.</w:t>
            </w:r>
          </w:p>
        </w:tc>
      </w:tr>
      <w:tr>
        <w:tc>
          <w:tcPr>
            <w:tcW w:type="dxa" w:w="18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t>05 Demo</w:t>
            </w:r>
          </w:p>
        </w:tc>
        <w:tc>
          <w:tcPr>
            <w:tcW w:type="dxa" w:w="45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Живое demo: DuckDB slice -&gt; candidates -&gt; FAISS -&gt; cross-encoder -&gt; дерево SKU.</w:t>
            </w:r>
          </w:p>
        </w:tc>
        <w:tc>
          <w:tcPr>
            <w:tcW w:type="dxa" w:w="2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grouped_sku_demo_&lt;suffix&gt;.csv.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43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fusion_setting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3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 w:cs="Calibri"/>
          <w:color w:val="5B6770"/>
          <w:sz w:val="18"/>
        </w:rPr>
      </w:r>
      <w:r>
        <w:rPr>
          <w:rFonts w:ascii="Calibri" w:hAnsi="Calibri" w:eastAsia="Calibri" w:cs="Calibri"/>
          <w:color w:val="5B6770"/>
          <w:sz w:val="18"/>
        </w:rPr>
        <w:t>Рисунок 1. Notebook 04/05: явные пути и override-переменные вместо скрытых настроек.</w:t>
      </w:r>
    </w:p>
    <w:p>
      <w:pPr>
        <w:pStyle w:val="Heading1"/>
      </w:pPr>
      <w:r>
        <w:rPr>
          <w:rFonts w:ascii="Calibri" w:hAnsi="Calibri" w:eastAsia="Calibri" w:cs="Calibri"/>
        </w:rPr>
        <w:t>4. Данные, разметка и frozen benchmark</w:t>
      </w:r>
    </w:p>
    <w:p>
      <w:r>
        <w:rPr>
          <w:rFonts w:ascii="Calibri" w:hAnsi="Calibri" w:eastAsia="Calibri" w:cs="Calibri"/>
        </w:rPr>
        <w:t>Research расширился с «Соусов» до трех category-runs: sauces, coconut_oil, soap. Для обучения и проверки используется отдельный frozen snapshot, чтобы сравнивать модели на одном и том же наборе пар.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00"/>
        <w:gridCol w:w="1100"/>
        <w:gridCol w:w="5160"/>
      </w:tblGrid>
      <w:t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Артефакт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Строк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Путь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Candidate pairs: sauces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107 539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research/dedup/data/candidates_sauces.csv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Candidate pairs: coconut_oil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21 640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research/dedup/data/coconut_oil/candidates_coconut_oil.csv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Candidate pairs: soap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479 288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research/dedup/data/soap/candidates_soap.csv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Multi-category labeling CSV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3 000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research/dedup/data/labeling_sauces_coconut_oil_soap.csv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Frozen pair-stratified benchmark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2 465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research/dedup/data/training/dedup_pairs_final_pair_stratified_split.csv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No-leak training split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1 736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research/dedup/data/training/dedup_pairs_final_split.csv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Fusion components: sauces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585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research/dedup/data/fusion_components_sauces.csv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Fusion components: coconut_oil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250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research/dedup/data/coconut_oil/fusion_components_coconut_oil.csv</w:t>
            </w:r>
          </w:p>
        </w:tc>
      </w:tr>
      <w:tr>
        <w:tc>
          <w:tcPr>
            <w:tcW w:type="dxa" w:w="3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Fusion components: soap</w:t>
            </w:r>
          </w:p>
        </w:tc>
        <w:tc>
          <w:tcPr>
            <w:tcW w:type="dxa" w:w="11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382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research/dedup/data/soap/fusion_components_soap.csv</w:t>
            </w:r>
          </w:p>
        </w:tc>
      </w:tr>
    </w:tbl>
    <w:p>
      <w:r>
        <w:rPr>
          <w:rFonts w:ascii="Calibri" w:hAnsi="Calibri" w:eastAsia="Calibri" w:cs="Calibri"/>
        </w:rPr>
        <w:t>Pair-stratified benchmark содержит 2 465 пар: sauces 1 046, coconut_oil 725, soap 694. По меткам: 785 exact_duplicate и 1 680 different_product.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71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ss_distribu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71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 w:cs="Calibri"/>
          <w:color w:val="5B6770"/>
          <w:sz w:val="18"/>
        </w:rPr>
      </w:r>
      <w:r>
        <w:rPr>
          <w:rFonts w:ascii="Calibri" w:hAnsi="Calibri" w:eastAsia="Calibri" w:cs="Calibri"/>
          <w:color w:val="5B6770"/>
          <w:sz w:val="18"/>
        </w:rPr>
        <w:t>Рисунок 2. Пример notebook-визуализации: распределение FAISS embedding cosine score для candidate pairs.</w:t>
      </w:r>
    </w:p>
    <w:p>
      <w:pPr>
        <w:pStyle w:val="Heading1"/>
      </w:pPr>
      <w:r>
        <w:rPr>
          <w:rFonts w:ascii="Calibri" w:hAnsi="Calibri" w:eastAsia="Calibri" w:cs="Calibri"/>
        </w:rPr>
        <w:t>5. Matching, fine-tuning и выбор модели</w:t>
      </w:r>
    </w:p>
    <w:p>
      <w:r>
        <w:rPr>
          <w:rFonts w:ascii="Calibri" w:hAnsi="Calibri" w:eastAsia="Calibri" w:cs="Calibri"/>
        </w:rPr>
        <w:t>Сравнение строится на forced binary evaluation. Для каждой пары есть score и один threshold_same, выбранный только на dev. Test используется как честная проверка выбранного порога. Основной продуктовый режим — threshold_weighted_cost: ошибки на SKU с большим объемом продаж получают больший вес.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30"/>
        <w:gridCol w:w="3000"/>
        <w:gridCol w:w="1900"/>
        <w:gridCol w:w="650"/>
        <w:gridCol w:w="650"/>
        <w:gridCol w:w="650"/>
        <w:gridCol w:w="500"/>
        <w:gridCol w:w="500"/>
        <w:gridCol w:w="1080"/>
      </w:tblGrid>
      <w:tr>
        <w:tc>
          <w:tcPr>
            <w:tcW w:type="dxa" w:w="4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#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Метод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Strategy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P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R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F1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FM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FS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5"/>
              </w:rPr>
              <w:t>W-cost</w:t>
            </w:r>
          </w:p>
        </w:tc>
      </w:tr>
      <w:tr>
        <w:tc>
          <w:tcPr>
            <w:tcW w:type="dxa" w:w="43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1</w:t>
            </w:r>
          </w:p>
        </w:tc>
        <w:tc>
          <w:tcPr>
            <w:tcW w:type="dxa" w:w="30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BGE v2 m3 marketplace fine-tune</w:t>
            </w:r>
          </w:p>
        </w:tc>
        <w:tc>
          <w:tcPr>
            <w:tcW w:type="dxa" w:w="19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threshold_weighted_cost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0.954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0.846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0.897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5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19</w:t>
            </w:r>
          </w:p>
        </w:tc>
        <w:tc>
          <w:tcPr>
            <w:tcW w:type="dxa" w:w="10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261.2</w:t>
            </w:r>
          </w:p>
        </w:tc>
      </w:tr>
      <w:tr>
        <w:tc>
          <w:tcPr>
            <w:tcW w:type="dxa" w:w="43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2</w:t>
            </w:r>
          </w:p>
        </w:tc>
        <w:tc>
          <w:tcPr>
            <w:tcW w:type="dxa" w:w="30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BGE reranker v2 m3 zero-shot</w:t>
            </w:r>
          </w:p>
        </w:tc>
        <w:tc>
          <w:tcPr>
            <w:tcW w:type="dxa" w:w="19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threshold_weighted_cost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0.931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0.220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0.355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2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96</w:t>
            </w:r>
          </w:p>
        </w:tc>
        <w:tc>
          <w:tcPr>
            <w:tcW w:type="dxa" w:w="10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499.1</w:t>
            </w:r>
          </w:p>
        </w:tc>
      </w:tr>
      <w:tr>
        <w:tc>
          <w:tcPr>
            <w:tcW w:type="dxa" w:w="43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3</w:t>
            </w:r>
          </w:p>
        </w:tc>
        <w:tc>
          <w:tcPr>
            <w:tcW w:type="dxa" w:w="30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multilingual-e5-small bi-encoder</w:t>
            </w:r>
          </w:p>
        </w:tc>
        <w:tc>
          <w:tcPr>
            <w:tcW w:type="dxa" w:w="19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threshold_weighted_cost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0.938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0.122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0.216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1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108</w:t>
            </w:r>
          </w:p>
        </w:tc>
        <w:tc>
          <w:tcPr>
            <w:tcW w:type="dxa" w:w="10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517.7</w:t>
            </w:r>
          </w:p>
        </w:tc>
      </w:tr>
      <w:tr>
        <w:tc>
          <w:tcPr>
            <w:tcW w:type="dxa" w:w="43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4</w:t>
            </w:r>
          </w:p>
        </w:tc>
        <w:tc>
          <w:tcPr>
            <w:tcW w:type="dxa" w:w="30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Rule-based fuzzy</w:t>
            </w:r>
          </w:p>
        </w:tc>
        <w:tc>
          <w:tcPr>
            <w:tcW w:type="dxa" w:w="19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threshold_weighted_cost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0.903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0.228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0.364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3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95</w:t>
            </w:r>
          </w:p>
        </w:tc>
        <w:tc>
          <w:tcPr>
            <w:tcW w:type="dxa" w:w="10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537.1</w:t>
            </w:r>
          </w:p>
        </w:tc>
      </w:tr>
      <w:tr>
        <w:tc>
          <w:tcPr>
            <w:tcW w:type="dxa" w:w="43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5</w:t>
            </w:r>
          </w:p>
        </w:tc>
        <w:tc>
          <w:tcPr>
            <w:tcW w:type="dxa" w:w="30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mMARCO cross-encoder</w:t>
            </w:r>
          </w:p>
        </w:tc>
        <w:tc>
          <w:tcPr>
            <w:tcW w:type="dxa" w:w="19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threshold_weighted_cost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0.000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0.000</w:t>
            </w:r>
          </w:p>
        </w:tc>
        <w:tc>
          <w:tcPr>
            <w:tcW w:type="dxa" w:w="65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0.000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2</w:t>
            </w:r>
          </w:p>
        </w:tc>
        <w:tc>
          <w:tcPr>
            <w:tcW w:type="dxa" w:w="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123</w:t>
            </w:r>
          </w:p>
        </w:tc>
        <w:tc>
          <w:tcPr>
            <w:tcW w:type="dxa" w:w="10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5"/>
              </w:rPr>
              <w:t>635.3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5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fine_tuned_bge_compariso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 w:cs="Calibri"/>
          <w:color w:val="5B6770"/>
          <w:sz w:val="18"/>
        </w:rPr>
      </w:r>
      <w:r>
        <w:rPr>
          <w:rFonts w:ascii="Calibri" w:hAnsi="Calibri" w:eastAsia="Calibri" w:cs="Calibri"/>
          <w:color w:val="5B6770"/>
          <w:sz w:val="18"/>
        </w:rPr>
        <w:t>Рисунок 3. Текущая локальная summary-визуализация: fine-tuned BGE дает лучший баланс F1 и weighted cost.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AF5EF"/>
            <w:tcBorders>
              <w:top w:val="single" w:sz="4" w:space="0" w:color="C7D1DB"/>
              <w:left w:val="single" w:sz="4" w:space="0" w:color="C7D1DB"/>
              <w:bottom w:val="single" w:sz="4" w:space="0" w:color="C7D1DB"/>
              <w:right w:val="single" w:sz="4" w:space="0" w:color="C7D1DB"/>
              <w:insideH w:val="single" w:sz="4" w:space="0" w:color="C7D1DB"/>
              <w:insideV w:val="single" w:sz="4" w:space="0" w:color="C7D1DB"/>
            </w:tcBorders>
          </w:tcPr>
          <w:p>
            <w:pPr>
              <w:spacing w:after="60"/>
            </w:pPr>
            <w:r>
              <w:rPr>
                <w:rFonts w:ascii="Calibri" w:hAnsi="Calibri" w:eastAsia="Calibri" w:cs="Calibri"/>
                <w:b/>
                <w:color w:val="1F4D78"/>
              </w:rPr>
              <w:t>Почему выбран fine-tuned BGE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sz w:val="20"/>
              </w:rPr>
              <w:t>Zero-shot модели либо слишком консервативны и теряют recall, либо дают высокий риск false merge. Fine-tuned BGE стал практичной production v1 моделью: fast inference, стабильный CrossEncoder path, сильный рост recall относительно safe zero-shot baseline и приемлемый false-merge профиль.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 w:cs="Calibri"/>
        </w:rPr>
        <w:t>6. Fusion graph: family и pack</w:t>
      </w:r>
    </w:p>
    <w:p>
      <w:r>
        <w:rPr>
          <w:rFonts w:ascii="Calibri" w:hAnsi="Calibri" w:eastAsia="Calibri" w:cs="Calibri"/>
        </w:rPr>
        <w:t>После pairwise scoring результат нельзя просто читать как список пар. Нужно собрать граф SKU, где positive edges создают family базового товара, а фасовка выделяется отдельным deterministic pack слоем по unit/total/multipack. В notebook 04 финальный family graph строится через Leiden community detection по weighted-рёбрам; connected components оставлены как audit baseline.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00"/>
        <w:gridCol w:w="1200"/>
        <w:gridCol w:w="516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Категория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Fusion rows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Алгоритм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Смысл</w:t>
            </w:r>
          </w:p>
        </w:tc>
      </w:tr>
      <w:tr>
        <w:tc>
          <w:tcPr>
            <w:tcW w:type="dxa" w:w="1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sauces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585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Leiden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Семьи/фасовки для sauce benchmark.</w:t>
            </w:r>
          </w:p>
        </w:tc>
      </w:tr>
      <w:tr>
        <w:tc>
          <w:tcPr>
            <w:tcW w:type="dxa" w:w="1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coconut_oil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250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Leiden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Граф и demo для coconut oil.</w:t>
            </w:r>
          </w:p>
        </w:tc>
      </w:tr>
      <w:tr>
        <w:tc>
          <w:tcPr>
            <w:tcW w:type="dxa" w:w="1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soap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382</w:t>
            </w:r>
          </w:p>
        </w:tc>
        <w:tc>
          <w:tcPr>
            <w:tcW w:type="dxa" w:w="12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Leiden</w:t>
            </w:r>
          </w:p>
        </w:tc>
        <w:tc>
          <w:tcPr>
            <w:tcW w:type="dxa" w:w="51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Отдельный graph output для soap.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6194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conut_oil_3d_graph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19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 w:cs="Calibri"/>
          <w:color w:val="5B6770"/>
          <w:sz w:val="18"/>
        </w:rPr>
      </w:r>
      <w:r>
        <w:rPr>
          <w:rFonts w:ascii="Calibri" w:hAnsi="Calibri" w:eastAsia="Calibri" w:cs="Calibri"/>
          <w:color w:val="5B6770"/>
          <w:sz w:val="18"/>
        </w:rPr>
        <w:t>Рисунок 4. Notebook 04: 3D family graph для coconut_oil, показывающий компоненты и локальную высоту/продажи.</w:t>
      </w:r>
    </w:p>
    <w:p>
      <w:pPr>
        <w:pStyle w:val="Heading1"/>
      </w:pPr>
      <w:r>
        <w:rPr>
          <w:rFonts w:ascii="Calibri" w:hAnsi="Calibri" w:eastAsia="Calibri" w:cs="Calibri"/>
        </w:rPr>
        <w:t>7. Production ML-дедуп в web-app</w:t>
      </w:r>
    </w:p>
    <w:p>
      <w:r>
        <w:rPr>
          <w:rFonts w:ascii="Calibri" w:hAnsi="Calibri" w:eastAsia="Calibri" w:cs="Calibri"/>
        </w:rPr>
        <w:t>Production v1 живет в pipeline/services/dedup/ и вызывается из web workflow. API и UI находятся в mpstats_app/api/dedup.py и web. Вкладка «Данные -&gt; ML-дедуп» показывает eligible-категории, текущий run, таблицу запусков, cache status, artifacts groups/edges и браузер SKU.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Параметр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E8EEF5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Значение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method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ft_bge_reranker_v2_m3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HF model id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exoldoff/bge-reranker-v2-m3-cross-encoder-marketplaces-rus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Embedding model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intfloat/multilingual-e5-small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FAISS top K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30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Activation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sigmoid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Threshold strategy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threshold_weighted_cost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sauces threshold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0.917444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coconut_oil threshold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0.872321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soap threshold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0.930329</w:t>
            </w:r>
          </w:p>
        </w:tc>
      </w:tr>
      <w:tr>
        <w:tc>
          <w:tcPr>
            <w:tcW w:type="dxa" w:w="27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fallback threshold</w:t>
            </w:r>
          </w:p>
        </w:tc>
        <w:tc>
          <w:tcPr>
            <w:tcW w:type="dxa" w:w="66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0.872321</w:t>
            </w:r>
          </w:p>
        </w:tc>
      </w:tr>
    </w:tbl>
    <w:p>
      <w:r>
        <w:rPr>
          <w:rFonts w:ascii="Calibri" w:hAnsi="Calibri" w:eastAsia="Calibri" w:cs="Calibri"/>
        </w:rPr>
        <w:t>Cache-логика теперь многоуровневая: identity-cache для уже известных node-&gt;group, embedding-cache по SKU-node, pair score-cache для cross-encoder score и snapshot-cache с embeddings.npy/node_ids.json/manifest.json для полностью одинакового source/model. Если в повторном запуске все node уже известны, ML-модели не запускаются: результат просто материализуется с актуальными продажами/выручкой.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Cache слой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7"/>
              </w:rPr>
              <w:t>Зачем нужен</w:t>
            </w:r>
          </w:p>
        </w:tc>
      </w:tr>
      <w:tr>
        <w:tc>
          <w:tcPr>
            <w:tcW w:type="dxa" w:w="2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identity-cache</w:t>
            </w:r>
          </w:p>
        </w:tc>
        <w:tc>
          <w:tcPr>
            <w:tcW w:type="dxa" w:w="68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Не пересобирать уже найденные группы node_id -&gt; товар/фасовка.</w:t>
            </w:r>
          </w:p>
        </w:tc>
      </w:tr>
      <w:tr>
        <w:tc>
          <w:tcPr>
            <w:tcW w:type="dxa" w:w="2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node embedding-cache</w:t>
            </w:r>
          </w:p>
        </w:tc>
        <w:tc>
          <w:tcPr>
            <w:tcW w:type="dxa" w:w="68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Не кодировать повторно SKU-node с тем же текстом.</w:t>
            </w:r>
          </w:p>
        </w:tc>
      </w:tr>
      <w:tr>
        <w:tc>
          <w:tcPr>
            <w:tcW w:type="dxa" w:w="2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pair score-cache</w:t>
            </w:r>
          </w:p>
        </w:tc>
        <w:tc>
          <w:tcPr>
            <w:tcW w:type="dxa" w:w="68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Не прогонять cross-encoder по уже скоренным парам.</w:t>
            </w:r>
          </w:p>
        </w:tc>
      </w:tr>
      <w:tr>
        <w:tc>
          <w:tcPr>
            <w:tcW w:type="dxa" w:w="25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snapshot-cache</w:t>
            </w:r>
          </w:p>
        </w:tc>
        <w:tc>
          <w:tcPr>
            <w:tcW w:type="dxa" w:w="68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7"/>
              </w:rPr>
              <w:t>Для полностью одинакового source/model читать embeddings.npy через mmap и быстро пересобрать IndexFlatIP.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55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 w:cs="Calibri"/>
          <w:color w:val="5B6770"/>
          <w:sz w:val="18"/>
        </w:rPr>
        <w:t>Рисунок 5. Production browser SKU: каноническая строка и входящие SKU в web-app.</w:t>
      </w:r>
    </w:p>
    <w:p>
      <w:pPr>
        <w:pStyle w:val="Heading1"/>
      </w:pPr>
      <w:r>
        <w:rPr>
          <w:rFonts w:ascii="Calibri" w:hAnsi="Calibri" w:eastAsia="Calibri" w:cs="Calibri"/>
        </w:rPr>
        <w:t>8. Как этим пользоваться сейчас</w:t>
      </w:r>
    </w:p>
    <w:p>
      <w:r>
        <w:rPr>
          <w:rFonts w:ascii="Calibri" w:hAnsi="Calibri" w:eastAsia="Calibri" w:cs="Calibri"/>
        </w:rPr>
        <w:t>Основной пользовательский сценарий не требует открывать ноутбуки или CSV вручную.</w:t>
      </w:r>
    </w:p>
    <w:p>
      <w:pPr>
        <w:pStyle w:val="ListNumber"/>
      </w:pPr>
      <w:r>
        <w:t>Запустить локальную web-app через MPStats Local App.command или .bat.</w:t>
      </w:r>
    </w:p>
    <w:p>
      <w:pPr>
        <w:pStyle w:val="ListNumber"/>
      </w:pPr>
      <w:r>
        <w:t>Собрать/обновить куб по нужным категориям.</w:t>
      </w:r>
    </w:p>
    <w:p>
      <w:pPr>
        <w:pStyle w:val="ListNumber"/>
      </w:pPr>
      <w:r>
        <w:t>Открыть «Данные -&gt; ML-дедуп», проверить путь к fine-tuned модели и параметры batch/K.</w:t>
      </w:r>
    </w:p>
    <w:p>
      <w:pPr>
        <w:pStyle w:val="ListNumber"/>
      </w:pPr>
      <w:r>
        <w:t>Отметить eligible-категории и нажать «Запустить», если нужен ручной rerun.</w:t>
      </w:r>
    </w:p>
    <w:p>
      <w:pPr>
        <w:pStyle w:val="ListNumber"/>
      </w:pPr>
      <w:r>
        <w:t>Проверить «Браузер SKU»: режим «2 уровня» показывает канон и входящие SKU, режим «Каноны» — только верхний уровень.</w:t>
      </w:r>
    </w:p>
    <w:p>
      <w:pPr>
        <w:pStyle w:val="ListNumber"/>
      </w:pPr>
      <w:r>
        <w:t>В «Данные -&gt; Выгрузка» использовать «CSV 2 уровня» или «CSV каноны».</w:t>
      </w:r>
    </w:p>
    <w:p>
      <w:r>
        <w:rPr>
          <w:rFonts w:ascii="Calibri" w:hAnsi="Calibri" w:eastAsia="Calibri" w:cs="Calibri"/>
        </w:rPr>
        <w:t>Важно: экспорт ML-дедупа не меняет количество строк в плоской выгрузке. Он добавляет поля идентичности: ML-группа товара, ML-группа фасовки, ML-канонический SKU, статус и run id.</w:t>
      </w:r>
    </w:p>
    <w:p>
      <w:pPr>
        <w:pStyle w:val="Heading1"/>
      </w:pPr>
      <w:r>
        <w:rPr>
          <w:rFonts w:ascii="Calibri" w:hAnsi="Calibri" w:eastAsia="Calibri" w:cs="Calibri"/>
        </w:rPr>
        <w:t>9. Границы, риски и следующие работы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3800"/>
        <w:gridCol w:w="3960"/>
      </w:tblGrid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Зона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Что уже решено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b/>
                <w:color w:val="1F2937"/>
                <w:sz w:val="16"/>
              </w:rPr>
              <w:t>Что еще проверить</w:t>
            </w:r>
          </w:p>
        </w:tc>
      </w:tr>
      <w:tr>
        <w:tc>
          <w:tcPr>
            <w:tcW w:type="dxa" w:w="16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False merge</w:t>
            </w:r>
          </w:p>
        </w:tc>
        <w:tc>
          <w:tcPr>
            <w:tcW w:type="dxa" w:w="3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Cost-sensitive/weighted threshold и category-specific пороги.</w:t>
            </w:r>
          </w:p>
        </w:tc>
        <w:tc>
          <w:tcPr>
            <w:tcW w:type="dxa" w:w="3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Ручной просмотр оставшихся suspect/failure examples и hard-negative пополнение.</w:t>
            </w:r>
          </w:p>
        </w:tc>
      </w:tr>
      <w:tr>
        <w:tc>
          <w:tcPr>
            <w:tcW w:type="dxa" w:w="16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Graph chaining</w:t>
            </w:r>
          </w:p>
        </w:tc>
        <w:tc>
          <w:tcPr>
            <w:tcW w:type="dxa" w:w="3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Leiden вместо простых connected components.</w:t>
            </w:r>
          </w:p>
        </w:tc>
        <w:tc>
          <w:tcPr>
            <w:tcW w:type="dxa" w:w="3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Component-level metrics и quarantine для рискованных больших компонент.</w:t>
            </w:r>
          </w:p>
        </w:tc>
      </w:tr>
      <w:tr>
        <w:tc>
          <w:tcPr>
            <w:tcW w:type="dxa" w:w="16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Runtime</w:t>
            </w:r>
          </w:p>
        </w:tc>
        <w:tc>
          <w:tcPr>
            <w:tcW w:type="dxa" w:w="3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Embedding/score/identity/snapshot caches.</w:t>
            </w:r>
          </w:p>
        </w:tc>
        <w:tc>
          <w:tcPr>
            <w:tcW w:type="dxa" w:w="3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Browser/e2e regression и мониторинг длительности на больших категориях.</w:t>
            </w:r>
          </w:p>
        </w:tc>
      </w:tr>
      <w:tr>
        <w:tc>
          <w:tcPr>
            <w:tcW w:type="dxa" w:w="16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Данные</w:t>
            </w:r>
          </w:p>
        </w:tc>
        <w:tc>
          <w:tcPr>
            <w:tcW w:type="dxa" w:w="3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Фильтр Продажи &gt;= 15 и положительный объем.</w:t>
            </w:r>
          </w:p>
        </w:tc>
        <w:tc>
          <w:tcPr>
            <w:tcW w:type="dxa" w:w="3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Проверить новые категории на полноту brand/weight/subcategory перед включением.</w:t>
            </w:r>
          </w:p>
        </w:tc>
      </w:tr>
      <w:tr>
        <w:tc>
          <w:tcPr>
            <w:tcW w:type="dxa" w:w="16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Документация</w:t>
            </w:r>
          </w:p>
        </w:tc>
        <w:tc>
          <w:tcPr>
            <w:tcW w:type="dxa" w:w="380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JURY_GUIDE, notebooks/README, USER_GUIDE, ARCHITECTURE_PROGRESS.</w:t>
            </w:r>
          </w:p>
        </w:tc>
        <w:tc>
          <w:tcPr>
            <w:tcW w:type="dxa" w:w="396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after="0" w:line="252" w:lineRule="auto"/>
            </w:pPr>
            <w:r>
              <w:rPr>
                <w:rFonts w:ascii="Calibri" w:hAnsi="Calibri" w:eastAsia="Calibri" w:cs="Calibri"/>
                <w:sz w:val="16"/>
              </w:rPr>
              <w:t>Поддерживать один текущий маршрут, не размазывая mutable status по старым отчетам.</w:t>
            </w:r>
          </w:p>
        </w:tc>
      </w:tr>
    </w:tbl>
    <w:p>
      <w:pPr>
        <w:pStyle w:val="Heading1"/>
      </w:pPr>
      <w:r>
        <w:rPr>
          <w:rFonts w:ascii="Calibri" w:hAnsi="Calibri" w:eastAsia="Calibri" w:cs="Calibri"/>
        </w:rPr>
        <w:t>10. Источники и проверяемые файлы</w:t>
      </w:r>
    </w:p>
    <w:p>
      <w:pPr>
        <w:pStyle w:val="ListBullet"/>
      </w:pPr>
      <w:r>
        <w:rPr>
          <w:rFonts w:ascii="Calibri" w:hAnsi="Calibri" w:eastAsia="Calibri" w:cs="Calibri"/>
        </w:rPr>
        <w:t>docs/AI_INDEX.md, docs/AGENT_NAVIGATION.md, docs/ARCHITECTURE.md, docs/ARCHITECTURE_PROGRESS.md.</w:t>
      </w:r>
    </w:p>
    <w:p>
      <w:pPr>
        <w:pStyle w:val="ListBullet"/>
      </w:pPr>
      <w:r>
        <w:rPr>
          <w:rFonts w:ascii="Calibri" w:hAnsi="Calibri" w:eastAsia="Calibri" w:cs="Calibri"/>
        </w:rPr>
        <w:t>docs/USER_GUIDE.md, раздел «Данные -&gt; ML-дедуп».</w:t>
      </w:r>
    </w:p>
    <w:p>
      <w:pPr>
        <w:pStyle w:val="ListBullet"/>
      </w:pPr>
      <w:r>
        <w:rPr>
          <w:rFonts w:ascii="Calibri" w:hAnsi="Calibri" w:eastAsia="Calibri" w:cs="Calibri"/>
        </w:rPr>
        <w:t>pipeline/services/dedup/model_profile.json.</w:t>
      </w:r>
    </w:p>
    <w:p>
      <w:pPr>
        <w:pStyle w:val="ListBullet"/>
      </w:pPr>
      <w:r>
        <w:rPr>
          <w:rFonts w:ascii="Calibri" w:hAnsi="Calibri" w:eastAsia="Calibri" w:cs="Calibri"/>
        </w:rPr>
        <w:t>notebooks/README.md и notebooks/00_eda.ipynb ... notebooks/05_grouped_sku_demo.ipynb.</w:t>
      </w:r>
    </w:p>
    <w:p>
      <w:pPr>
        <w:pStyle w:val="ListBullet"/>
      </w:pPr>
      <w:r>
        <w:rPr>
          <w:rFonts w:ascii="Calibri" w:hAnsi="Calibri" w:eastAsia="Calibri" w:cs="Calibri"/>
        </w:rPr>
        <w:t>artifacts/reports/fine_tuning/all_models_terminal_summary.csv и binary_threshold_summary.csv.</w:t>
      </w:r>
    </w:p>
    <w:p>
      <w:pPr>
        <w:pStyle w:val="ListBullet"/>
      </w:pPr>
      <w:r>
        <w:rPr>
          <w:rFonts w:ascii="Calibri" w:hAnsi="Calibri" w:eastAsia="Calibri" w:cs="Calibri"/>
        </w:rPr>
        <w:t>research/dedup/data/* local artifacts: candidates, labeling, frozen splits, fusion outputs.</w:t>
      </w:r>
    </w:p>
    <w:p>
      <w:pPr>
        <w:pStyle w:val="ListBullet"/>
      </w:pPr>
      <w:r>
        <w:rPr>
          <w:rFonts w:ascii="Calibri" w:hAnsi="Calibri" w:eastAsia="Calibri" w:cs="Calibri"/>
        </w:rPr>
        <w:t>/Users/exoldoff/Desktop/да: скриншоты notebook/output/web-app для визуальной части отчета.</w:t>
      </w:r>
    </w:p>
    <w:p>
      <w:r>
        <w:rPr>
          <w:rFonts w:ascii="Calibri" w:hAnsi="Calibri" w:eastAsia="Calibri" w:cs="Calibri"/>
        </w:rPr>
        <w:t>Оговорка: CSV/DB/artifacts являются локальными свидетельствами этого development checkout. Они полезны для отчета о текущей разработке, но не заменяют состояние пользовательской машины с production-данными.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 w:cs="Calibri"/>
        <w:color w:val="5B6770"/>
        <w:sz w:val="18"/>
      </w:rPr>
      <w:t>Локальный отчет по состоянию репозитория и артефактов на 1 июля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 w:cs="Calibri"/>
        <w:color w:val="5B6770"/>
        <w:sz w:val="18"/>
      </w:rPr>
      <w:t>MPStats ML-дедупликация — отчет о процессе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Calibri" w:hAnsi="Calibri" w:eastAsia="Calibri"/>
      <w:b/>
      <w:bCs/>
      <w:i w:val="0"/>
      <w:color w:val="5B677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MPStats: процесс разработки ML-дедупликации SKU</dc:title>
  <dc:subject>Отчет о research и production ML-дедупликации</dc:subject>
  <dc:creator>Codex</dc:creator>
  <cp:keywords>MPStats, SKU dedup, FAISS, BGE, threshold, identity layer</cp:keywords>
  <dc:description>Generated from current worktree and local artifacts on 2026-07-01.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