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4"/>
          <w:szCs w:val="44"/>
        </w:rPr>
        <w:t xml:space="preserve">Statement of Work</w:t>
      </w:r>
    </w:p>
    <w:p>
      <w:pPr>
        <w:spacing w:after="40"/>
        <w:jc w:val="center"/>
      </w:pPr>
      <w:r>
        <w:rPr>
          <w:color w:val="555555"/>
          <w:sz w:val="26"/>
          <w:szCs w:val="26"/>
        </w:rPr>
        <w:t xml:space="preserve">HOA Management SaaS Platform — MVP Build</w:t>
      </w:r>
    </w:p>
    <w:p>
      <w:pPr>
        <w:spacing w:after="320"/>
        <w:jc w:val="center"/>
      </w:pPr>
      <w:r>
        <w:rPr>
          <w:color w:val="888888"/>
          <w:sz w:val="20"/>
          <w:szCs w:val="20"/>
        </w:rPr>
        <w:t xml:space="preserve">Prepared: August 28, 2026  ·  Version 1.0  ·  Status: Draft for review</w:t>
      </w:r>
    </w:p>
    <w:p>
      <w:pPr>
        <w:pBdr>
          <w:bottom w:val="single" w:color="CCCCCC" w:sz="6"/>
        </w:pBdr>
        <w:spacing w:after="240"/>
      </w:pPr>
    </w:p>
    <w:p>
      <w:pPr>
        <w:pStyle w:val="Heading1"/>
        <w:spacing w:after="160" w:before="320"/>
      </w:pPr>
      <w:r>
        <w:t xml:space="preserve">1. Project overview</w:t>
      </w:r>
    </w:p>
    <w:p>
      <w:pPr>
        <w:spacing w:after="160"/>
      </w:pPr>
      <w:r>
        <w:t xml:space="preserve">This project delivers a multi-tenant, cloud-based HOA (homeowners association) management platform for the Philippine market, modeled on category leaders such as HOAS. The platform will be sold as SaaS to multiple independent HOAs, each operating as an isolated tenant on shared infrastructure.</w:t>
      </w:r>
    </w:p>
    <w:p>
      <w:pPr>
        <w:spacing w:after="160"/>
      </w:pPr>
      <w:r>
        <w:t xml:space="preserve">The MVP scope prioritizes the features that make an HOA board switch to a new platform — accurate billing and accounting, homeowner and property records, and gate/visitor security — while deferring high-effort, adoption-dependent features (such as a resident marketplace) to a later phase.</w:t>
      </w:r>
    </w:p>
    <w:p>
      <w:pPr>
        <w:pStyle w:val="Heading2"/>
        <w:spacing w:after="120" w:before="240"/>
      </w:pPr>
      <w:r>
        <w:t xml:space="preserve">1.1 Objectives</w:t>
      </w:r>
    </w:p>
    <w:p>
      <w:pPr>
        <w:pStyle w:val="ListParagraph"/>
        <w:numPr>
          <w:ilvl w:val="0"/>
          <w:numId w:val="2"/>
        </w:numPr>
        <w:spacing w:after="80"/>
      </w:pPr>
      <w:r>
        <w:t xml:space="preserve">Enable an HOA administrator to onboard a community, import properties and homeowners, and begin billing within a single session.</w:t>
      </w:r>
    </w:p>
    <w:p>
      <w:pPr>
        <w:pStyle w:val="ListParagraph"/>
        <w:numPr>
          <w:ilvl w:val="0"/>
          <w:numId w:val="2"/>
        </w:numPr>
        <w:spacing w:after="80"/>
      </w:pPr>
      <w:r>
        <w:t xml:space="preserve">Automate monthly dues billing with a correct, auditable double-entry ledger underneath.</w:t>
      </w:r>
    </w:p>
    <w:p>
      <w:pPr>
        <w:pStyle w:val="ListParagraph"/>
        <w:numPr>
          <w:ilvl w:val="0"/>
          <w:numId w:val="2"/>
        </w:numPr>
        <w:spacing w:after="80"/>
      </w:pPr>
      <w:r>
        <w:t xml:space="preserve">Give homeowners self-service visibility into their dues, balance, and payment history.</w:t>
      </w:r>
    </w:p>
    <w:p>
      <w:pPr>
        <w:pStyle w:val="ListParagraph"/>
        <w:numPr>
          <w:ilvl w:val="0"/>
          <w:numId w:val="2"/>
        </w:numPr>
        <w:spacing w:after="80"/>
      </w:pPr>
      <w:r>
        <w:t xml:space="preserve">Provide a guard-facing tool to validate visitor gate passes in real time.</w:t>
      </w:r>
    </w:p>
    <w:p>
      <w:pPr>
        <w:pStyle w:val="ListParagraph"/>
        <w:numPr>
          <w:ilvl w:val="0"/>
          <w:numId w:val="2"/>
        </w:numPr>
        <w:spacing w:after="80"/>
      </w:pPr>
      <w:r>
        <w:t xml:space="preserve">Support local payment methods relevant to the Philippine market (GCash, Maya, bank transfer, cash, check).</w:t>
      </w:r>
    </w:p>
    <w:p>
      <w:pPr>
        <w:pStyle w:val="Heading2"/>
        <w:spacing w:after="120" w:before="240"/>
      </w:pPr>
      <w:r>
        <w:t xml:space="preserve">1.2 Out of scope for MVP</w:t>
      </w:r>
    </w:p>
    <w:p>
      <w:pPr>
        <w:pStyle w:val="ListParagraph"/>
        <w:numPr>
          <w:ilvl w:val="0"/>
          <w:numId w:val="2"/>
        </w:numPr>
        <w:spacing w:after="80"/>
      </w:pPr>
      <w:r>
        <w:t xml:space="preserve">Resident marketplace (buy/sell listings with buyer–seller messaging) — deferred to Phase 2, pending validated demand from live HOAs.</w:t>
      </w:r>
    </w:p>
    <w:p>
      <w:pPr>
        <w:pStyle w:val="ListParagraph"/>
        <w:numPr>
          <w:ilvl w:val="0"/>
          <w:numId w:val="2"/>
        </w:numPr>
        <w:spacing w:after="80"/>
      </w:pPr>
      <w:r>
        <w:t xml:space="preserve">RA 9904-compliant online voting and elections.</w:t>
      </w:r>
    </w:p>
    <w:p>
      <w:pPr>
        <w:pStyle w:val="ListParagraph"/>
        <w:numPr>
          <w:ilvl w:val="0"/>
          <w:numId w:val="2"/>
        </w:numPr>
        <w:spacing w:after="80"/>
      </w:pPr>
      <w:r>
        <w:t xml:space="preserve">Water metering and tiered utility billing.</w:t>
      </w:r>
    </w:p>
    <w:p>
      <w:pPr>
        <w:pStyle w:val="ListParagraph"/>
        <w:numPr>
          <w:ilvl w:val="0"/>
          <w:numId w:val="2"/>
        </w:numPr>
        <w:spacing w:after="80"/>
      </w:pPr>
      <w:r>
        <w:t xml:space="preserve">Amenity booking system.</w:t>
      </w:r>
    </w:p>
    <w:p>
      <w:pPr>
        <w:pStyle w:val="ListParagraph"/>
        <w:numPr>
          <w:ilvl w:val="0"/>
          <w:numId w:val="2"/>
        </w:numPr>
        <w:spacing w:after="80"/>
      </w:pPr>
      <w:r>
        <w:t xml:space="preserve">Native iOS/Android homeowner app (web-responsive portal only for MVP).</w:t>
      </w:r>
    </w:p>
    <w:p>
      <w:pPr>
        <w:pStyle w:val="ListParagraph"/>
        <w:numPr>
          <w:ilvl w:val="0"/>
          <w:numId w:val="2"/>
        </w:numPr>
        <w:spacing w:after="80"/>
      </w:pPr>
      <w:r>
        <w:t xml:space="preserve">Google Calendar sync and unified calendar.</w:t>
      </w:r>
    </w:p>
    <w:p>
      <w:pPr>
        <w:pStyle w:val="Heading1"/>
        <w:spacing w:after="160" w:before="320"/>
      </w:pPr>
      <w:r>
        <w:t xml:space="preserve">2. Scope of work</w:t>
      </w:r>
    </w:p>
    <w:p>
      <w:pPr>
        <w:pStyle w:val="Heading2"/>
        <w:spacing w:after="120" w:before="240"/>
      </w:pPr>
      <w:r>
        <w:t xml:space="preserve">2.1 Core platform &amp; multi-tenancy</w:t>
      </w:r>
    </w:p>
    <w:p>
      <w:pPr>
        <w:pStyle w:val="ListParagraph"/>
        <w:numPr>
          <w:ilvl w:val="0"/>
          <w:numId w:val="2"/>
        </w:numPr>
        <w:spacing w:after="80"/>
      </w:pPr>
      <w:r>
        <w:t xml:space="preserve">Organization (tenant) model — each HOA is isolated by org_id across all data.</w:t>
      </w:r>
    </w:p>
    <w:p>
      <w:pPr>
        <w:pStyle w:val="ListParagraph"/>
        <w:numPr>
          <w:ilvl w:val="0"/>
          <w:numId w:val="2"/>
        </w:numPr>
        <w:spacing w:after="80"/>
      </w:pPr>
      <w:r>
        <w:t xml:space="preserve">Role-based access: platform super-admin, HOA admin/treasurer, board member, guard, homeowner.</w:t>
      </w:r>
    </w:p>
    <w:p>
      <w:pPr>
        <w:pStyle w:val="ListParagraph"/>
        <w:numPr>
          <w:ilvl w:val="0"/>
          <w:numId w:val="2"/>
        </w:numPr>
        <w:spacing w:after="80"/>
      </w:pPr>
      <w:r>
        <w:t xml:space="preserve">Authentication and session management.</w:t>
      </w:r>
    </w:p>
    <w:p>
      <w:pPr>
        <w:pStyle w:val="Heading2"/>
        <w:spacing w:after="120" w:before="240"/>
      </w:pPr>
      <w:r>
        <w:t xml:space="preserve">2.2 Property &amp; homeowner management</w:t>
      </w:r>
    </w:p>
    <w:p>
      <w:pPr>
        <w:pStyle w:val="ListParagraph"/>
        <w:numPr>
          <w:ilvl w:val="0"/>
          <w:numId w:val="2"/>
        </w:numPr>
        <w:spacing w:after="80"/>
      </w:pPr>
      <w:r>
        <w:t xml:space="preserve">Property database: unit number, type (residential/commercial/townhouse), monthly rate.</w:t>
      </w:r>
    </w:p>
    <w:p>
      <w:pPr>
        <w:pStyle w:val="ListParagraph"/>
        <w:numPr>
          <w:ilvl w:val="0"/>
          <w:numId w:val="2"/>
        </w:numPr>
        <w:spacing w:after="80"/>
      </w:pPr>
      <w:r>
        <w:t xml:space="preserve">Homeowner records linked to properties, including co-owners/renters.</w:t>
      </w:r>
    </w:p>
    <w:p>
      <w:pPr>
        <w:pStyle w:val="ListParagraph"/>
        <w:numPr>
          <w:ilvl w:val="0"/>
          <w:numId w:val="2"/>
        </w:numPr>
        <w:spacing w:after="80"/>
      </w:pPr>
      <w:r>
        <w:t xml:space="preserve">CSV import for initial onboarding of an HOA's property roll.</w:t>
      </w:r>
    </w:p>
    <w:p>
      <w:pPr>
        <w:pStyle w:val="Heading2"/>
        <w:spacing w:after="120" w:before="240"/>
      </w:pPr>
      <w:r>
        <w:t xml:space="preserve">2.3 Billing &amp; accounting</w:t>
      </w:r>
    </w:p>
    <w:p>
      <w:pPr>
        <w:pStyle w:val="ListParagraph"/>
        <w:numPr>
          <w:ilvl w:val="0"/>
          <w:numId w:val="2"/>
        </w:numPr>
        <w:spacing w:after="80"/>
      </w:pPr>
      <w:r>
        <w:t xml:space="preserve">Automated monthly dues invoice generation with configurable per-property-type rates.</w:t>
      </w:r>
    </w:p>
    <w:p>
      <w:pPr>
        <w:pStyle w:val="ListParagraph"/>
        <w:numPr>
          <w:ilvl w:val="0"/>
          <w:numId w:val="2"/>
        </w:numPr>
        <w:spacing w:after="80"/>
      </w:pPr>
      <w:r>
        <w:t xml:space="preserve">Manual payment recording — cash, check, bank transfer, GCash, Maya.</w:t>
      </w:r>
    </w:p>
    <w:p>
      <w:pPr>
        <w:pStyle w:val="ListParagraph"/>
        <w:numPr>
          <w:ilvl w:val="0"/>
          <w:numId w:val="2"/>
        </w:numPr>
        <w:spacing w:after="80"/>
      </w:pPr>
      <w:r>
        <w:t xml:space="preserve">Double-entry ledger: chart of accounts, journal entries, and journal lines auto-posted from invoice and payment events.</w:t>
      </w:r>
    </w:p>
    <w:p>
      <w:pPr>
        <w:pStyle w:val="ListParagraph"/>
        <w:numPr>
          <w:ilvl w:val="0"/>
          <w:numId w:val="2"/>
        </w:numPr>
        <w:spacing w:after="80"/>
      </w:pPr>
      <w:r>
        <w:t xml:space="preserve">Statement of Account (SOA) generation, single and bulk.</w:t>
      </w:r>
    </w:p>
    <w:p>
      <w:pPr>
        <w:pStyle w:val="Heading2"/>
        <w:spacing w:after="120" w:before="240"/>
      </w:pPr>
      <w:r>
        <w:t xml:space="preserve">2.4 Homeowner portal</w:t>
      </w:r>
    </w:p>
    <w:p>
      <w:pPr>
        <w:pStyle w:val="ListParagraph"/>
        <w:numPr>
          <w:ilvl w:val="0"/>
          <w:numId w:val="2"/>
        </w:numPr>
        <w:spacing w:after="80"/>
      </w:pPr>
      <w:r>
        <w:t xml:space="preserve">View current dues, balance, and due dates.</w:t>
      </w:r>
    </w:p>
    <w:p>
      <w:pPr>
        <w:pStyle w:val="ListParagraph"/>
        <w:numPr>
          <w:ilvl w:val="0"/>
          <w:numId w:val="2"/>
        </w:numPr>
        <w:spacing w:after="80"/>
      </w:pPr>
      <w:r>
        <w:t xml:space="preserve">View payment history.</w:t>
      </w:r>
    </w:p>
    <w:p>
      <w:pPr>
        <w:pStyle w:val="ListParagraph"/>
        <w:numPr>
          <w:ilvl w:val="0"/>
          <w:numId w:val="2"/>
        </w:numPr>
        <w:spacing w:after="80"/>
      </w:pPr>
      <w:r>
        <w:t xml:space="preserve">View HOA announcements (read-only for MVP).</w:t>
      </w:r>
    </w:p>
    <w:p>
      <w:pPr>
        <w:pStyle w:val="Heading2"/>
        <w:spacing w:after="120" w:before="240"/>
      </w:pPr>
      <w:r>
        <w:t xml:space="preserve">2.5 Gate security</w:t>
      </w:r>
    </w:p>
    <w:p>
      <w:pPr>
        <w:pStyle w:val="ListParagraph"/>
        <w:numPr>
          <w:ilvl w:val="0"/>
          <w:numId w:val="2"/>
        </w:numPr>
        <w:spacing w:after="80"/>
      </w:pPr>
      <w:r>
        <w:t xml:space="preserve">Guard-role portal for validating gate passes at entry.</w:t>
      </w:r>
    </w:p>
    <w:p>
      <w:pPr>
        <w:pStyle w:val="ListParagraph"/>
        <w:numPr>
          <w:ilvl w:val="0"/>
          <w:numId w:val="2"/>
        </w:numPr>
        <w:spacing w:after="80"/>
      </w:pPr>
      <w:r>
        <w:t xml:space="preserve">Single-use gate pass creation by admin or homeowner, with a validity window.</w:t>
      </w:r>
    </w:p>
    <w:p>
      <w:pPr>
        <w:pStyle w:val="ListParagraph"/>
        <w:numPr>
          <w:ilvl w:val="0"/>
          <w:numId w:val="2"/>
        </w:numPr>
        <w:spacing w:after="80"/>
      </w:pPr>
      <w:r>
        <w:t xml:space="preserve">Visitor log for the property.</w:t>
      </w:r>
    </w:p>
    <w:p>
      <w:pPr>
        <w:pStyle w:val="Heading2"/>
        <w:spacing w:after="120" w:before="240"/>
      </w:pPr>
      <w:r>
        <w:t xml:space="preserve">2.6 Payments integration</w:t>
      </w:r>
    </w:p>
    <w:p>
      <w:pPr>
        <w:pStyle w:val="ListParagraph"/>
        <w:numPr>
          <w:ilvl w:val="0"/>
          <w:numId w:val="2"/>
        </w:numPr>
        <w:spacing w:after="80"/>
      </w:pPr>
      <w:r>
        <w:t xml:space="preserve">PayMongo integration covering both GCash and Maya as payment rails.</w:t>
      </w:r>
    </w:p>
    <w:p>
      <w:pPr>
        <w:pStyle w:val="ListParagraph"/>
        <w:numPr>
          <w:ilvl w:val="0"/>
          <w:numId w:val="2"/>
        </w:numPr>
        <w:spacing w:after="80"/>
      </w:pPr>
      <w:r>
        <w:t xml:space="preserve">Manual reconciliation view for offline payment methods (cash, check, bank transfer).</w:t>
      </w:r>
    </w:p>
    <w:p>
      <w:pPr>
        <w:pStyle w:val="Heading1"/>
        <w:spacing w:after="160" w:before="320"/>
      </w:pPr>
      <w:r>
        <w:t xml:space="preserve">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Mar>
              <w:top w:type="dxa" w:w="100"/>
              <w:left w:type="dxa" w:w="120"/>
              <w:bottom w:type="dxa" w:w="100"/>
              <w:right w:type="dxa" w:w="120"/>
            </w:tcMar>
          </w:tcPr>
          <w:p>
            <w:pPr>
              <w:jc w:val="left"/>
            </w:pPr>
            <w:r>
              <w:rPr>
                <w:b/>
                <w:bCs/>
              </w:rPr>
              <w:t xml:space="preserve">Working software</w:t>
            </w:r>
          </w:p>
        </w:tc>
        <w:tc>
          <w:tcPr>
            <w:tcW w:type="dxa" w:w="5860"/>
            <w:tcMar>
              <w:top w:type="dxa" w:w="100"/>
              <w:left w:type="dxa" w:w="120"/>
              <w:bottom w:type="dxa" w:w="100"/>
              <w:right w:type="dxa" w:w="120"/>
            </w:tcMar>
          </w:tcPr>
          <w:p>
            <w:pPr>
              <w:jc w:val="left"/>
            </w:pPr>
            <w:r>
              <w:rPr>
                <w:b w:val="false"/>
                <w:bCs w:val="false"/>
              </w:rPr>
              <w:t xml:space="preserve">Deployed multi-tenant web application covering all MVP scope in Section 2.</w:t>
            </w:r>
          </w:p>
        </w:tc>
      </w:tr>
      <w:tr>
        <w:tc>
          <w:tcPr>
            <w:tcW w:type="dxa" w:w="3500"/>
            <w:shd w:fill="F2F2F2" w:val="clear"/>
            <w:tcMar>
              <w:top w:type="dxa" w:w="100"/>
              <w:left w:type="dxa" w:w="120"/>
              <w:bottom w:type="dxa" w:w="100"/>
              <w:right w:type="dxa" w:w="120"/>
            </w:tcMar>
          </w:tcPr>
          <w:p>
            <w:pPr>
              <w:jc w:val="left"/>
            </w:pPr>
            <w:r>
              <w:rPr>
                <w:b/>
                <w:bCs/>
              </w:rPr>
              <w:t xml:space="preserve">Source code</w:t>
            </w:r>
          </w:p>
        </w:tc>
        <w:tc>
          <w:tcPr>
            <w:tcW w:type="dxa" w:w="5860"/>
            <w:tcMar>
              <w:top w:type="dxa" w:w="100"/>
              <w:left w:type="dxa" w:w="120"/>
              <w:bottom w:type="dxa" w:w="100"/>
              <w:right w:type="dxa" w:w="120"/>
            </w:tcMar>
          </w:tcPr>
          <w:p>
            <w:pPr>
              <w:jc w:val="left"/>
            </w:pPr>
            <w:r>
              <w:rPr>
                <w:b w:val="false"/>
                <w:bCs w:val="false"/>
              </w:rPr>
              <w:t xml:space="preserve">Full repository with commit history, handed over to client-owned version control.</w:t>
            </w:r>
          </w:p>
        </w:tc>
      </w:tr>
      <w:tr>
        <w:tc>
          <w:tcPr>
            <w:tcW w:type="dxa" w:w="3500"/>
            <w:shd w:fill="F2F2F2" w:val="clear"/>
            <w:tcMar>
              <w:top w:type="dxa" w:w="100"/>
              <w:left w:type="dxa" w:w="120"/>
              <w:bottom w:type="dxa" w:w="100"/>
              <w:right w:type="dxa" w:w="120"/>
            </w:tcMar>
          </w:tcPr>
          <w:p>
            <w:pPr>
              <w:jc w:val="left"/>
            </w:pPr>
            <w:r>
              <w:rPr>
                <w:b/>
                <w:bCs/>
              </w:rPr>
              <w:t xml:space="preserve">Database schema</w:t>
            </w:r>
          </w:p>
        </w:tc>
        <w:tc>
          <w:tcPr>
            <w:tcW w:type="dxa" w:w="5860"/>
            <w:tcMar>
              <w:top w:type="dxa" w:w="100"/>
              <w:left w:type="dxa" w:w="120"/>
              <w:bottom w:type="dxa" w:w="100"/>
              <w:right w:type="dxa" w:w="120"/>
            </w:tcMar>
          </w:tcPr>
          <w:p>
            <w:pPr>
              <w:jc w:val="left"/>
            </w:pPr>
            <w:r>
              <w:rPr>
                <w:b w:val="false"/>
                <w:bCs w:val="false"/>
              </w:rPr>
              <w:t xml:space="preserve">Documented schema (properties, billing, ledger, gate passes) with migration scripts.</w:t>
            </w:r>
          </w:p>
        </w:tc>
      </w:tr>
      <w:tr>
        <w:tc>
          <w:tcPr>
            <w:tcW w:type="dxa" w:w="3500"/>
            <w:shd w:fill="F2F2F2" w:val="clear"/>
            <w:tcMar>
              <w:top w:type="dxa" w:w="100"/>
              <w:left w:type="dxa" w:w="120"/>
              <w:bottom w:type="dxa" w:w="100"/>
              <w:right w:type="dxa" w:w="120"/>
            </w:tcMar>
          </w:tcPr>
          <w:p>
            <w:pPr>
              <w:jc w:val="left"/>
            </w:pPr>
            <w:r>
              <w:rPr>
                <w:b/>
                <w:bCs/>
              </w:rPr>
              <w:t xml:space="preserve">Admin onboarding flow</w:t>
            </w:r>
          </w:p>
        </w:tc>
        <w:tc>
          <w:tcPr>
            <w:tcW w:type="dxa" w:w="5860"/>
            <w:tcMar>
              <w:top w:type="dxa" w:w="100"/>
              <w:left w:type="dxa" w:w="120"/>
              <w:bottom w:type="dxa" w:w="100"/>
              <w:right w:type="dxa" w:w="120"/>
            </w:tcMar>
          </w:tcPr>
          <w:p>
            <w:pPr>
              <w:jc w:val="left"/>
            </w:pPr>
            <w:r>
              <w:rPr>
                <w:b w:val="false"/>
                <w:bCs w:val="false"/>
              </w:rPr>
              <w:t xml:space="preserve">Self-serve flow for a new HOA to sign up and begin configuration.</w:t>
            </w:r>
          </w:p>
        </w:tc>
      </w:tr>
      <w:tr>
        <w:tc>
          <w:tcPr>
            <w:tcW w:type="dxa" w:w="3500"/>
            <w:shd w:fill="F2F2F2" w:val="clear"/>
            <w:tcMar>
              <w:top w:type="dxa" w:w="100"/>
              <w:left w:type="dxa" w:w="120"/>
              <w:bottom w:type="dxa" w:w="100"/>
              <w:right w:type="dxa" w:w="120"/>
            </w:tcMar>
          </w:tcPr>
          <w:p>
            <w:pPr>
              <w:jc w:val="left"/>
            </w:pPr>
            <w:r>
              <w:rPr>
                <w:b/>
                <w:bCs/>
              </w:rPr>
              <w:t xml:space="preserve">Documentation</w:t>
            </w:r>
          </w:p>
        </w:tc>
        <w:tc>
          <w:tcPr>
            <w:tcW w:type="dxa" w:w="5860"/>
            <w:tcMar>
              <w:top w:type="dxa" w:w="100"/>
              <w:left w:type="dxa" w:w="120"/>
              <w:bottom w:type="dxa" w:w="100"/>
              <w:right w:type="dxa" w:w="120"/>
            </w:tcMar>
          </w:tcPr>
          <w:p>
            <w:pPr>
              <w:jc w:val="left"/>
            </w:pPr>
            <w:r>
              <w:rPr>
                <w:b w:val="false"/>
                <w:bCs w:val="false"/>
              </w:rPr>
              <w:t xml:space="preserve">Setup/deployment guide and a short admin user guide.</w:t>
            </w:r>
          </w:p>
        </w:tc>
      </w:tr>
      <w:tr>
        <w:tc>
          <w:tcPr>
            <w:tcW w:type="dxa" w:w="3500"/>
            <w:shd w:fill="F2F2F2" w:val="clear"/>
            <w:tcMar>
              <w:top w:type="dxa" w:w="100"/>
              <w:left w:type="dxa" w:w="120"/>
              <w:bottom w:type="dxa" w:w="100"/>
              <w:right w:type="dxa" w:w="120"/>
            </w:tcMar>
          </w:tcPr>
          <w:p>
            <w:pPr>
              <w:jc w:val="left"/>
            </w:pPr>
            <w:r>
              <w:rPr>
                <w:b/>
                <w:bCs/>
              </w:rPr>
              <w:t xml:space="preserve">Test data</w:t>
            </w:r>
          </w:p>
        </w:tc>
        <w:tc>
          <w:tcPr>
            <w:tcW w:type="dxa" w:w="5860"/>
            <w:tcMar>
              <w:top w:type="dxa" w:w="100"/>
              <w:left w:type="dxa" w:w="120"/>
              <w:bottom w:type="dxa" w:w="100"/>
              <w:right w:type="dxa" w:w="120"/>
            </w:tcMar>
          </w:tcPr>
          <w:p>
            <w:pPr>
              <w:jc w:val="left"/>
            </w:pPr>
            <w:r>
              <w:rPr>
                <w:b w:val="false"/>
                <w:bCs w:val="false"/>
              </w:rPr>
              <w:t xml:space="preserve">Seed script producing a representative demo HOA for QA and demos.</w:t>
            </w:r>
          </w:p>
        </w:tc>
      </w:tr>
    </w:tbl>
    <w:p>
      <w:pPr>
        <w:pStyle w:val="Heading1"/>
        <w:spacing w:after="160" w:before="320"/>
      </w:pPr>
      <w:r>
        <w:t xml:space="preserve">4. Timeline &amp; phases</w:t>
      </w:r>
    </w:p>
    <w:p>
      <w:pPr>
        <w:spacing w:after="160"/>
      </w:pPr>
      <w:r>
        <w:t xml:space="preserve">Indicative timeline assuming one full-stack developer at typical velocity. Adjust based on actual team size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2000"/>
      </w:tblGrid>
      <w:tr>
        <w:tc>
          <w:tcPr>
            <w:tcW w:type="dxa" w:w="2400"/>
            <w:shd w:fill="E8E8E8" w:val="clear"/>
            <w:tcMar>
              <w:top w:type="dxa" w:w="100"/>
              <w:left w:type="dxa" w:w="120"/>
              <w:bottom w:type="dxa" w:w="100"/>
              <w:right w:type="dxa" w:w="120"/>
            </w:tcMar>
          </w:tcPr>
          <w:p>
            <w:pPr>
              <w:jc w:val="left"/>
            </w:pPr>
            <w:r>
              <w:rPr>
                <w:b/>
                <w:bCs/>
              </w:rPr>
              <w:t xml:space="preserve">Phase</w:t>
            </w:r>
          </w:p>
        </w:tc>
        <w:tc>
          <w:tcPr>
            <w:tcW w:type="dxa" w:w="5800"/>
            <w:shd w:fill="E8E8E8" w:val="clear"/>
            <w:tcMar>
              <w:top w:type="dxa" w:w="100"/>
              <w:left w:type="dxa" w:w="120"/>
              <w:bottom w:type="dxa" w:w="100"/>
              <w:right w:type="dxa" w:w="120"/>
            </w:tcMar>
          </w:tcPr>
          <w:p>
            <w:pPr>
              <w:jc w:val="left"/>
            </w:pPr>
            <w:r>
              <w:rPr>
                <w:b/>
                <w:bCs/>
              </w:rPr>
              <w:t xml:space="preserve">Scope</w:t>
            </w:r>
          </w:p>
        </w:tc>
        <w:tc>
          <w:tcPr>
            <w:tcW w:type="dxa" w:w="2000"/>
            <w:shd w:fill="E8E8E8" w:val="clear"/>
            <w:tcMar>
              <w:top w:type="dxa" w:w="100"/>
              <w:left w:type="dxa" w:w="120"/>
              <w:bottom w:type="dxa" w:w="100"/>
              <w:right w:type="dxa" w:w="120"/>
            </w:tcMar>
          </w:tcPr>
          <w:p>
            <w:pPr>
              <w:jc w:val="left"/>
            </w:pPr>
            <w:r>
              <w:rPr>
                <w:b/>
                <w:bCs/>
              </w:rPr>
              <w:t xml:space="preserve">Duration</w:t>
            </w:r>
          </w:p>
        </w:tc>
      </w:tr>
      <w:tr>
        <w:tc>
          <w:tcPr>
            <w:tcW w:type="dxa" w:w="2400"/>
            <w:tcMar>
              <w:top w:type="dxa" w:w="100"/>
              <w:left w:type="dxa" w:w="120"/>
              <w:bottom w:type="dxa" w:w="100"/>
              <w:right w:type="dxa" w:w="120"/>
            </w:tcMar>
          </w:tcPr>
          <w:p>
            <w:pPr>
              <w:jc w:val="left"/>
            </w:pPr>
            <w:r>
              <w:rPr>
                <w:b w:val="false"/>
                <w:bCs w:val="false"/>
              </w:rPr>
              <w:t xml:space="preserve">1. Foundation</w:t>
            </w:r>
          </w:p>
        </w:tc>
        <w:tc>
          <w:tcPr>
            <w:tcW w:type="dxa" w:w="5800"/>
            <w:tcMar>
              <w:top w:type="dxa" w:w="100"/>
              <w:left w:type="dxa" w:w="120"/>
              <w:bottom w:type="dxa" w:w="100"/>
              <w:right w:type="dxa" w:w="120"/>
            </w:tcMar>
          </w:tcPr>
          <w:p>
            <w:pPr>
              <w:jc w:val="left"/>
            </w:pPr>
            <w:r>
              <w:rPr>
                <w:b w:val="false"/>
                <w:bCs w:val="false"/>
              </w:rPr>
              <w:t xml:space="preserve">Multi-tenant data model, auth, org/admin setup</w:t>
            </w:r>
          </w:p>
        </w:tc>
        <w:tc>
          <w:tcPr>
            <w:tcW w:type="dxa" w:w="2000"/>
            <w:tcMar>
              <w:top w:type="dxa" w:w="100"/>
              <w:left w:type="dxa" w:w="120"/>
              <w:bottom w:type="dxa" w:w="100"/>
              <w:right w:type="dxa" w:w="120"/>
            </w:tcMar>
          </w:tcPr>
          <w:p>
            <w:pPr>
              <w:jc w:val="left"/>
            </w:pPr>
            <w:r>
              <w:rPr>
                <w:b w:val="false"/>
                <w:bCs w:val="false"/>
              </w:rPr>
              <w:t xml:space="preserve">1.5 weeks</w:t>
            </w:r>
          </w:p>
        </w:tc>
      </w:tr>
      <w:tr>
        <w:tc>
          <w:tcPr>
            <w:tcW w:type="dxa" w:w="2400"/>
            <w:tcMar>
              <w:top w:type="dxa" w:w="100"/>
              <w:left w:type="dxa" w:w="120"/>
              <w:bottom w:type="dxa" w:w="100"/>
              <w:right w:type="dxa" w:w="120"/>
            </w:tcMar>
          </w:tcPr>
          <w:p>
            <w:pPr>
              <w:jc w:val="left"/>
            </w:pPr>
            <w:r>
              <w:rPr>
                <w:b w:val="false"/>
                <w:bCs w:val="false"/>
              </w:rPr>
              <w:t xml:space="preserve">2. Property &amp; billing core</w:t>
            </w:r>
          </w:p>
        </w:tc>
        <w:tc>
          <w:tcPr>
            <w:tcW w:type="dxa" w:w="5800"/>
            <w:tcMar>
              <w:top w:type="dxa" w:w="100"/>
              <w:left w:type="dxa" w:w="120"/>
              <w:bottom w:type="dxa" w:w="100"/>
              <w:right w:type="dxa" w:w="120"/>
            </w:tcMar>
          </w:tcPr>
          <w:p>
            <w:pPr>
              <w:jc w:val="left"/>
            </w:pPr>
            <w:r>
              <w:rPr>
                <w:b w:val="false"/>
                <w:bCs w:val="false"/>
              </w:rPr>
              <w:t xml:space="preserve">Properties, homeowners, invoice generation, payment recording</w:t>
            </w:r>
          </w:p>
        </w:tc>
        <w:tc>
          <w:tcPr>
            <w:tcW w:type="dxa" w:w="2000"/>
            <w:tcMar>
              <w:top w:type="dxa" w:w="100"/>
              <w:left w:type="dxa" w:w="120"/>
              <w:bottom w:type="dxa" w:w="100"/>
              <w:right w:type="dxa" w:w="120"/>
            </w:tcMar>
          </w:tcPr>
          <w:p>
            <w:pPr>
              <w:jc w:val="left"/>
            </w:pPr>
            <w:r>
              <w:rPr>
                <w:b w:val="false"/>
                <w:bCs w:val="false"/>
              </w:rPr>
              <w:t xml:space="preserve">2 weeks</w:t>
            </w:r>
          </w:p>
        </w:tc>
      </w:tr>
      <w:tr>
        <w:tc>
          <w:tcPr>
            <w:tcW w:type="dxa" w:w="2400"/>
            <w:tcMar>
              <w:top w:type="dxa" w:w="100"/>
              <w:left w:type="dxa" w:w="120"/>
              <w:bottom w:type="dxa" w:w="100"/>
              <w:right w:type="dxa" w:w="120"/>
            </w:tcMar>
          </w:tcPr>
          <w:p>
            <w:pPr>
              <w:jc w:val="left"/>
            </w:pPr>
            <w:r>
              <w:rPr>
                <w:b w:val="false"/>
                <w:bCs w:val="false"/>
              </w:rPr>
              <w:t xml:space="preserve">3. Ledger</w:t>
            </w:r>
          </w:p>
        </w:tc>
        <w:tc>
          <w:tcPr>
            <w:tcW w:type="dxa" w:w="5800"/>
            <w:tcMar>
              <w:top w:type="dxa" w:w="100"/>
              <w:left w:type="dxa" w:w="120"/>
              <w:bottom w:type="dxa" w:w="100"/>
              <w:right w:type="dxa" w:w="120"/>
            </w:tcMar>
          </w:tcPr>
          <w:p>
            <w:pPr>
              <w:jc w:val="left"/>
            </w:pPr>
            <w:r>
              <w:rPr>
                <w:b w:val="false"/>
                <w:bCs w:val="false"/>
              </w:rPr>
              <w:t xml:space="preserve">Chart of accounts, journal posting, SOA generation</w:t>
            </w:r>
          </w:p>
        </w:tc>
        <w:tc>
          <w:tcPr>
            <w:tcW w:type="dxa" w:w="2000"/>
            <w:tcMar>
              <w:top w:type="dxa" w:w="100"/>
              <w:left w:type="dxa" w:w="120"/>
              <w:bottom w:type="dxa" w:w="100"/>
              <w:right w:type="dxa" w:w="120"/>
            </w:tcMar>
          </w:tcPr>
          <w:p>
            <w:pPr>
              <w:jc w:val="left"/>
            </w:pPr>
            <w:r>
              <w:rPr>
                <w:b w:val="false"/>
                <w:bCs w:val="false"/>
              </w:rPr>
              <w:t xml:space="preserve">1.5 weeks</w:t>
            </w:r>
          </w:p>
        </w:tc>
      </w:tr>
      <w:tr>
        <w:tc>
          <w:tcPr>
            <w:tcW w:type="dxa" w:w="2400"/>
            <w:tcMar>
              <w:top w:type="dxa" w:w="100"/>
              <w:left w:type="dxa" w:w="120"/>
              <w:bottom w:type="dxa" w:w="100"/>
              <w:right w:type="dxa" w:w="120"/>
            </w:tcMar>
          </w:tcPr>
          <w:p>
            <w:pPr>
              <w:jc w:val="left"/>
            </w:pPr>
            <w:r>
              <w:rPr>
                <w:b w:val="false"/>
                <w:bCs w:val="false"/>
              </w:rPr>
              <w:t xml:space="preserve">4. Homeowner portal</w:t>
            </w:r>
          </w:p>
        </w:tc>
        <w:tc>
          <w:tcPr>
            <w:tcW w:type="dxa" w:w="5800"/>
            <w:tcMar>
              <w:top w:type="dxa" w:w="100"/>
              <w:left w:type="dxa" w:w="120"/>
              <w:bottom w:type="dxa" w:w="100"/>
              <w:right w:type="dxa" w:w="120"/>
            </w:tcMar>
          </w:tcPr>
          <w:p>
            <w:pPr>
              <w:jc w:val="left"/>
            </w:pPr>
            <w:r>
              <w:rPr>
                <w:b w:val="false"/>
                <w:bCs w:val="false"/>
              </w:rPr>
              <w:t xml:space="preserve">Self-service dues/balance/payment history views</w:t>
            </w:r>
          </w:p>
        </w:tc>
        <w:tc>
          <w:tcPr>
            <w:tcW w:type="dxa" w:w="2000"/>
            <w:tcMar>
              <w:top w:type="dxa" w:w="100"/>
              <w:left w:type="dxa" w:w="120"/>
              <w:bottom w:type="dxa" w:w="100"/>
              <w:right w:type="dxa" w:w="120"/>
            </w:tcMar>
          </w:tcPr>
          <w:p>
            <w:pPr>
              <w:jc w:val="left"/>
            </w:pPr>
            <w:r>
              <w:rPr>
                <w:b w:val="false"/>
                <w:bCs w:val="false"/>
              </w:rPr>
              <w:t xml:space="preserve">1 week</w:t>
            </w:r>
          </w:p>
        </w:tc>
      </w:tr>
      <w:tr>
        <w:tc>
          <w:tcPr>
            <w:tcW w:type="dxa" w:w="2400"/>
            <w:tcMar>
              <w:top w:type="dxa" w:w="100"/>
              <w:left w:type="dxa" w:w="120"/>
              <w:bottom w:type="dxa" w:w="100"/>
              <w:right w:type="dxa" w:w="120"/>
            </w:tcMar>
          </w:tcPr>
          <w:p>
            <w:pPr>
              <w:jc w:val="left"/>
            </w:pPr>
            <w:r>
              <w:rPr>
                <w:b w:val="false"/>
                <w:bCs w:val="false"/>
              </w:rPr>
              <w:t xml:space="preserve">5. Gate security</w:t>
            </w:r>
          </w:p>
        </w:tc>
        <w:tc>
          <w:tcPr>
            <w:tcW w:type="dxa" w:w="5800"/>
            <w:tcMar>
              <w:top w:type="dxa" w:w="100"/>
              <w:left w:type="dxa" w:w="120"/>
              <w:bottom w:type="dxa" w:w="100"/>
              <w:right w:type="dxa" w:w="120"/>
            </w:tcMar>
          </w:tcPr>
          <w:p>
            <w:pPr>
              <w:jc w:val="left"/>
            </w:pPr>
            <w:r>
              <w:rPr>
                <w:b w:val="false"/>
                <w:bCs w:val="false"/>
              </w:rPr>
              <w:t xml:space="preserve">Guard portal, gate pass creation &amp; validation</w:t>
            </w:r>
          </w:p>
        </w:tc>
        <w:tc>
          <w:tcPr>
            <w:tcW w:type="dxa" w:w="2000"/>
            <w:tcMar>
              <w:top w:type="dxa" w:w="100"/>
              <w:left w:type="dxa" w:w="120"/>
              <w:bottom w:type="dxa" w:w="100"/>
              <w:right w:type="dxa" w:w="120"/>
            </w:tcMar>
          </w:tcPr>
          <w:p>
            <w:pPr>
              <w:jc w:val="left"/>
            </w:pPr>
            <w:r>
              <w:rPr>
                <w:b w:val="false"/>
                <w:bCs w:val="false"/>
              </w:rPr>
              <w:t xml:space="preserve">1 week</w:t>
            </w:r>
          </w:p>
        </w:tc>
      </w:tr>
      <w:tr>
        <w:tc>
          <w:tcPr>
            <w:tcW w:type="dxa" w:w="2400"/>
            <w:tcMar>
              <w:top w:type="dxa" w:w="100"/>
              <w:left w:type="dxa" w:w="120"/>
              <w:bottom w:type="dxa" w:w="100"/>
              <w:right w:type="dxa" w:w="120"/>
            </w:tcMar>
          </w:tcPr>
          <w:p>
            <w:pPr>
              <w:jc w:val="left"/>
            </w:pPr>
            <w:r>
              <w:rPr>
                <w:b w:val="false"/>
                <w:bCs w:val="false"/>
              </w:rPr>
              <w:t xml:space="preserve">6. Payments integration</w:t>
            </w:r>
          </w:p>
        </w:tc>
        <w:tc>
          <w:tcPr>
            <w:tcW w:type="dxa" w:w="5800"/>
            <w:tcMar>
              <w:top w:type="dxa" w:w="100"/>
              <w:left w:type="dxa" w:w="120"/>
              <w:bottom w:type="dxa" w:w="100"/>
              <w:right w:type="dxa" w:w="120"/>
            </w:tcMar>
          </w:tcPr>
          <w:p>
            <w:pPr>
              <w:jc w:val="left"/>
            </w:pPr>
            <w:r>
              <w:rPr>
                <w:b w:val="false"/>
                <w:bCs w:val="false"/>
              </w:rPr>
              <w:t xml:space="preserve">PayMongo (GCash + Maya), manual reconciliation</w:t>
            </w:r>
          </w:p>
        </w:tc>
        <w:tc>
          <w:tcPr>
            <w:tcW w:type="dxa" w:w="2000"/>
            <w:tcMar>
              <w:top w:type="dxa" w:w="100"/>
              <w:left w:type="dxa" w:w="120"/>
              <w:bottom w:type="dxa" w:w="100"/>
              <w:right w:type="dxa" w:w="120"/>
            </w:tcMar>
          </w:tcPr>
          <w:p>
            <w:pPr>
              <w:jc w:val="left"/>
            </w:pPr>
            <w:r>
              <w:rPr>
                <w:b w:val="false"/>
                <w:bCs w:val="false"/>
              </w:rPr>
              <w:t xml:space="preserve">1 week</w:t>
            </w:r>
          </w:p>
        </w:tc>
      </w:tr>
      <w:tr>
        <w:tc>
          <w:tcPr>
            <w:tcW w:type="dxa" w:w="2400"/>
            <w:tcMar>
              <w:top w:type="dxa" w:w="100"/>
              <w:left w:type="dxa" w:w="120"/>
              <w:bottom w:type="dxa" w:w="100"/>
              <w:right w:type="dxa" w:w="120"/>
            </w:tcMar>
          </w:tcPr>
          <w:p>
            <w:pPr>
              <w:jc w:val="left"/>
            </w:pPr>
            <w:r>
              <w:rPr>
                <w:b w:val="false"/>
                <w:bCs w:val="false"/>
              </w:rPr>
              <w:t xml:space="preserve">7. QA &amp; pilot onboarding</w:t>
            </w:r>
          </w:p>
        </w:tc>
        <w:tc>
          <w:tcPr>
            <w:tcW w:type="dxa" w:w="5800"/>
            <w:tcMar>
              <w:top w:type="dxa" w:w="100"/>
              <w:left w:type="dxa" w:w="120"/>
              <w:bottom w:type="dxa" w:w="100"/>
              <w:right w:type="dxa" w:w="120"/>
            </w:tcMar>
          </w:tcPr>
          <w:p>
            <w:pPr>
              <w:jc w:val="left"/>
            </w:pPr>
            <w:r>
              <w:rPr>
                <w:b w:val="false"/>
                <w:bCs w:val="false"/>
              </w:rPr>
              <w:t xml:space="preserve">Bug fixing, first real HOA onboarded</w:t>
            </w:r>
          </w:p>
        </w:tc>
        <w:tc>
          <w:tcPr>
            <w:tcW w:type="dxa" w:w="2000"/>
            <w:tcMar>
              <w:top w:type="dxa" w:w="100"/>
              <w:left w:type="dxa" w:w="120"/>
              <w:bottom w:type="dxa" w:w="100"/>
              <w:right w:type="dxa" w:w="120"/>
            </w:tcMar>
          </w:tcPr>
          <w:p>
            <w:pPr>
              <w:jc w:val="left"/>
            </w:pPr>
            <w:r>
              <w:rPr>
                <w:b w:val="false"/>
                <w:bCs w:val="false"/>
              </w:rPr>
              <w:t xml:space="preserve">1.5 weeks</w:t>
            </w:r>
          </w:p>
        </w:tc>
      </w:tr>
    </w:tbl>
    <w:p>
      <w:pPr>
        <w:spacing w:after="240" w:before="160"/>
      </w:pPr>
      <w:r>
        <w:rPr>
          <w:i/>
          <w:iCs/>
          <w:color w:val="555555"/>
        </w:rPr>
        <w:t xml:space="preserve">Estimated total: ~9.5 weeks to MVP launch.</w:t>
      </w:r>
    </w:p>
    <w:p>
      <w:pPr>
        <w:pStyle w:val="Heading1"/>
        <w:spacing w:after="160" w:before="320"/>
      </w:pPr>
      <w:r>
        <w:t xml:space="preserve">5. Assumptions &amp; dependencies</w:t>
      </w:r>
    </w:p>
    <w:p>
      <w:pPr>
        <w:pStyle w:val="ListParagraph"/>
        <w:numPr>
          <w:ilvl w:val="0"/>
          <w:numId w:val="2"/>
        </w:numPr>
        <w:spacing w:after="80"/>
      </w:pPr>
      <w:r>
        <w:t xml:space="preserve">Client provides PayMongo (or equivalent PSP) merchant account credentials.</w:t>
      </w:r>
    </w:p>
    <w:p>
      <w:pPr>
        <w:pStyle w:val="ListParagraph"/>
        <w:numPr>
          <w:ilvl w:val="0"/>
          <w:numId w:val="2"/>
        </w:numPr>
        <w:spacing w:after="80"/>
      </w:pPr>
      <w:r>
        <w:t xml:space="preserve">Client provides at least one pilot HOA willing to onboard real data during Phase 7.</w:t>
      </w:r>
    </w:p>
    <w:p>
      <w:pPr>
        <w:pStyle w:val="ListParagraph"/>
        <w:numPr>
          <w:ilvl w:val="0"/>
          <w:numId w:val="2"/>
        </w:numPr>
        <w:spacing w:after="80"/>
      </w:pPr>
      <w:r>
        <w:t xml:space="preserve">Hosting/infrastructure costs (database, app hosting, domain) are billed separately from development effort.</w:t>
      </w:r>
    </w:p>
    <w:p>
      <w:pPr>
        <w:pStyle w:val="ListParagraph"/>
        <w:numPr>
          <w:ilvl w:val="0"/>
          <w:numId w:val="2"/>
        </w:numPr>
        <w:spacing w:after="80"/>
      </w:pPr>
      <w:r>
        <w:t xml:space="preserve">Legal/compliance review (Data Privacy Act RA 10173, RA 9904 where applicable) is the client's responsibility; this SOW covers technical implementation only, not legal certification.</w:t>
      </w:r>
    </w:p>
    <w:p>
      <w:pPr>
        <w:pStyle w:val="ListParagraph"/>
        <w:numPr>
          <w:ilvl w:val="0"/>
          <w:numId w:val="2"/>
        </w:numPr>
        <w:spacing w:after="80"/>
      </w:pPr>
      <w:r>
        <w:t xml:space="preserve">Marketplace and other Phase 2 features are explicitly excluded from MVP cost and timeline.</w:t>
      </w:r>
    </w:p>
    <w:p>
      <w:pPr>
        <w:pStyle w:val="Heading1"/>
        <w:spacing w:after="160" w:before="320"/>
      </w:pPr>
      <w:r>
        <w:t xml:space="preserve">6. Acceptance criteria</w:t>
      </w:r>
    </w:p>
    <w:p>
      <w:pPr>
        <w:pStyle w:val="ListParagraph"/>
        <w:numPr>
          <w:ilvl w:val="0"/>
          <w:numId w:val="2"/>
        </w:numPr>
        <w:spacing w:after="80"/>
      </w:pPr>
      <w:r>
        <w:t xml:space="preserve">An HOA admin can sign up, create an org, import a property list, and generate the first month's dues invoices without developer assistance.</w:t>
      </w:r>
    </w:p>
    <w:p>
      <w:pPr>
        <w:pStyle w:val="ListParagraph"/>
        <w:numPr>
          <w:ilvl w:val="0"/>
          <w:numId w:val="2"/>
        </w:numPr>
        <w:spacing w:after="80"/>
      </w:pPr>
      <w:r>
        <w:t xml:space="preserve">A homeowner can log into the portal and see an accurate balance matching the underlying ledger.</w:t>
      </w:r>
    </w:p>
    <w:p>
      <w:pPr>
        <w:pStyle w:val="ListParagraph"/>
        <w:numPr>
          <w:ilvl w:val="0"/>
          <w:numId w:val="2"/>
        </w:numPr>
        <w:spacing w:after="80"/>
      </w:pPr>
      <w:r>
        <w:t xml:space="preserve">Every invoice and payment produces a balanced journal entry (debits = credits) verifiable via an audit query.</w:t>
      </w:r>
    </w:p>
    <w:p>
      <w:pPr>
        <w:pStyle w:val="ListParagraph"/>
        <w:numPr>
          <w:ilvl w:val="0"/>
          <w:numId w:val="2"/>
        </w:numPr>
        <w:spacing w:after="80"/>
      </w:pPr>
      <w:r>
        <w:t xml:space="preserve">A guard can validate a gate pass and see accept/reject status within 2 seconds.</w:t>
      </w:r>
    </w:p>
    <w:p>
      <w:pPr>
        <w:pStyle w:val="ListParagraph"/>
        <w:numPr>
          <w:ilvl w:val="0"/>
          <w:numId w:val="2"/>
        </w:numPr>
        <w:spacing w:after="80"/>
      </w:pPr>
      <w:r>
        <w:t xml:space="preserve">A GCash or Maya payment made through the portal is correctly reconciled to the corresponding invoice.</w:t>
      </w:r>
    </w:p>
    <w:p>
      <w:pPr>
        <w:pStyle w:val="Heading1"/>
        <w:spacing w:after="160" w:before="320"/>
      </w:pPr>
      <w:r>
        <w:t xml:space="preserve">7. Sign-off</w:t>
      </w:r>
    </w:p>
    <w:p>
      <w:pPr>
        <w:spacing w:after="160"/>
      </w:pPr>
      <w:r>
        <w:t xml:space="preserve">This Statement of Work represents the agreed scope for the MVP phase. Changes to scope will be handled via a written change order.</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2F2" w:val="clear"/>
            <w:tcMar>
              <w:top w:type="dxa" w:w="100"/>
              <w:left w:type="dxa" w:w="120"/>
              <w:bottom w:type="dxa" w:w="100"/>
              <w:right w:type="dxa" w:w="120"/>
            </w:tcMar>
          </w:tcPr>
          <w:p>
            <w:pPr>
              <w:jc w:val="left"/>
            </w:pPr>
            <w:r>
              <w:rPr>
                <w:b/>
                <w:bCs/>
              </w:rPr>
              <w:t xml:space="preserve">Client signature</w:t>
            </w:r>
          </w:p>
        </w:tc>
        <w:tc>
          <w:tcPr>
            <w:tcW w:type="dxa" w:w="6360"/>
            <w:tcMar>
              <w:top w:type="dxa" w:w="100"/>
              <w:left w:type="dxa" w:w="120"/>
              <w:bottom w:type="dxa" w:w="100"/>
              <w:right w:type="dxa" w:w="120"/>
            </w:tcMar>
          </w:tcPr>
          <w:p>
            <w:pPr>
              <w:jc w:val="left"/>
            </w:pPr>
            <w:r>
              <w:rPr>
                <w:b w:val="false"/>
                <w:bCs w:val="false"/>
              </w:rPr>
              <w:t xml:space="preserve"/>
            </w:r>
          </w:p>
        </w:tc>
      </w:tr>
      <w:tr>
        <w:tc>
          <w:tcPr>
            <w:tcW w:type="dxa" w:w="3000"/>
            <w:shd w:fill="F2F2F2" w:val="clear"/>
            <w:tcMar>
              <w:top w:type="dxa" w:w="100"/>
              <w:left w:type="dxa" w:w="120"/>
              <w:bottom w:type="dxa" w:w="100"/>
              <w:right w:type="dxa" w:w="120"/>
            </w:tcMar>
          </w:tcPr>
          <w:p>
            <w:pPr>
              <w:jc w:val="left"/>
            </w:pPr>
            <w:r>
              <w:rPr>
                <w:b/>
                <w:bCs/>
              </w:rPr>
              <w:t xml:space="preserve">Date</w:t>
            </w:r>
          </w:p>
        </w:tc>
        <w:tc>
          <w:tcPr>
            <w:tcW w:type="dxa" w:w="6360"/>
            <w:tcMar>
              <w:top w:type="dxa" w:w="100"/>
              <w:left w:type="dxa" w:w="120"/>
              <w:bottom w:type="dxa" w:w="100"/>
              <w:right w:type="dxa" w:w="120"/>
            </w:tcMar>
          </w:tcPr>
          <w:p>
            <w:pPr>
              <w:jc w:val="left"/>
            </w:pPr>
            <w:r>
              <w:rPr>
                <w:b w:val="false"/>
                <w:bCs w:val="false"/>
              </w:rPr>
              <w:t xml:space="preserve"/>
            </w:r>
          </w:p>
        </w:tc>
      </w:tr>
      <w:tr>
        <w:tc>
          <w:tcPr>
            <w:tcW w:type="dxa" w:w="3000"/>
            <w:shd w:fill="F2F2F2" w:val="clear"/>
            <w:tcMar>
              <w:top w:type="dxa" w:w="100"/>
              <w:left w:type="dxa" w:w="120"/>
              <w:bottom w:type="dxa" w:w="100"/>
              <w:right w:type="dxa" w:w="120"/>
            </w:tcMar>
          </w:tcPr>
          <w:p>
            <w:pPr>
              <w:jc w:val="left"/>
            </w:pPr>
            <w:r>
              <w:rPr>
                <w:b/>
                <w:bCs/>
              </w:rPr>
              <w:t xml:space="preserve">Vendor signature</w:t>
            </w:r>
          </w:p>
        </w:tc>
        <w:tc>
          <w:tcPr>
            <w:tcW w:type="dxa" w:w="6360"/>
            <w:tcMar>
              <w:top w:type="dxa" w:w="100"/>
              <w:left w:type="dxa" w:w="120"/>
              <w:bottom w:type="dxa" w:w="100"/>
              <w:right w:type="dxa" w:w="120"/>
            </w:tcMar>
          </w:tcPr>
          <w:p>
            <w:pPr>
              <w:jc w:val="left"/>
            </w:pPr>
            <w:r>
              <w:rPr>
                <w:b w:val="false"/>
                <w:bCs w:val="false"/>
              </w:rPr>
              <w:t xml:space="preserve"/>
            </w:r>
          </w:p>
        </w:tc>
      </w:tr>
      <w:tr>
        <w:tc>
          <w:tcPr>
            <w:tcW w:type="dxa" w:w="3000"/>
            <w:shd w:fill="F2F2F2" w:val="clear"/>
            <w:tcMar>
              <w:top w:type="dxa" w:w="100"/>
              <w:left w:type="dxa" w:w="120"/>
              <w:bottom w:type="dxa" w:w="100"/>
              <w:right w:type="dxa" w:w="120"/>
            </w:tcMar>
          </w:tcPr>
          <w:p>
            <w:pPr>
              <w:jc w:val="left"/>
            </w:pPr>
            <w:r>
              <w:rPr>
                <w:b/>
                <w:bCs/>
              </w:rPr>
              <w:t xml:space="preserve">Date</w:t>
            </w:r>
          </w:p>
        </w:tc>
        <w:tc>
          <w:tcPr>
            <w:tcW w:type="dxa" w:w="6360"/>
            <w:tcMar>
              <w:top w:type="dxa" w:w="100"/>
              <w:left w:type="dxa" w:w="120"/>
              <w:bottom w:type="dxa" w:w="100"/>
              <w:right w:type="dxa" w:w="120"/>
            </w:tcMar>
          </w:tcPr>
          <w:p>
            <w:pPr>
              <w:jc w:val="left"/>
            </w:pPr>
            <w:r>
              <w:rPr>
                <w:b w:val="false"/>
                <w:bCs w:val="false"/>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2026-08-28T10:40:24.061Z</dcterms:created>
  <dcterms:modified xsi:type="dcterms:W3CDTF">2026-08-28T10:40:24.061Z</dcterms:modified>
</cp:coreProperties>
</file>

<file path=docProps/custom.xml><?xml version="1.0" encoding="utf-8"?>
<Properties xmlns="http://schemas.openxmlformats.org/officeDocument/2006/custom-properties" xmlns:vt="http://schemas.openxmlformats.org/officeDocument/2006/docPropsVTypes"/>
</file>