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44"/>
          <w:szCs w:val="44"/>
        </w:rPr>
        <w:t xml:space="preserve">Wireframe brief</w:t>
      </w:r>
    </w:p>
    <w:p>
      <w:pPr>
        <w:spacing w:after="40"/>
        <w:jc w:val="center"/>
      </w:pPr>
      <w:r>
        <w:rPr>
          <w:color w:val="555555"/>
          <w:sz w:val="26"/>
          <w:szCs w:val="26"/>
        </w:rPr>
        <w:t xml:space="preserve">HOA Management SaaS Platform — MVP</w:t>
      </w:r>
    </w:p>
    <w:p>
      <w:pPr>
        <w:spacing w:after="320"/>
        <w:jc w:val="center"/>
      </w:pPr>
      <w:r>
        <w:rPr>
          <w:color w:val="888888"/>
          <w:sz w:val="20"/>
          <w:szCs w:val="20"/>
        </w:rPr>
        <w:t xml:space="preserve">Prepared for wireframe design  ·  Companion to SOW v1.0  ·  August 29, 2026</w:t>
      </w:r>
    </w:p>
    <w:p>
      <w:pPr>
        <w:pBdr>
          <w:bottom w:val="single" w:color="CCCCCC" w:sz="6"/>
        </w:pBdr>
        <w:spacing w:after="240"/>
      </w:pPr>
    </w:p>
    <w:p>
      <w:pPr>
        <w:pStyle w:val="Heading1"/>
        <w:spacing w:after="160" w:before="360"/>
      </w:pPr>
      <w:r>
        <w:t xml:space="preserve">1. How to use this brief</w:t>
      </w:r>
    </w:p>
    <w:p>
      <w:pPr>
        <w:spacing w:after="140"/>
      </w:pPr>
      <w:r>
        <w:t xml:space="preserve">This document specifies every screen needed for the HOA SaaS MVP, as scoped in the accompanying Statement of Work. Each screen entry gives its role, purpose, layout structure, key elements, primary actions, and the states it needs to support. Use this as the source spec for producing wireframes — one artifact per screen, following the structure and grouping below.</w:t>
      </w:r>
    </w:p>
    <w:p>
      <w:pPr>
        <w:spacing w:after="140"/>
      </w:pPr>
      <w:r>
        <w:t xml:space="preserve">Screens are organized into three role-based areas plus a shared onboarding flow, matching the platform's role-based access model (SOW Section 2.1).</w:t>
      </w:r>
    </w:p>
    <w:p>
      <w:pPr>
        <w:pStyle w:val="Heading1"/>
        <w:spacing w:after="160" w:before="360"/>
      </w:pPr>
      <w:r>
        <w:t xml:space="preserve">2. Design system notes</w:t>
      </w:r>
    </w:p>
    <w:p>
      <w:pPr>
        <w:pStyle w:val="ListParagraph"/>
        <w:numPr>
          <w:ilvl w:val="0"/>
          <w:numId w:val="2"/>
        </w:numPr>
        <w:spacing w:after="70"/>
      </w:pPr>
      <w:r>
        <w:t xml:space="preserve">Target platform: responsive web app (desktop-first for admin/guard, mobile-friendly for homeowner portal per SOW Section 1.2).</w:t>
      </w:r>
    </w:p>
    <w:p>
      <w:pPr>
        <w:pStyle w:val="ListParagraph"/>
        <w:numPr>
          <w:ilvl w:val="0"/>
          <w:numId w:val="2"/>
        </w:numPr>
        <w:spacing w:after="70"/>
      </w:pPr>
      <w:r>
        <w:t xml:space="preserve">Currency: Philippine peso (₱), formatted with thousands separators.</w:t>
      </w:r>
    </w:p>
    <w:p>
      <w:pPr>
        <w:pStyle w:val="ListParagraph"/>
        <w:numPr>
          <w:ilvl w:val="0"/>
          <w:numId w:val="2"/>
        </w:numPr>
        <w:spacing w:after="70"/>
      </w:pPr>
      <w:r>
        <w:t xml:space="preserve">Status colors carry semantic meaning throughout: green/success = paid or valid, amber/warning = partial or pending, red/danger = overdue or invalid. Keep this mapping consistent across every screen.</w:t>
      </w:r>
    </w:p>
    <w:p>
      <w:pPr>
        <w:pStyle w:val="ListParagraph"/>
        <w:numPr>
          <w:ilvl w:val="0"/>
          <w:numId w:val="2"/>
        </w:numPr>
        <w:spacing w:after="70"/>
      </w:pPr>
      <w:r>
        <w:t xml:space="preserve">Tone: functional and trustworthy over decorative — boards and treasurers are evaluating whether to trust this platform with real money.</w:t>
      </w:r>
    </w:p>
    <w:p>
      <w:pPr>
        <w:pStyle w:val="ListParagraph"/>
        <w:numPr>
          <w:ilvl w:val="0"/>
          <w:numId w:val="2"/>
        </w:numPr>
        <w:spacing w:after="70"/>
      </w:pPr>
      <w:r>
        <w:t xml:space="preserve">Navigation: persistent left sidebar for admin (Dashboard, Properties, Billing, Gate passes, Settings); simplified top-level navigation for homeowner and guard views, which are narrower in scope.</w:t>
      </w:r>
    </w:p>
    <w:p>
      <w:pPr>
        <w:pStyle w:val="Heading1"/>
        <w:spacing w:after="160" w:before="360"/>
      </w:pPr>
      <w:r>
        <w:t xml:space="preserve">3. Sitemap</w:t>
      </w:r>
    </w:p>
    <w:p>
      <w:pPr>
        <w:spacing w:after="140"/>
      </w:pPr>
      <w:r>
        <w:t xml:space="preserve">Three role-based areas, entered through a shared onboarding flow:</w:t>
      </w:r>
    </w:p>
    <w:p>
      <w:pPr>
        <w:pStyle w:val="ListParagraph"/>
        <w:numPr>
          <w:ilvl w:val="0"/>
          <w:numId w:val="2"/>
        </w:numPr>
        <w:spacing w:after="70"/>
      </w:pPr>
      <w:r>
        <w:t xml:space="preserve">Admin / treasurer — dashboard, properties, billing &amp; invoices, ledger/SOA, gate passes, announcements.</w:t>
      </w:r>
    </w:p>
    <w:p>
      <w:pPr>
        <w:pStyle w:val="ListParagraph"/>
        <w:numPr>
          <w:ilvl w:val="0"/>
          <w:numId w:val="2"/>
        </w:numPr>
        <w:spacing w:after="70"/>
      </w:pPr>
      <w:r>
        <w:t xml:space="preserve">Homeowner — balance, payment history, gate pass request, announcements.</w:t>
      </w:r>
    </w:p>
    <w:p>
      <w:pPr>
        <w:pStyle w:val="ListParagraph"/>
        <w:numPr>
          <w:ilvl w:val="0"/>
          <w:numId w:val="2"/>
        </w:numPr>
        <w:spacing w:after="70"/>
      </w:pPr>
      <w:r>
        <w:t xml:space="preserve">Guard — pass validation, visitor log.</w:t>
      </w:r>
    </w:p>
    <w:p>
      <w:pPr>
        <w:spacing w:after="140"/>
      </w:pPr>
      <w:r>
        <w:t xml:space="preserve">Design the sitemap itself as a simple structural diagram showing these three areas and their screens, to orient anyone reviewing the wireframes.</w:t>
      </w:r>
    </w:p>
    <w:p>
      <w:pPr>
        <w:pStyle w:val="Heading1"/>
        <w:spacing w:after="160" w:before="360"/>
      </w:pPr>
      <w:r>
        <w:t xml:space="preserve">4. Screens</w:t>
      </w:r>
    </w:p>
    <w:p>
      <w:pPr>
        <w:pStyle w:val="Heading2"/>
        <w:spacing w:after="120" w:before="240"/>
      </w:pPr>
      <w:r>
        <w:t xml:space="preserve">4.1 Onboarding — org setup &amp; property import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val="clear"/>
            <w:tcMar>
              <w:top w:type="dxa" w:w="100"/>
              <w:left w:type="dxa" w:w="120"/>
              <w:bottom w:type="dxa" w:w="100"/>
              <w:right w:type="dxa" w:w="120"/>
            </w:tcMar>
          </w:tcPr>
          <w:p>
            <w:pPr>
              <w:jc w:val="left"/>
            </w:pPr>
            <w:r>
              <w:rPr>
                <w:b/>
                <w:bCs/>
              </w:rPr>
              <w:t xml:space="preserve">Role</w:t>
            </w:r>
          </w:p>
        </w:tc>
        <w:tc>
          <w:tcPr>
            <w:tcW w:type="dxa" w:w="6760"/>
            <w:tcMar>
              <w:top w:type="dxa" w:w="100"/>
              <w:left w:type="dxa" w:w="120"/>
              <w:bottom w:type="dxa" w:w="100"/>
              <w:right w:type="dxa" w:w="120"/>
            </w:tcMar>
          </w:tcPr>
          <w:p>
            <w:pPr>
              <w:jc w:val="left"/>
            </w:pPr>
            <w:r>
              <w:rPr>
                <w:b w:val="false"/>
                <w:bCs w:val="false"/>
              </w:rPr>
              <w:t xml:space="preserve">Admin (first-time setup)</w:t>
            </w:r>
          </w:p>
        </w:tc>
      </w:tr>
      <w:tr>
        <w:tc>
          <w:tcPr>
            <w:tcW w:type="dxa" w:w="2600"/>
            <w:shd w:fill="F2F2F2" w:val="clear"/>
            <w:tcMar>
              <w:top w:type="dxa" w:w="100"/>
              <w:left w:type="dxa" w:w="120"/>
              <w:bottom w:type="dxa" w:w="100"/>
              <w:right w:type="dxa" w:w="120"/>
            </w:tcMar>
          </w:tcPr>
          <w:p>
            <w:pPr>
              <w:jc w:val="left"/>
            </w:pPr>
            <w:r>
              <w:rPr>
                <w:b/>
                <w:bCs/>
              </w:rPr>
              <w:t xml:space="preserve">Purpose</w:t>
            </w:r>
          </w:p>
        </w:tc>
        <w:tc>
          <w:tcPr>
            <w:tcW w:type="dxa" w:w="6760"/>
            <w:tcMar>
              <w:top w:type="dxa" w:w="100"/>
              <w:left w:type="dxa" w:w="120"/>
              <w:bottom w:type="dxa" w:w="100"/>
              <w:right w:type="dxa" w:w="120"/>
            </w:tcMar>
          </w:tcPr>
          <w:p>
            <w:pPr>
              <w:jc w:val="left"/>
            </w:pPr>
            <w:r>
              <w:rPr>
                <w:b w:val="false"/>
                <w:bCs w:val="false"/>
              </w:rPr>
              <w:t xml:space="preserve">Let a new HOA sign up, create their org, and import their existing property roll without developer assistance (SOW acceptance criterion, Section 6).</w:t>
            </w:r>
          </w:p>
        </w:tc>
      </w:tr>
      <w:tr>
        <w:tc>
          <w:tcPr>
            <w:tcW w:type="dxa" w:w="2600"/>
            <w:shd w:fill="F2F2F2" w:val="clear"/>
            <w:tcMar>
              <w:top w:type="dxa" w:w="100"/>
              <w:left w:type="dxa" w:w="120"/>
              <w:bottom w:type="dxa" w:w="100"/>
              <w:right w:type="dxa" w:w="120"/>
            </w:tcMar>
          </w:tcPr>
          <w:p>
            <w:pPr>
              <w:jc w:val="left"/>
            </w:pPr>
            <w:r>
              <w:rPr>
                <w:b/>
                <w:bCs/>
              </w:rPr>
              <w:t xml:space="preserve">Data source</w:t>
            </w:r>
          </w:p>
        </w:tc>
        <w:tc>
          <w:tcPr>
            <w:tcW w:type="dxa" w:w="6760"/>
            <w:tcMar>
              <w:top w:type="dxa" w:w="100"/>
              <w:left w:type="dxa" w:w="120"/>
              <w:bottom w:type="dxa" w:w="100"/>
              <w:right w:type="dxa" w:w="120"/>
            </w:tcMar>
          </w:tcPr>
          <w:p>
            <w:pPr>
              <w:jc w:val="left"/>
            </w:pPr>
            <w:r>
              <w:rPr>
                <w:b w:val="false"/>
                <w:bCs w:val="false"/>
              </w:rPr>
              <w:t xml:space="preserve">Organization, Property tables</w:t>
            </w:r>
          </w:p>
        </w:tc>
      </w:tr>
    </w:tbl>
    <w:p>
      <w:pPr>
        <w:spacing w:before="160"/>
      </w:pPr>
    </w:p>
    <w:p>
      <w:pPr>
        <w:pStyle w:val="Heading3"/>
        <w:spacing w:after="100" w:before="180"/>
      </w:pPr>
      <w:r>
        <w:t xml:space="preserve">Layout</w:t>
      </w:r>
    </w:p>
    <w:p>
      <w:pPr>
        <w:pStyle w:val="ListParagraph"/>
        <w:numPr>
          <w:ilvl w:val="0"/>
          <w:numId w:val="2"/>
        </w:numPr>
        <w:spacing w:after="70"/>
      </w:pPr>
      <w:r>
        <w:t xml:space="preserve">Two-step flow: (1) org details form, (2) CSV property import.</w:t>
      </w:r>
    </w:p>
    <w:p>
      <w:pPr>
        <w:pStyle w:val="ListParagraph"/>
        <w:numPr>
          <w:ilvl w:val="0"/>
          <w:numId w:val="2"/>
        </w:numPr>
        <w:spacing w:after="70"/>
      </w:pPr>
      <w:r>
        <w:t xml:space="preserve">Step indicator at top showing current step of 2.</w:t>
      </w:r>
    </w:p>
    <w:p>
      <w:pPr>
        <w:pStyle w:val="ListParagraph"/>
        <w:numPr>
          <w:ilvl w:val="0"/>
          <w:numId w:val="2"/>
        </w:numPr>
        <w:spacing w:after="70"/>
      </w:pPr>
      <w:r>
        <w:t xml:space="preserve">Centered, narrow single-column layout (not full dashboard width) — this is a focused task, not a workspace.</w:t>
      </w:r>
    </w:p>
    <w:p>
      <w:pPr>
        <w:pStyle w:val="Heading3"/>
        <w:spacing w:after="100" w:before="180"/>
      </w:pPr>
      <w:r>
        <w:t xml:space="preserve">Key elements</w:t>
      </w:r>
    </w:p>
    <w:p>
      <w:pPr>
        <w:pStyle w:val="ListParagraph"/>
        <w:numPr>
          <w:ilvl w:val="0"/>
          <w:numId w:val="2"/>
        </w:numPr>
        <w:spacing w:after="70"/>
      </w:pPr>
      <w:r>
        <w:t xml:space="preserve">Step 1: org name, subdomain, admin account details.</w:t>
      </w:r>
    </w:p>
    <w:p>
      <w:pPr>
        <w:pStyle w:val="ListParagraph"/>
        <w:numPr>
          <w:ilvl w:val="0"/>
          <w:numId w:val="2"/>
        </w:numPr>
        <w:spacing w:after="70"/>
      </w:pPr>
      <w:r>
        <w:t xml:space="preserve">Step 2: drag-and-drop CSV upload zone with file browse fallback.</w:t>
      </w:r>
    </w:p>
    <w:p>
      <w:pPr>
        <w:pStyle w:val="ListParagraph"/>
        <w:numPr>
          <w:ilvl w:val="0"/>
          <w:numId w:val="2"/>
        </w:numPr>
        <w:spacing w:after="70"/>
      </w:pPr>
      <w:r>
        <w:t xml:space="preserve">Preview table showing a sample of parsed rows (unit, type, monthly rate) before committing the import.</w:t>
      </w:r>
    </w:p>
    <w:p>
      <w:pPr>
        <w:pStyle w:val="ListParagraph"/>
        <w:numPr>
          <w:ilvl w:val="0"/>
          <w:numId w:val="2"/>
        </w:numPr>
        <w:spacing w:after="70"/>
      </w:pPr>
      <w:r>
        <w:t xml:space="preserve">Row count summary (e.g. "128 properties detected").</w:t>
      </w:r>
    </w:p>
    <w:p>
      <w:pPr>
        <w:pStyle w:val="Heading3"/>
        <w:spacing w:after="100" w:before="180"/>
      </w:pPr>
      <w:r>
        <w:t xml:space="preserve">Primary actions</w:t>
      </w:r>
    </w:p>
    <w:p>
      <w:pPr>
        <w:pStyle w:val="ListParagraph"/>
        <w:numPr>
          <w:ilvl w:val="0"/>
          <w:numId w:val="2"/>
        </w:numPr>
        <w:spacing w:after="70"/>
      </w:pPr>
      <w:r>
        <w:t xml:space="preserve">Back (step 2 to step 1)</w:t>
      </w:r>
    </w:p>
    <w:p>
      <w:pPr>
        <w:pStyle w:val="ListParagraph"/>
        <w:numPr>
          <w:ilvl w:val="0"/>
          <w:numId w:val="2"/>
        </w:numPr>
        <w:spacing w:after="70"/>
      </w:pPr>
      <w:r>
        <w:t xml:space="preserve">Import N properties (commits the import and proceeds to dashboard)</w:t>
      </w:r>
    </w:p>
    <w:p>
      <w:pPr>
        <w:pStyle w:val="Heading3"/>
        <w:spacing w:after="100" w:before="180"/>
      </w:pPr>
      <w:r>
        <w:t xml:space="preserve">States to design</w:t>
      </w:r>
    </w:p>
    <w:p>
      <w:pPr>
        <w:pStyle w:val="ListParagraph"/>
        <w:numPr>
          <w:ilvl w:val="0"/>
          <w:numId w:val="2"/>
        </w:numPr>
        <w:spacing w:after="70"/>
      </w:pPr>
      <w:r>
        <w:t xml:space="preserve">Empty state before a file is uploaded.</w:t>
      </w:r>
    </w:p>
    <w:p>
      <w:pPr>
        <w:pStyle w:val="ListParagraph"/>
        <w:numPr>
          <w:ilvl w:val="0"/>
          <w:numId w:val="2"/>
        </w:numPr>
        <w:spacing w:after="70"/>
      </w:pPr>
      <w:r>
        <w:t xml:space="preserve">CSV parsing error (malformed rows, missing required columns) — show which rows failed and why.</w:t>
      </w:r>
    </w:p>
    <w:p>
      <w:pPr>
        <w:pStyle w:val="ListParagraph"/>
        <w:numPr>
          <w:ilvl w:val="0"/>
          <w:numId w:val="2"/>
        </w:numPr>
        <w:spacing w:after="70"/>
      </w:pPr>
      <w:r>
        <w:t xml:space="preserve">Successful import confirmation.</w:t>
      </w:r>
    </w:p>
    <w:p>
      <w:pPr>
        <w:spacing w:after="200"/>
      </w:pPr>
    </w:p>
    <w:p>
      <w:pPr>
        <w:pStyle w:val="Heading2"/>
        <w:spacing w:after="120" w:before="240"/>
      </w:pPr>
      <w:r>
        <w:t xml:space="preserve">4.2 Admin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val="clear"/>
            <w:tcMar>
              <w:top w:type="dxa" w:w="100"/>
              <w:left w:type="dxa" w:w="120"/>
              <w:bottom w:type="dxa" w:w="100"/>
              <w:right w:type="dxa" w:w="120"/>
            </w:tcMar>
          </w:tcPr>
          <w:p>
            <w:pPr>
              <w:jc w:val="left"/>
            </w:pPr>
            <w:r>
              <w:rPr>
                <w:b/>
                <w:bCs/>
              </w:rPr>
              <w:t xml:space="preserve">Role</w:t>
            </w:r>
          </w:p>
        </w:tc>
        <w:tc>
          <w:tcPr>
            <w:tcW w:type="dxa" w:w="6760"/>
            <w:tcMar>
              <w:top w:type="dxa" w:w="100"/>
              <w:left w:type="dxa" w:w="120"/>
              <w:bottom w:type="dxa" w:w="100"/>
              <w:right w:type="dxa" w:w="120"/>
            </w:tcMar>
          </w:tcPr>
          <w:p>
            <w:pPr>
              <w:jc w:val="left"/>
            </w:pPr>
            <w:r>
              <w:rPr>
                <w:b w:val="false"/>
                <w:bCs w:val="false"/>
              </w:rPr>
              <w:t xml:space="preserve">Admin / treasurer / board member</w:t>
            </w:r>
          </w:p>
        </w:tc>
      </w:tr>
      <w:tr>
        <w:tc>
          <w:tcPr>
            <w:tcW w:type="dxa" w:w="2600"/>
            <w:shd w:fill="F2F2F2" w:val="clear"/>
            <w:tcMar>
              <w:top w:type="dxa" w:w="100"/>
              <w:left w:type="dxa" w:w="120"/>
              <w:bottom w:type="dxa" w:w="100"/>
              <w:right w:type="dxa" w:w="120"/>
            </w:tcMar>
          </w:tcPr>
          <w:p>
            <w:pPr>
              <w:jc w:val="left"/>
            </w:pPr>
            <w:r>
              <w:rPr>
                <w:b/>
                <w:bCs/>
              </w:rPr>
              <w:t xml:space="preserve">Purpose</w:t>
            </w:r>
          </w:p>
        </w:tc>
        <w:tc>
          <w:tcPr>
            <w:tcW w:type="dxa" w:w="6760"/>
            <w:tcMar>
              <w:top w:type="dxa" w:w="100"/>
              <w:left w:type="dxa" w:w="120"/>
              <w:bottom w:type="dxa" w:w="100"/>
              <w:right w:type="dxa" w:w="120"/>
            </w:tcMar>
          </w:tcPr>
          <w:p>
            <w:pPr>
              <w:jc w:val="left"/>
            </w:pPr>
            <w:r>
              <w:rPr>
                <w:b w:val="false"/>
                <w:bCs w:val="false"/>
              </w:rPr>
              <w:t xml:space="preserve">Give the admin an at-a-glance view of the HOA's financial and operational health, and quick access to the property list.</w:t>
            </w:r>
          </w:p>
        </w:tc>
      </w:tr>
      <w:tr>
        <w:tc>
          <w:tcPr>
            <w:tcW w:type="dxa" w:w="2600"/>
            <w:shd w:fill="F2F2F2" w:val="clear"/>
            <w:tcMar>
              <w:top w:type="dxa" w:w="100"/>
              <w:left w:type="dxa" w:w="120"/>
              <w:bottom w:type="dxa" w:w="100"/>
              <w:right w:type="dxa" w:w="120"/>
            </w:tcMar>
          </w:tcPr>
          <w:p>
            <w:pPr>
              <w:jc w:val="left"/>
            </w:pPr>
            <w:r>
              <w:rPr>
                <w:b/>
                <w:bCs/>
              </w:rPr>
              <w:t xml:space="preserve">Data source</w:t>
            </w:r>
          </w:p>
        </w:tc>
        <w:tc>
          <w:tcPr>
            <w:tcW w:type="dxa" w:w="6760"/>
            <w:tcMar>
              <w:top w:type="dxa" w:w="100"/>
              <w:left w:type="dxa" w:w="120"/>
              <w:bottom w:type="dxa" w:w="100"/>
              <w:right w:type="dxa" w:w="120"/>
            </w:tcMar>
          </w:tcPr>
          <w:p>
            <w:pPr>
              <w:jc w:val="left"/>
            </w:pPr>
            <w:r>
              <w:rPr>
                <w:b w:val="false"/>
                <w:bCs w:val="false"/>
              </w:rPr>
              <w:t xml:space="preserve">Property, Invoice, Payment, GatePass tables</w:t>
            </w:r>
          </w:p>
        </w:tc>
      </w:tr>
    </w:tbl>
    <w:p>
      <w:pPr>
        <w:spacing w:before="160"/>
      </w:pPr>
    </w:p>
    <w:p>
      <w:pPr>
        <w:pStyle w:val="Heading3"/>
        <w:spacing w:after="100" w:before="180"/>
      </w:pPr>
      <w:r>
        <w:t xml:space="preserve">Layout</w:t>
      </w:r>
    </w:p>
    <w:p>
      <w:pPr>
        <w:pStyle w:val="ListParagraph"/>
        <w:numPr>
          <w:ilvl w:val="0"/>
          <w:numId w:val="2"/>
        </w:numPr>
        <w:spacing w:after="70"/>
      </w:pPr>
      <w:r>
        <w:t xml:space="preserve">Left sidebar navigation (persistent across all admin screens).</w:t>
      </w:r>
    </w:p>
    <w:p>
      <w:pPr>
        <w:pStyle w:val="ListParagraph"/>
        <w:numPr>
          <w:ilvl w:val="0"/>
          <w:numId w:val="2"/>
        </w:numPr>
        <w:spacing w:after="70"/>
      </w:pPr>
      <w:r>
        <w:t xml:space="preserve">Top summary row of metric cards.</w:t>
      </w:r>
    </w:p>
    <w:p>
      <w:pPr>
        <w:pStyle w:val="ListParagraph"/>
        <w:numPr>
          <w:ilvl w:val="0"/>
          <w:numId w:val="2"/>
        </w:numPr>
        <w:spacing w:after="70"/>
      </w:pPr>
      <w:r>
        <w:t xml:space="preserve">Property list table below, showing latest invoice status per unit.</w:t>
      </w:r>
    </w:p>
    <w:p>
      <w:pPr>
        <w:pStyle w:val="Heading3"/>
        <w:spacing w:after="100" w:before="180"/>
      </w:pPr>
      <w:r>
        <w:t xml:space="preserve">Key elements</w:t>
      </w:r>
    </w:p>
    <w:p>
      <w:pPr>
        <w:pStyle w:val="ListParagraph"/>
        <w:numPr>
          <w:ilvl w:val="0"/>
          <w:numId w:val="2"/>
        </w:numPr>
        <w:spacing w:after="70"/>
      </w:pPr>
      <w:r>
        <w:t xml:space="preserve">Metric cards: total properties, collected this month, overdue invoice count, active gate passes.</w:t>
      </w:r>
    </w:p>
    <w:p>
      <w:pPr>
        <w:pStyle w:val="ListParagraph"/>
        <w:numPr>
          <w:ilvl w:val="0"/>
          <w:numId w:val="2"/>
        </w:numPr>
        <w:spacing w:after="70"/>
      </w:pPr>
      <w:r>
        <w:t xml:space="preserve">Property table: unit number, homeowner name, monthly rate, latest invoice status (badge).</w:t>
      </w:r>
    </w:p>
    <w:p>
      <w:pPr>
        <w:pStyle w:val="ListParagraph"/>
        <w:numPr>
          <w:ilvl w:val="0"/>
          <w:numId w:val="2"/>
        </w:numPr>
        <w:spacing w:after="70"/>
      </w:pPr>
      <w:r>
        <w:t xml:space="preserve">"Add property" action above the table.</w:t>
      </w:r>
    </w:p>
    <w:p>
      <w:pPr>
        <w:pStyle w:val="Heading3"/>
        <w:spacing w:after="100" w:before="180"/>
      </w:pPr>
      <w:r>
        <w:t xml:space="preserve">Primary actions</w:t>
      </w:r>
    </w:p>
    <w:p>
      <w:pPr>
        <w:pStyle w:val="ListParagraph"/>
        <w:numPr>
          <w:ilvl w:val="0"/>
          <w:numId w:val="2"/>
        </w:numPr>
        <w:spacing w:after="70"/>
      </w:pPr>
      <w:r>
        <w:t xml:space="preserve">Add property</w:t>
      </w:r>
    </w:p>
    <w:p>
      <w:pPr>
        <w:pStyle w:val="ListParagraph"/>
        <w:numPr>
          <w:ilvl w:val="0"/>
          <w:numId w:val="2"/>
        </w:numPr>
        <w:spacing w:after="70"/>
      </w:pPr>
      <w:r>
        <w:t xml:space="preserve">Click a row to open that property's detail/billing view</w:t>
      </w:r>
    </w:p>
    <w:p>
      <w:pPr>
        <w:pStyle w:val="Heading3"/>
        <w:spacing w:after="100" w:before="180"/>
      </w:pPr>
      <w:r>
        <w:t xml:space="preserve">States to design</w:t>
      </w:r>
    </w:p>
    <w:p>
      <w:pPr>
        <w:pStyle w:val="ListParagraph"/>
        <w:numPr>
          <w:ilvl w:val="0"/>
          <w:numId w:val="2"/>
        </w:numPr>
        <w:spacing w:after="70"/>
      </w:pPr>
      <w:r>
        <w:t xml:space="preserve">Empty state for a brand-new org with no properties yet.</w:t>
      </w:r>
    </w:p>
    <w:p>
      <w:pPr>
        <w:pStyle w:val="ListParagraph"/>
        <w:numPr>
          <w:ilvl w:val="0"/>
          <w:numId w:val="2"/>
        </w:numPr>
        <w:spacing w:after="70"/>
      </w:pPr>
      <w:r>
        <w:t xml:space="preserve">Loading state for metric cards.</w:t>
      </w:r>
    </w:p>
    <w:p>
      <w:pPr>
        <w:spacing w:after="200"/>
      </w:pPr>
    </w:p>
    <w:p>
      <w:pPr>
        <w:pStyle w:val="Heading2"/>
        <w:spacing w:after="120" w:before="240"/>
      </w:pPr>
      <w:r>
        <w:t xml:space="preserve">4.3 Billing &amp; invoices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val="clear"/>
            <w:tcMar>
              <w:top w:type="dxa" w:w="100"/>
              <w:left w:type="dxa" w:w="120"/>
              <w:bottom w:type="dxa" w:w="100"/>
              <w:right w:type="dxa" w:w="120"/>
            </w:tcMar>
          </w:tcPr>
          <w:p>
            <w:pPr>
              <w:jc w:val="left"/>
            </w:pPr>
            <w:r>
              <w:rPr>
                <w:b/>
                <w:bCs/>
              </w:rPr>
              <w:t xml:space="preserve">Role</w:t>
            </w:r>
          </w:p>
        </w:tc>
        <w:tc>
          <w:tcPr>
            <w:tcW w:type="dxa" w:w="6760"/>
            <w:tcMar>
              <w:top w:type="dxa" w:w="100"/>
              <w:left w:type="dxa" w:w="120"/>
              <w:bottom w:type="dxa" w:w="100"/>
              <w:right w:type="dxa" w:w="120"/>
            </w:tcMar>
          </w:tcPr>
          <w:p>
            <w:pPr>
              <w:jc w:val="left"/>
            </w:pPr>
            <w:r>
              <w:rPr>
                <w:b w:val="false"/>
                <w:bCs w:val="false"/>
              </w:rPr>
              <w:t xml:space="preserve">Admin / treasurer</w:t>
            </w:r>
          </w:p>
        </w:tc>
      </w:tr>
      <w:tr>
        <w:tc>
          <w:tcPr>
            <w:tcW w:type="dxa" w:w="2600"/>
            <w:shd w:fill="F2F2F2" w:val="clear"/>
            <w:tcMar>
              <w:top w:type="dxa" w:w="100"/>
              <w:left w:type="dxa" w:w="120"/>
              <w:bottom w:type="dxa" w:w="100"/>
              <w:right w:type="dxa" w:w="120"/>
            </w:tcMar>
          </w:tcPr>
          <w:p>
            <w:pPr>
              <w:jc w:val="left"/>
            </w:pPr>
            <w:r>
              <w:rPr>
                <w:b/>
                <w:bCs/>
              </w:rPr>
              <w:t xml:space="preserve">Purpose</w:t>
            </w:r>
          </w:p>
        </w:tc>
        <w:tc>
          <w:tcPr>
            <w:tcW w:type="dxa" w:w="6760"/>
            <w:tcMar>
              <w:top w:type="dxa" w:w="100"/>
              <w:left w:type="dxa" w:w="120"/>
              <w:bottom w:type="dxa" w:w="100"/>
              <w:right w:type="dxa" w:w="120"/>
            </w:tcMar>
          </w:tcPr>
          <w:p>
            <w:pPr>
              <w:jc w:val="left"/>
            </w:pPr>
            <w:r>
              <w:rPr>
                <w:b w:val="false"/>
                <w:bCs w:val="false"/>
              </w:rPr>
              <w:t xml:space="preserve">Generate the month's dues invoices in bulk, track collection status, and record payments — the core financial workflow (SOW Section 2.3).</w:t>
            </w:r>
          </w:p>
        </w:tc>
      </w:tr>
      <w:tr>
        <w:tc>
          <w:tcPr>
            <w:tcW w:type="dxa" w:w="2600"/>
            <w:shd w:fill="F2F2F2" w:val="clear"/>
            <w:tcMar>
              <w:top w:type="dxa" w:w="100"/>
              <w:left w:type="dxa" w:w="120"/>
              <w:bottom w:type="dxa" w:w="100"/>
              <w:right w:type="dxa" w:w="120"/>
            </w:tcMar>
          </w:tcPr>
          <w:p>
            <w:pPr>
              <w:jc w:val="left"/>
            </w:pPr>
            <w:r>
              <w:rPr>
                <w:b/>
                <w:bCs/>
              </w:rPr>
              <w:t xml:space="preserve">Data source</w:t>
            </w:r>
          </w:p>
        </w:tc>
        <w:tc>
          <w:tcPr>
            <w:tcW w:type="dxa" w:w="6760"/>
            <w:tcMar>
              <w:top w:type="dxa" w:w="100"/>
              <w:left w:type="dxa" w:w="120"/>
              <w:bottom w:type="dxa" w:w="100"/>
              <w:right w:type="dxa" w:w="120"/>
            </w:tcMar>
          </w:tcPr>
          <w:p>
            <w:pPr>
              <w:jc w:val="left"/>
            </w:pPr>
            <w:r>
              <w:rPr>
                <w:b w:val="false"/>
                <w:bCs w:val="false"/>
              </w:rPr>
              <w:t xml:space="preserve">Invoice, Payment, JournalEntry tables</w:t>
            </w:r>
          </w:p>
        </w:tc>
      </w:tr>
    </w:tbl>
    <w:p>
      <w:pPr>
        <w:spacing w:before="160"/>
      </w:pPr>
    </w:p>
    <w:p>
      <w:pPr>
        <w:pStyle w:val="Heading3"/>
        <w:spacing w:after="100" w:before="180"/>
      </w:pPr>
      <w:r>
        <w:t xml:space="preserve">Layout</w:t>
      </w:r>
    </w:p>
    <w:p>
      <w:pPr>
        <w:pStyle w:val="ListParagraph"/>
        <w:numPr>
          <w:ilvl w:val="0"/>
          <w:numId w:val="2"/>
        </w:numPr>
        <w:spacing w:after="70"/>
      </w:pPr>
      <w:r>
        <w:t xml:space="preserve">Header with current billing period and a prominent "Generate monthly invoices" action.</w:t>
      </w:r>
    </w:p>
    <w:p>
      <w:pPr>
        <w:pStyle w:val="ListParagraph"/>
        <w:numPr>
          <w:ilvl w:val="0"/>
          <w:numId w:val="2"/>
        </w:numPr>
        <w:spacing w:after="70"/>
      </w:pPr>
      <w:r>
        <w:t xml:space="preserve">Summary row: total billed, collected, outstanding.</w:t>
      </w:r>
    </w:p>
    <w:p>
      <w:pPr>
        <w:pStyle w:val="ListParagraph"/>
        <w:numPr>
          <w:ilvl w:val="0"/>
          <w:numId w:val="2"/>
        </w:numPr>
        <w:spacing w:after="70"/>
      </w:pPr>
      <w:r>
        <w:t xml:space="preserve">Filterable invoice table below (All / Overdue).</w:t>
      </w:r>
    </w:p>
    <w:p>
      <w:pPr>
        <w:pStyle w:val="Heading3"/>
        <w:spacing w:after="100" w:before="180"/>
      </w:pPr>
      <w:r>
        <w:t xml:space="preserve">Key elements</w:t>
      </w:r>
    </w:p>
    <w:p>
      <w:pPr>
        <w:pStyle w:val="ListParagraph"/>
        <w:numPr>
          <w:ilvl w:val="0"/>
          <w:numId w:val="2"/>
        </w:numPr>
        <w:spacing w:after="70"/>
      </w:pPr>
      <w:r>
        <w:t xml:space="preserve">Invoice table columns: unit, amount, due date, status badge, action link.</w:t>
      </w:r>
    </w:p>
    <w:p>
      <w:pPr>
        <w:pStyle w:val="ListParagraph"/>
        <w:numPr>
          <w:ilvl w:val="0"/>
          <w:numId w:val="2"/>
        </w:numPr>
        <w:spacing w:after="70"/>
      </w:pPr>
      <w:r>
        <w:t xml:space="preserve">Action link changes by state — "Record payment" for unpaid/overdue, "View SOA" for paid.</w:t>
      </w:r>
    </w:p>
    <w:p>
      <w:pPr>
        <w:pStyle w:val="ListParagraph"/>
        <w:numPr>
          <w:ilvl w:val="0"/>
          <w:numId w:val="2"/>
        </w:numPr>
        <w:spacing w:after="70"/>
      </w:pPr>
      <w:r>
        <w:t xml:space="preserve">Filter pills above the table.</w:t>
      </w:r>
    </w:p>
    <w:p>
      <w:pPr>
        <w:pStyle w:val="Heading3"/>
        <w:spacing w:after="100" w:before="180"/>
      </w:pPr>
      <w:r>
        <w:t xml:space="preserve">Primary actions</w:t>
      </w:r>
    </w:p>
    <w:p>
      <w:pPr>
        <w:pStyle w:val="ListParagraph"/>
        <w:numPr>
          <w:ilvl w:val="0"/>
          <w:numId w:val="2"/>
        </w:numPr>
        <w:spacing w:after="70"/>
      </w:pPr>
      <w:r>
        <w:t xml:space="preserve">Generate monthly invoices (bulk-creates invoices for all properties at their configured rate)</w:t>
      </w:r>
    </w:p>
    <w:p>
      <w:pPr>
        <w:pStyle w:val="ListParagraph"/>
        <w:numPr>
          <w:ilvl w:val="0"/>
          <w:numId w:val="2"/>
        </w:numPr>
        <w:spacing w:after="70"/>
      </w:pPr>
      <w:r>
        <w:t xml:space="preserve">Record payment (opens a form: amount, method — cash/check/bank transfer/GCash/Maya — reference number)</w:t>
      </w:r>
    </w:p>
    <w:p>
      <w:pPr>
        <w:pStyle w:val="ListParagraph"/>
        <w:numPr>
          <w:ilvl w:val="0"/>
          <w:numId w:val="2"/>
        </w:numPr>
        <w:spacing w:after="70"/>
      </w:pPr>
      <w:r>
        <w:t xml:space="preserve">View / download Statement of Account</w:t>
      </w:r>
    </w:p>
    <w:p>
      <w:pPr>
        <w:pStyle w:val="Heading3"/>
        <w:spacing w:after="100" w:before="180"/>
      </w:pPr>
      <w:r>
        <w:t xml:space="preserve">States to design</w:t>
      </w:r>
    </w:p>
    <w:p>
      <w:pPr>
        <w:pStyle w:val="ListParagraph"/>
        <w:numPr>
          <w:ilvl w:val="0"/>
          <w:numId w:val="2"/>
        </w:numPr>
        <w:spacing w:after="70"/>
      </w:pPr>
      <w:r>
        <w:t xml:space="preserve">Confirmation step before bulk-generating invoices (shows count and total amount before committing).</w:t>
      </w:r>
    </w:p>
    <w:p>
      <w:pPr>
        <w:pStyle w:val="ListParagraph"/>
        <w:numPr>
          <w:ilvl w:val="0"/>
          <w:numId w:val="2"/>
        </w:numPr>
        <w:spacing w:after="70"/>
      </w:pPr>
      <w:r>
        <w:t xml:space="preserve">Partial payment vs. full payment badge distinction.</w:t>
      </w:r>
    </w:p>
    <w:p>
      <w:pPr>
        <w:pStyle w:val="ListParagraph"/>
        <w:numPr>
          <w:ilvl w:val="0"/>
          <w:numId w:val="2"/>
        </w:numPr>
        <w:spacing w:after="70"/>
      </w:pPr>
      <w:r>
        <w:t xml:space="preserve">Bulk SOA export in progress.</w:t>
      </w:r>
    </w:p>
    <w:p>
      <w:pPr>
        <w:spacing w:after="200"/>
      </w:pPr>
    </w:p>
    <w:p>
      <w:pPr>
        <w:pStyle w:val="Heading2"/>
        <w:spacing w:after="120" w:before="240"/>
      </w:pPr>
      <w:r>
        <w:t xml:space="preserve">4.4 Homeowner portal — balance &amp;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val="clear"/>
            <w:tcMar>
              <w:top w:type="dxa" w:w="100"/>
              <w:left w:type="dxa" w:w="120"/>
              <w:bottom w:type="dxa" w:w="100"/>
              <w:right w:type="dxa" w:w="120"/>
            </w:tcMar>
          </w:tcPr>
          <w:p>
            <w:pPr>
              <w:jc w:val="left"/>
            </w:pPr>
            <w:r>
              <w:rPr>
                <w:b/>
                <w:bCs/>
              </w:rPr>
              <w:t xml:space="preserve">Role</w:t>
            </w:r>
          </w:p>
        </w:tc>
        <w:tc>
          <w:tcPr>
            <w:tcW w:type="dxa" w:w="6760"/>
            <w:tcMar>
              <w:top w:type="dxa" w:w="100"/>
              <w:left w:type="dxa" w:w="120"/>
              <w:bottom w:type="dxa" w:w="100"/>
              <w:right w:type="dxa" w:w="120"/>
            </w:tcMar>
          </w:tcPr>
          <w:p>
            <w:pPr>
              <w:jc w:val="left"/>
            </w:pPr>
            <w:r>
              <w:rPr>
                <w:b w:val="false"/>
                <w:bCs w:val="false"/>
              </w:rPr>
              <w:t xml:space="preserve">Homeowner</w:t>
            </w:r>
          </w:p>
        </w:tc>
      </w:tr>
      <w:tr>
        <w:tc>
          <w:tcPr>
            <w:tcW w:type="dxa" w:w="2600"/>
            <w:shd w:fill="F2F2F2" w:val="clear"/>
            <w:tcMar>
              <w:top w:type="dxa" w:w="100"/>
              <w:left w:type="dxa" w:w="120"/>
              <w:bottom w:type="dxa" w:w="100"/>
              <w:right w:type="dxa" w:w="120"/>
            </w:tcMar>
          </w:tcPr>
          <w:p>
            <w:pPr>
              <w:jc w:val="left"/>
            </w:pPr>
            <w:r>
              <w:rPr>
                <w:b/>
                <w:bCs/>
              </w:rPr>
              <w:t xml:space="preserve">Purpose</w:t>
            </w:r>
          </w:p>
        </w:tc>
        <w:tc>
          <w:tcPr>
            <w:tcW w:type="dxa" w:w="6760"/>
            <w:tcMar>
              <w:top w:type="dxa" w:w="100"/>
              <w:left w:type="dxa" w:w="120"/>
              <w:bottom w:type="dxa" w:w="100"/>
              <w:right w:type="dxa" w:w="120"/>
            </w:tcMar>
          </w:tcPr>
          <w:p>
            <w:pPr>
              <w:jc w:val="left"/>
            </w:pPr>
            <w:r>
              <w:rPr>
                <w:b w:val="false"/>
                <w:bCs w:val="false"/>
              </w:rPr>
              <w:t xml:space="preserve">Give homeowners self-service visibility into what they owe and their payment history, without contacting the admin (SOW Section 2.4).</w:t>
            </w:r>
          </w:p>
        </w:tc>
      </w:tr>
      <w:tr>
        <w:tc>
          <w:tcPr>
            <w:tcW w:type="dxa" w:w="2600"/>
            <w:shd w:fill="F2F2F2" w:val="clear"/>
            <w:tcMar>
              <w:top w:type="dxa" w:w="100"/>
              <w:left w:type="dxa" w:w="120"/>
              <w:bottom w:type="dxa" w:w="100"/>
              <w:right w:type="dxa" w:w="120"/>
            </w:tcMar>
          </w:tcPr>
          <w:p>
            <w:pPr>
              <w:jc w:val="left"/>
            </w:pPr>
            <w:r>
              <w:rPr>
                <w:b/>
                <w:bCs/>
              </w:rPr>
              <w:t xml:space="preserve">Data source</w:t>
            </w:r>
          </w:p>
        </w:tc>
        <w:tc>
          <w:tcPr>
            <w:tcW w:type="dxa" w:w="6760"/>
            <w:tcMar>
              <w:top w:type="dxa" w:w="100"/>
              <w:left w:type="dxa" w:w="120"/>
              <w:bottom w:type="dxa" w:w="100"/>
              <w:right w:type="dxa" w:w="120"/>
            </w:tcMar>
          </w:tcPr>
          <w:p>
            <w:pPr>
              <w:jc w:val="left"/>
            </w:pPr>
            <w:r>
              <w:rPr>
                <w:b w:val="false"/>
                <w:bCs w:val="false"/>
              </w:rPr>
              <w:t xml:space="preserve">Invoice, Payment tables (scoped to the homeowner's property)</w:t>
            </w:r>
          </w:p>
        </w:tc>
      </w:tr>
    </w:tbl>
    <w:p>
      <w:pPr>
        <w:spacing w:before="160"/>
      </w:pPr>
    </w:p>
    <w:p>
      <w:pPr>
        <w:pStyle w:val="Heading3"/>
        <w:spacing w:after="100" w:before="180"/>
      </w:pPr>
      <w:r>
        <w:t xml:space="preserve">Layout</w:t>
      </w:r>
    </w:p>
    <w:p>
      <w:pPr>
        <w:pStyle w:val="ListParagraph"/>
        <w:numPr>
          <w:ilvl w:val="0"/>
          <w:numId w:val="2"/>
        </w:numPr>
        <w:spacing w:after="70"/>
      </w:pPr>
      <w:r>
        <w:t xml:space="preserve">Single card-based mobile-friendly layout — no sidebar, minimal chrome.</w:t>
      </w:r>
    </w:p>
    <w:p>
      <w:pPr>
        <w:pStyle w:val="ListParagraph"/>
        <w:numPr>
          <w:ilvl w:val="0"/>
          <w:numId w:val="2"/>
        </w:numPr>
        <w:spacing w:after="70"/>
      </w:pPr>
      <w:r>
        <w:t xml:space="preserve">Balance card prominent at top.</w:t>
      </w:r>
    </w:p>
    <w:p>
      <w:pPr>
        <w:pStyle w:val="ListParagraph"/>
        <w:numPr>
          <w:ilvl w:val="0"/>
          <w:numId w:val="2"/>
        </w:numPr>
        <w:spacing w:after="70"/>
      </w:pPr>
      <w:r>
        <w:t xml:space="preserve">Two secondary action tiles (gate pass, announcements) below it.</w:t>
      </w:r>
    </w:p>
    <w:p>
      <w:pPr>
        <w:pStyle w:val="ListParagraph"/>
        <w:numPr>
          <w:ilvl w:val="0"/>
          <w:numId w:val="2"/>
        </w:numPr>
        <w:spacing w:after="70"/>
      </w:pPr>
      <w:r>
        <w:t xml:space="preserve">Payment history list at the bottom.</w:t>
      </w:r>
    </w:p>
    <w:p>
      <w:pPr>
        <w:pStyle w:val="Heading3"/>
        <w:spacing w:after="100" w:before="180"/>
      </w:pPr>
      <w:r>
        <w:t xml:space="preserve">Key elements</w:t>
      </w:r>
    </w:p>
    <w:p>
      <w:pPr>
        <w:pStyle w:val="ListParagraph"/>
        <w:numPr>
          <w:ilvl w:val="0"/>
          <w:numId w:val="2"/>
        </w:numPr>
        <w:spacing w:after="70"/>
      </w:pPr>
      <w:r>
        <w:t xml:space="preserve">Current balance, due date, "Pay now" button inside the balance card.</w:t>
      </w:r>
    </w:p>
    <w:p>
      <w:pPr>
        <w:pStyle w:val="ListParagraph"/>
        <w:numPr>
          <w:ilvl w:val="0"/>
          <w:numId w:val="2"/>
        </w:numPr>
        <w:spacing w:after="70"/>
      </w:pPr>
      <w:r>
        <w:t xml:space="preserve">Payment history rows: period, amount, method used.</w:t>
      </w:r>
    </w:p>
    <w:p>
      <w:pPr>
        <w:pStyle w:val="Heading3"/>
        <w:spacing w:after="100" w:before="180"/>
      </w:pPr>
      <w:r>
        <w:t xml:space="preserve">Primary actions</w:t>
      </w:r>
    </w:p>
    <w:p>
      <w:pPr>
        <w:pStyle w:val="ListParagraph"/>
        <w:numPr>
          <w:ilvl w:val="0"/>
          <w:numId w:val="2"/>
        </w:numPr>
        <w:spacing w:after="70"/>
      </w:pPr>
      <w:r>
        <w:t xml:space="preserve">Pay now (routes to payment method selection)</w:t>
      </w:r>
    </w:p>
    <w:p>
      <w:pPr>
        <w:pStyle w:val="ListParagraph"/>
        <w:numPr>
          <w:ilvl w:val="0"/>
          <w:numId w:val="2"/>
        </w:numPr>
        <w:spacing w:after="70"/>
      </w:pPr>
      <w:r>
        <w:t xml:space="preserve">Request gate pass</w:t>
      </w:r>
    </w:p>
    <w:p>
      <w:pPr>
        <w:pStyle w:val="ListParagraph"/>
        <w:numPr>
          <w:ilvl w:val="0"/>
          <w:numId w:val="2"/>
        </w:numPr>
        <w:spacing w:after="70"/>
      </w:pPr>
      <w:r>
        <w:t xml:space="preserve">View announcements</w:t>
      </w:r>
    </w:p>
    <w:p>
      <w:pPr>
        <w:pStyle w:val="Heading3"/>
        <w:spacing w:after="100" w:before="180"/>
      </w:pPr>
      <w:r>
        <w:t xml:space="preserve">States to design</w:t>
      </w:r>
    </w:p>
    <w:p>
      <w:pPr>
        <w:pStyle w:val="ListParagraph"/>
        <w:numPr>
          <w:ilvl w:val="0"/>
          <w:numId w:val="2"/>
        </w:numPr>
        <w:spacing w:after="70"/>
      </w:pPr>
      <w:r>
        <w:t xml:space="preserve">Zero-balance / fully paid state.</w:t>
      </w:r>
    </w:p>
    <w:p>
      <w:pPr>
        <w:pStyle w:val="ListParagraph"/>
        <w:numPr>
          <w:ilvl w:val="0"/>
          <w:numId w:val="2"/>
        </w:numPr>
        <w:spacing w:after="70"/>
      </w:pPr>
      <w:r>
        <w:t xml:space="preserve">Overdue state (balance card shifts to a warning treatment).</w:t>
      </w:r>
    </w:p>
    <w:p>
      <w:pPr>
        <w:spacing w:after="200"/>
      </w:pPr>
    </w:p>
    <w:p>
      <w:pPr>
        <w:pStyle w:val="Heading2"/>
        <w:spacing w:after="120" w:before="240"/>
      </w:pPr>
      <w:r>
        <w:t xml:space="preserve">4.5 Guard portal — pass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val="clear"/>
            <w:tcMar>
              <w:top w:type="dxa" w:w="100"/>
              <w:left w:type="dxa" w:w="120"/>
              <w:bottom w:type="dxa" w:w="100"/>
              <w:right w:type="dxa" w:w="120"/>
            </w:tcMar>
          </w:tcPr>
          <w:p>
            <w:pPr>
              <w:jc w:val="left"/>
            </w:pPr>
            <w:r>
              <w:rPr>
                <w:b/>
                <w:bCs/>
              </w:rPr>
              <w:t xml:space="preserve">Role</w:t>
            </w:r>
          </w:p>
        </w:tc>
        <w:tc>
          <w:tcPr>
            <w:tcW w:type="dxa" w:w="6760"/>
            <w:tcMar>
              <w:top w:type="dxa" w:w="100"/>
              <w:left w:type="dxa" w:w="120"/>
              <w:bottom w:type="dxa" w:w="100"/>
              <w:right w:type="dxa" w:w="120"/>
            </w:tcMar>
          </w:tcPr>
          <w:p>
            <w:pPr>
              <w:jc w:val="left"/>
            </w:pPr>
            <w:r>
              <w:rPr>
                <w:b w:val="false"/>
                <w:bCs w:val="false"/>
              </w:rPr>
              <w:t xml:space="preserve">Guard</w:t>
            </w:r>
          </w:p>
        </w:tc>
      </w:tr>
      <w:tr>
        <w:tc>
          <w:tcPr>
            <w:tcW w:type="dxa" w:w="2600"/>
            <w:shd w:fill="F2F2F2" w:val="clear"/>
            <w:tcMar>
              <w:top w:type="dxa" w:w="100"/>
              <w:left w:type="dxa" w:w="120"/>
              <w:bottom w:type="dxa" w:w="100"/>
              <w:right w:type="dxa" w:w="120"/>
            </w:tcMar>
          </w:tcPr>
          <w:p>
            <w:pPr>
              <w:jc w:val="left"/>
            </w:pPr>
            <w:r>
              <w:rPr>
                <w:b/>
                <w:bCs/>
              </w:rPr>
              <w:t xml:space="preserve">Purpose</w:t>
            </w:r>
          </w:p>
        </w:tc>
        <w:tc>
          <w:tcPr>
            <w:tcW w:type="dxa" w:w="6760"/>
            <w:tcMar>
              <w:top w:type="dxa" w:w="100"/>
              <w:left w:type="dxa" w:w="120"/>
              <w:bottom w:type="dxa" w:w="100"/>
              <w:right w:type="dxa" w:w="120"/>
            </w:tcMar>
          </w:tcPr>
          <w:p>
            <w:pPr>
              <w:jc w:val="left"/>
            </w:pPr>
            <w:r>
              <w:rPr>
                <w:b w:val="false"/>
                <w:bCs w:val="false"/>
              </w:rPr>
              <w:t xml:space="preserve">Let gate security validate a visitor pass in under 2 seconds — the SOW's explicit acceptance criterion for this screen (Section 6).</w:t>
            </w:r>
          </w:p>
        </w:tc>
      </w:tr>
      <w:tr>
        <w:tc>
          <w:tcPr>
            <w:tcW w:type="dxa" w:w="2600"/>
            <w:shd w:fill="F2F2F2" w:val="clear"/>
            <w:tcMar>
              <w:top w:type="dxa" w:w="100"/>
              <w:left w:type="dxa" w:w="120"/>
              <w:bottom w:type="dxa" w:w="100"/>
              <w:right w:type="dxa" w:w="120"/>
            </w:tcMar>
          </w:tcPr>
          <w:p>
            <w:pPr>
              <w:jc w:val="left"/>
            </w:pPr>
            <w:r>
              <w:rPr>
                <w:b/>
                <w:bCs/>
              </w:rPr>
              <w:t xml:space="preserve">Data source</w:t>
            </w:r>
          </w:p>
        </w:tc>
        <w:tc>
          <w:tcPr>
            <w:tcW w:type="dxa" w:w="6760"/>
            <w:tcMar>
              <w:top w:type="dxa" w:w="100"/>
              <w:left w:type="dxa" w:w="120"/>
              <w:bottom w:type="dxa" w:w="100"/>
              <w:right w:type="dxa" w:w="120"/>
            </w:tcMar>
          </w:tcPr>
          <w:p>
            <w:pPr>
              <w:jc w:val="left"/>
            </w:pPr>
            <w:r>
              <w:rPr>
                <w:b w:val="false"/>
                <w:bCs w:val="false"/>
              </w:rPr>
              <w:t xml:space="preserve">GatePass table</w:t>
            </w:r>
          </w:p>
        </w:tc>
      </w:tr>
    </w:tbl>
    <w:p>
      <w:pPr>
        <w:spacing w:before="160"/>
      </w:pPr>
    </w:p>
    <w:p>
      <w:pPr>
        <w:pStyle w:val="Heading3"/>
        <w:spacing w:after="100" w:before="180"/>
      </w:pPr>
      <w:r>
        <w:t xml:space="preserve">Layout</w:t>
      </w:r>
    </w:p>
    <w:p>
      <w:pPr>
        <w:pStyle w:val="ListParagraph"/>
        <w:numPr>
          <w:ilvl w:val="0"/>
          <w:numId w:val="2"/>
        </w:numPr>
        <w:spacing w:after="70"/>
      </w:pPr>
      <w:r>
        <w:t xml:space="preserve">Single-purpose, minimal-distraction screen — this is used standing at a gate, not seated at a desk.</w:t>
      </w:r>
    </w:p>
    <w:p>
      <w:pPr>
        <w:pStyle w:val="ListParagraph"/>
        <w:numPr>
          <w:ilvl w:val="0"/>
          <w:numId w:val="2"/>
        </w:numPr>
        <w:spacing w:after="70"/>
      </w:pPr>
      <w:r>
        <w:t xml:space="preserve">Code entry field with scan icon at top.</w:t>
      </w:r>
    </w:p>
    <w:p>
      <w:pPr>
        <w:pStyle w:val="ListParagraph"/>
        <w:numPr>
          <w:ilvl w:val="0"/>
          <w:numId w:val="2"/>
        </w:numPr>
        <w:spacing w:after="70"/>
      </w:pPr>
      <w:r>
        <w:t xml:space="preserve">Large, unmissable result panel below (valid or invalid).</w:t>
      </w:r>
    </w:p>
    <w:p>
      <w:pPr>
        <w:pStyle w:val="ListParagraph"/>
        <w:numPr>
          <w:ilvl w:val="0"/>
          <w:numId w:val="2"/>
        </w:numPr>
        <w:spacing w:after="70"/>
      </w:pPr>
      <w:r>
        <w:t xml:space="preserve">Short recent-scans list at the bottom for the guard's own reference.</w:t>
      </w:r>
    </w:p>
    <w:p>
      <w:pPr>
        <w:pStyle w:val="Heading3"/>
        <w:spacing w:after="100" w:before="180"/>
      </w:pPr>
      <w:r>
        <w:t xml:space="preserve">Key elements</w:t>
      </w:r>
    </w:p>
    <w:p>
      <w:pPr>
        <w:pStyle w:val="ListParagraph"/>
        <w:numPr>
          <w:ilvl w:val="0"/>
          <w:numId w:val="2"/>
        </w:numPr>
        <w:spacing w:after="70"/>
      </w:pPr>
      <w:r>
        <w:t xml:space="preserve">Pass code input with scan/camera icon.</w:t>
      </w:r>
    </w:p>
    <w:p>
      <w:pPr>
        <w:pStyle w:val="ListParagraph"/>
        <w:numPr>
          <w:ilvl w:val="0"/>
          <w:numId w:val="2"/>
        </w:numPr>
        <w:spacing w:after="70"/>
      </w:pPr>
      <w:r>
        <w:t xml:space="preserve">Result panel: status, visitor name, unit, validity window.</w:t>
      </w:r>
    </w:p>
    <w:p>
      <w:pPr>
        <w:pStyle w:val="ListParagraph"/>
        <w:numPr>
          <w:ilvl w:val="0"/>
          <w:numId w:val="2"/>
        </w:numPr>
        <w:spacing w:after="70"/>
      </w:pPr>
      <w:r>
        <w:t xml:space="preserve">Recent scans list: visitor name and timestamp.</w:t>
      </w:r>
    </w:p>
    <w:p>
      <w:pPr>
        <w:pStyle w:val="Heading3"/>
        <w:spacing w:after="100" w:before="180"/>
      </w:pPr>
      <w:r>
        <w:t xml:space="preserve">Primary actions</w:t>
      </w:r>
    </w:p>
    <w:p>
      <w:pPr>
        <w:pStyle w:val="ListParagraph"/>
        <w:numPr>
          <w:ilvl w:val="0"/>
          <w:numId w:val="2"/>
        </w:numPr>
        <w:spacing w:after="70"/>
      </w:pPr>
      <w:r>
        <w:t xml:space="preserve">Validate / scan pass</w:t>
      </w:r>
    </w:p>
    <w:p>
      <w:pPr>
        <w:pStyle w:val="Heading3"/>
        <w:spacing w:after="100" w:before="180"/>
      </w:pPr>
      <w:r>
        <w:t xml:space="preserve">States to design</w:t>
      </w:r>
    </w:p>
    <w:p>
      <w:pPr>
        <w:pStyle w:val="ListParagraph"/>
        <w:numPr>
          <w:ilvl w:val="0"/>
          <w:numId w:val="2"/>
        </w:numPr>
        <w:spacing w:after="70"/>
      </w:pPr>
      <w:r>
        <w:t xml:space="preserve">Valid pass (success treatment).</w:t>
      </w:r>
    </w:p>
    <w:p>
      <w:pPr>
        <w:pStyle w:val="ListParagraph"/>
        <w:numPr>
          <w:ilvl w:val="0"/>
          <w:numId w:val="2"/>
        </w:numPr>
        <w:spacing w:after="70"/>
      </w:pPr>
      <w:r>
        <w:t xml:space="preserve">Invalid or expired pass (danger treatment) — must be immediately distinguishable from valid at a glance.</w:t>
      </w:r>
    </w:p>
    <w:p>
      <w:pPr>
        <w:pStyle w:val="ListParagraph"/>
        <w:numPr>
          <w:ilvl w:val="0"/>
          <w:numId w:val="2"/>
        </w:numPr>
        <w:spacing w:after="70"/>
      </w:pPr>
      <w:r>
        <w:t xml:space="preserve">Empty state before any code is entered.</w:t>
      </w:r>
    </w:p>
    <w:p>
      <w:pPr>
        <w:spacing w:after="200"/>
      </w:pPr>
    </w:p>
    <w:p>
      <w:pPr>
        <w:pStyle w:val="Heading1"/>
        <w:spacing w:after="160" w:before="360"/>
      </w:pPr>
      <w:r>
        <w:t xml:space="preserve">5. Traceability to the Statement of Work</w:t>
      </w:r>
    </w:p>
    <w:p>
      <w:pPr>
        <w:spacing w:after="140"/>
      </w:pPr>
      <w:r>
        <w:t xml:space="preserve">Each screen maps to a scope item from the SOW so nothing scoped is missed and nothing unscoped sneaks into the MVP wireframes: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shd w:fill="F2F2F2" w:val="clear"/>
            <w:tcMar>
              <w:top w:type="dxa" w:w="100"/>
              <w:left w:type="dxa" w:w="120"/>
              <w:bottom w:type="dxa" w:w="100"/>
              <w:right w:type="dxa" w:w="120"/>
            </w:tcMar>
          </w:tcPr>
          <w:p>
            <w:pPr>
              <w:jc w:val="left"/>
            </w:pPr>
            <w:r>
              <w:rPr>
                <w:b/>
                <w:bCs/>
              </w:rPr>
              <w:t xml:space="preserve">Onboarding</w:t>
            </w:r>
          </w:p>
        </w:tc>
        <w:tc>
          <w:tcPr>
            <w:tcW w:type="dxa" w:w="5960"/>
            <w:tcMar>
              <w:top w:type="dxa" w:w="100"/>
              <w:left w:type="dxa" w:w="120"/>
              <w:bottom w:type="dxa" w:w="100"/>
              <w:right w:type="dxa" w:w="120"/>
            </w:tcMar>
          </w:tcPr>
          <w:p>
            <w:pPr>
              <w:jc w:val="left"/>
            </w:pPr>
            <w:r>
              <w:rPr>
                <w:b w:val="false"/>
                <w:bCs w:val="false"/>
              </w:rPr>
              <w:t xml:space="preserve">Section 2.1 (multi-tenancy setup), 2.2 (property import)</w:t>
            </w:r>
          </w:p>
        </w:tc>
      </w:tr>
      <w:tr>
        <w:tc>
          <w:tcPr>
            <w:tcW w:type="dxa" w:w="3400"/>
            <w:shd w:fill="F2F2F2" w:val="clear"/>
            <w:tcMar>
              <w:top w:type="dxa" w:w="100"/>
              <w:left w:type="dxa" w:w="120"/>
              <w:bottom w:type="dxa" w:w="100"/>
              <w:right w:type="dxa" w:w="120"/>
            </w:tcMar>
          </w:tcPr>
          <w:p>
            <w:pPr>
              <w:jc w:val="left"/>
            </w:pPr>
            <w:r>
              <w:rPr>
                <w:b/>
                <w:bCs/>
              </w:rPr>
              <w:t xml:space="preserve">Admin dashboard</w:t>
            </w:r>
          </w:p>
        </w:tc>
        <w:tc>
          <w:tcPr>
            <w:tcW w:type="dxa" w:w="5960"/>
            <w:tcMar>
              <w:top w:type="dxa" w:w="100"/>
              <w:left w:type="dxa" w:w="120"/>
              <w:bottom w:type="dxa" w:w="100"/>
              <w:right w:type="dxa" w:w="120"/>
            </w:tcMar>
          </w:tcPr>
          <w:p>
            <w:pPr>
              <w:jc w:val="left"/>
            </w:pPr>
            <w:r>
              <w:rPr>
                <w:b w:val="false"/>
                <w:bCs w:val="false"/>
              </w:rPr>
              <w:t xml:space="preserve">Section 2.2 (property/homeowner management)</w:t>
            </w:r>
          </w:p>
        </w:tc>
      </w:tr>
      <w:tr>
        <w:tc>
          <w:tcPr>
            <w:tcW w:type="dxa" w:w="3400"/>
            <w:shd w:fill="F2F2F2" w:val="clear"/>
            <w:tcMar>
              <w:top w:type="dxa" w:w="100"/>
              <w:left w:type="dxa" w:w="120"/>
              <w:bottom w:type="dxa" w:w="100"/>
              <w:right w:type="dxa" w:w="120"/>
            </w:tcMar>
          </w:tcPr>
          <w:p>
            <w:pPr>
              <w:jc w:val="left"/>
            </w:pPr>
            <w:r>
              <w:rPr>
                <w:b/>
                <w:bCs/>
              </w:rPr>
              <w:t xml:space="preserve">Billing &amp; invoices</w:t>
            </w:r>
          </w:p>
        </w:tc>
        <w:tc>
          <w:tcPr>
            <w:tcW w:type="dxa" w:w="5960"/>
            <w:tcMar>
              <w:top w:type="dxa" w:w="100"/>
              <w:left w:type="dxa" w:w="120"/>
              <w:bottom w:type="dxa" w:w="100"/>
              <w:right w:type="dxa" w:w="120"/>
            </w:tcMar>
          </w:tcPr>
          <w:p>
            <w:pPr>
              <w:jc w:val="left"/>
            </w:pPr>
            <w:r>
              <w:rPr>
                <w:b w:val="false"/>
                <w:bCs w:val="false"/>
              </w:rPr>
              <w:t xml:space="preserve">Section 2.3 (billing &amp; accounting)</w:t>
            </w:r>
          </w:p>
        </w:tc>
      </w:tr>
      <w:tr>
        <w:tc>
          <w:tcPr>
            <w:tcW w:type="dxa" w:w="3400"/>
            <w:shd w:fill="F2F2F2" w:val="clear"/>
            <w:tcMar>
              <w:top w:type="dxa" w:w="100"/>
              <w:left w:type="dxa" w:w="120"/>
              <w:bottom w:type="dxa" w:w="100"/>
              <w:right w:type="dxa" w:w="120"/>
            </w:tcMar>
          </w:tcPr>
          <w:p>
            <w:pPr>
              <w:jc w:val="left"/>
            </w:pPr>
            <w:r>
              <w:rPr>
                <w:b/>
                <w:bCs/>
              </w:rPr>
              <w:t xml:space="preserve">Homeowner portal</w:t>
            </w:r>
          </w:p>
        </w:tc>
        <w:tc>
          <w:tcPr>
            <w:tcW w:type="dxa" w:w="5960"/>
            <w:tcMar>
              <w:top w:type="dxa" w:w="100"/>
              <w:left w:type="dxa" w:w="120"/>
              <w:bottom w:type="dxa" w:w="100"/>
              <w:right w:type="dxa" w:w="120"/>
            </w:tcMar>
          </w:tcPr>
          <w:p>
            <w:pPr>
              <w:jc w:val="left"/>
            </w:pPr>
            <w:r>
              <w:rPr>
                <w:b w:val="false"/>
                <w:bCs w:val="false"/>
              </w:rPr>
              <w:t xml:space="preserve">Section 2.4 (homeowner portal)</w:t>
            </w:r>
          </w:p>
        </w:tc>
      </w:tr>
      <w:tr>
        <w:tc>
          <w:tcPr>
            <w:tcW w:type="dxa" w:w="3400"/>
            <w:shd w:fill="F2F2F2" w:val="clear"/>
            <w:tcMar>
              <w:top w:type="dxa" w:w="100"/>
              <w:left w:type="dxa" w:w="120"/>
              <w:bottom w:type="dxa" w:w="100"/>
              <w:right w:type="dxa" w:w="120"/>
            </w:tcMar>
          </w:tcPr>
          <w:p>
            <w:pPr>
              <w:jc w:val="left"/>
            </w:pPr>
            <w:r>
              <w:rPr>
                <w:b/>
                <w:bCs/>
              </w:rPr>
              <w:t xml:space="preserve">Guard portal</w:t>
            </w:r>
          </w:p>
        </w:tc>
        <w:tc>
          <w:tcPr>
            <w:tcW w:type="dxa" w:w="5960"/>
            <w:tcMar>
              <w:top w:type="dxa" w:w="100"/>
              <w:left w:type="dxa" w:w="120"/>
              <w:bottom w:type="dxa" w:w="100"/>
              <w:right w:type="dxa" w:w="120"/>
            </w:tcMar>
          </w:tcPr>
          <w:p>
            <w:pPr>
              <w:jc w:val="left"/>
            </w:pPr>
            <w:r>
              <w:rPr>
                <w:b w:val="false"/>
                <w:bCs w:val="false"/>
              </w:rPr>
              <w:t xml:space="preserve">Section 2.5 (gate security)</w:t>
            </w:r>
          </w:p>
        </w:tc>
      </w:tr>
    </w:tbl>
    <w:p>
      <w:pPr>
        <w:spacing w:before="200"/>
      </w:pPr>
    </w:p>
    <w:p>
      <w:pPr>
        <w:spacing w:after="140"/>
      </w:pPr>
      <w:r>
        <w:rPr>
          <w:i/>
          <w:iCs/>
          <w:color w:val="555555"/>
        </w:rPr>
        <w:t xml:space="preserve">Explicitly out of scope for this wireframe set, per SOW Section 1.2: resident marketplace, online voting, water metering, amenity booking, native mobile app, and calendar sync. Do not design screens for these.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2026-08-28T17:21:51.158Z</dcterms:created>
  <dcterms:modified xsi:type="dcterms:W3CDTF">2026-08-28T17:21:51.171Z</dcterms:modified>
</cp:coreProperties>
</file>

<file path=docProps/custom.xml><?xml version="1.0" encoding="utf-8"?>
<Properties xmlns="http://schemas.openxmlformats.org/officeDocument/2006/custom-properties" xmlns:vt="http://schemas.openxmlformats.org/officeDocument/2006/docPropsVTypes"/>
</file>