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Highlights</w:t>
      </w:r>
    </w:p>
    <w:p>
      <w:pPr>
        <w:pBdr>
          <w:bottom w:val="single" w:color="2E5496" w:sz="6" w:space="8"/>
        </w:pBd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Manuscript APEN-D-26-09220 — Applied Energy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Battery–hydrogen is cheaper than PV–diesel above 378 USD/MWh delivered diesel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PV capital cost—not converter efficiency—sets the cost–resilience threshold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Matched-backbone test shows the resilience edge is intrinsic to H2 storage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Any diesel start-up delay collapses diesel–battery survivability to zero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Reduced-order frequency screen confirms islanded dynamic feasibility</w:t>
      </w:r>
    </w:p>
    <w:p>
      <w:pPr>
        <w:spacing w:before="240"/>
      </w:pPr>
      <w:r>
        <w:rPr>
          <w:i/>
          <w:iCs/>
          <w:color w:val="999999"/>
          <w:sz w:val="18"/>
          <w:szCs w:val="18"/>
        </w:rPr>
        <w:t xml:space="preserve">Each highlight is within the 85-character Applied Energy limit.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2026-05-29T01:29:42.614Z</dcterms:created>
  <dcterms:modified xsi:type="dcterms:W3CDTF">2026-05-29T01:29:42.614Z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