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line="276" w:lineRule="auto"/>
        <w:jc w:val="center"/>
      </w:pPr>
      <w:r>
        <w:rPr>
          <w:b/>
          <w:color w:val="0D47A1"/>
          <w:sz w:val="44"/>
        </w:rPr>
        <w:t>ASSIGNMENT 2 – ANALYTICS &amp; MODEL-BASED DSS</w:t>
        <w:br/>
      </w:r>
    </w:p>
    <w:p>
      <w:pPr>
        <w:spacing w:before="0" w:after="2400" w:line="276" w:lineRule="auto"/>
        <w:jc w:val="center"/>
      </w:pPr>
      <w:r>
        <w:rPr>
          <w:i/>
          <w:color w:val="37474F"/>
          <w:sz w:val="28"/>
        </w:rPr>
        <w:t>Model-Driven Decision Support System for product selection on Tiki Fashion E-commerce platform</w:t>
        <w:br/>
      </w:r>
    </w:p>
    <w:p>
      <w:pPr>
        <w:spacing w:before="0" w:after="120" w:line="276" w:lineRule="auto"/>
        <w:jc w:val="left"/>
      </w:pPr>
      <w:r>
        <w:rPr>
          <w:b/>
        </w:rPr>
        <w:t xml:space="preserve">Group: </w:t>
      </w:r>
      <w:r>
        <w:t>Group 1 - DSS Visual Analytics</w:t>
        <w:br/>
      </w:r>
      <w:r>
        <w:rPr>
          <w:b/>
        </w:rPr>
        <w:t xml:space="preserve">University: </w:t>
      </w:r>
      <w:r>
        <w:t>Ho Chi Minh City University of Technology (HCMUT)</w:t>
        <w:br/>
      </w:r>
      <w:r>
        <w:rPr>
          <w:b/>
        </w:rPr>
        <w:t xml:space="preserve">Target User: </w:t>
      </w:r>
      <w:r>
        <w:t>Tiki Fashion Shop Owner / Category Manager</w:t>
        <w:br/>
      </w:r>
      <w:r>
        <w:rPr>
          <w:b/>
        </w:rPr>
        <w:t xml:space="preserve">Date: </w:t>
      </w:r>
      <w:r>
        <w:t>July 2026</w:t>
        <w:br/>
      </w:r>
    </w:p>
    <w:p>
      <w:r>
        <w:br w:type="page"/>
      </w:r>
    </w:p>
    <w:p>
      <w:pPr>
        <w:pStyle w:val="Heading1"/>
        <w:spacing w:before="240" w:after="120"/>
      </w:pPr>
      <w:r>
        <w:rPr>
          <w:rFonts w:ascii="Calibri" w:hAnsi="Calibri"/>
          <w:b/>
          <w:color w:val="0D47A1"/>
          <w:sz w:val="36"/>
        </w:rPr>
        <w:t>EXECUTIVE SUMMARY</w:t>
      </w:r>
    </w:p>
    <w:p>
      <w:r>
        <w:t>Product selection and capital allocation in the competitive e-commerce landscape requires a rigorous, data-driven methodology. This report presents the Model Management Component of our Decision Support System (DSS) for Tiki Fashion. By applying multivariate statistical regressions, demand elasticity models, and linear programming on actual scraped e-commerce datasets, we address the following 5 critical decision questions:</w:t>
      </w:r>
    </w:p>
    <w:p>
      <w:pPr>
        <w:pStyle w:val="ListBullet"/>
        <w:spacing w:before="20" w:after="20" w:line="276" w:lineRule="auto"/>
        <w:ind w:left="454"/>
      </w:pPr>
      <w:r>
        <w:rPr>
          <w:rFonts w:ascii="Calibri" w:hAnsi="Calibri"/>
          <w:b/>
        </w:rPr>
        <w:t xml:space="preserve">Question 1 (Niche Selection): </w:t>
      </w:r>
      <w:r>
        <w:rPr>
          <w:rFonts w:ascii="Calibri" w:hAnsi="Calibri"/>
        </w:rPr>
        <w:t>Determine the optimal men's fashion subcategories for small, capital-constrained sellers based on revenue-per-SKU and barrier to entry.</w:t>
      </w:r>
    </w:p>
    <w:p>
      <w:pPr>
        <w:pStyle w:val="ListBullet"/>
        <w:spacing w:before="20" w:after="20" w:line="276" w:lineRule="auto"/>
        <w:ind w:left="454"/>
      </w:pPr>
      <w:r>
        <w:rPr>
          <w:rFonts w:ascii="Calibri" w:hAnsi="Calibri"/>
          <w:b/>
        </w:rPr>
        <w:t xml:space="preserve">Question 2 (Interaction &amp; Pricing): </w:t>
      </w:r>
      <w:r>
        <w:rPr>
          <w:rFonts w:ascii="Calibri" w:hAnsi="Calibri"/>
        </w:rPr>
        <w:t>Model the interaction effects of pricing, authenticity labels, and delivery estimate on sales volume, and solve for revenue-maximizing prices.</w:t>
      </w:r>
    </w:p>
    <w:p>
      <w:pPr>
        <w:pStyle w:val="ListBullet"/>
        <w:spacing w:before="20" w:after="20" w:line="276" w:lineRule="auto"/>
        <w:ind w:left="454"/>
      </w:pPr>
      <w:r>
        <w:rPr>
          <w:rFonts w:ascii="Calibri" w:hAnsi="Calibri"/>
          <w:b/>
        </w:rPr>
        <w:t xml:space="preserve">Question 3 (Competitor Strategies): </w:t>
      </w:r>
      <w:r>
        <w:rPr>
          <w:rFonts w:ascii="Calibri" w:hAnsi="Calibri"/>
        </w:rPr>
        <w:t>Construct the optimal value proposition (discount gap, rating, review thresholds) for regular sellers to compete with official stores.</w:t>
      </w:r>
    </w:p>
    <w:p>
      <w:pPr>
        <w:pStyle w:val="ListBullet"/>
        <w:spacing w:before="20" w:after="20" w:line="276" w:lineRule="auto"/>
        <w:ind w:left="454"/>
      </w:pPr>
      <w:r>
        <w:rPr>
          <w:rFonts w:ascii="Calibri" w:hAnsi="Calibri"/>
          <w:b/>
        </w:rPr>
        <w:t xml:space="preserve">Question 4 (Portfolio Divestment): </w:t>
      </w:r>
      <w:r>
        <w:rPr>
          <w:rFonts w:ascii="Calibri" w:hAnsi="Calibri"/>
        </w:rPr>
        <w:t>Analyze product performance using a 3D matrix (Revenue/SKU, Sold share, Rating Gap) to identify watch-list and divestment items.</w:t>
      </w:r>
    </w:p>
    <w:p>
      <w:pPr>
        <w:pStyle w:val="ListBullet"/>
        <w:spacing w:before="20" w:after="20" w:line="276" w:lineRule="auto"/>
        <w:ind w:left="454"/>
      </w:pPr>
      <w:r>
        <w:rPr>
          <w:rFonts w:ascii="Calibri" w:hAnsi="Calibri"/>
          <w:b/>
        </w:rPr>
        <w:t xml:space="preserve">Question 5 (Capital Allocation): </w:t>
      </w:r>
      <w:r>
        <w:rPr>
          <w:rFonts w:ascii="Calibri" w:hAnsi="Calibri"/>
        </w:rPr>
        <w:t>Optimize capital allocation across categories using Linear Programming under three distinct funding levels and fee adjustments.</w:t>
      </w:r>
    </w:p>
    <w:p>
      <w:pPr>
        <w:spacing w:before="120" w:after="120" w:line="276" w:lineRule="auto"/>
        <w:ind w:left="567" w:right="567"/>
        <w:pBdr>
          <w:left w:val="single" w:sz="18" w:space="8" w:color="10B981"/>
        </w:pBdr>
        <w:shd w:val="clear" w:color="auto" w:fill="F0FDFA"/>
      </w:pPr>
      <w:r>
        <w:rPr>
          <w:rFonts w:ascii="Calibri" w:hAnsi="Calibri"/>
          <w:b/>
          <w:color w:val="0F766E"/>
        </w:rPr>
        <w:t>Key Strategic Insight</w:t>
        <w:br/>
      </w:r>
      <w:r>
        <w:rPr>
          <w:rFonts w:ascii="Calibri" w:hAnsi="Calibri"/>
          <w:i/>
          <w:color w:val="37474F"/>
        </w:rPr>
        <w:t>Key Analytical Findings: 'Men's Swimwear' and 'Men's Underwear' represent the highest opportunity for small sellers due to low barriers to entry and moderate sales velocity. Regular sellers can successfully compete against official stores by maintaining a price discount of at least 15.2%, achieving a customer rating of 4.3+, collecting 14+ reviews, and utilizing warehouse services to guarantee delivery within 2.5 days.</w:t>
      </w:r>
    </w:p>
    <w:p>
      <w:pPr>
        <w:pStyle w:val="Heading1"/>
        <w:spacing w:before="240" w:after="120"/>
      </w:pPr>
      <w:r>
        <w:rPr>
          <w:rFonts w:ascii="Calibri" w:hAnsi="Calibri"/>
          <w:b/>
          <w:color w:val="0D47A1"/>
          <w:sz w:val="36"/>
        </w:rPr>
        <w:t>1. DECISION CONTEXT &amp; OBJECTIVES</w:t>
      </w:r>
    </w:p>
    <w:p>
      <w:r>
        <w:t>The targeted users of this Model-Based DSS are independent fashion merchants (non-Official/regular sellers) operating on the Tiki e-commerce platform. Facing capital constraints and direct competition from large official brands, these sellers must make strategic choices regarding inventory selection, product pricing, and resource allocation. The primary objective is to maximize return on investment (ROI) while minimizing inventory stockout and saturation risks.</w:t>
      </w:r>
    </w:p>
    <w:p>
      <w:pPr>
        <w:pStyle w:val="Heading1"/>
        <w:spacing w:before="240" w:after="120"/>
      </w:pPr>
      <w:r>
        <w:rPr>
          <w:rFonts w:ascii="Calibri" w:hAnsi="Calibri"/>
          <w:b/>
          <w:color w:val="0D47A1"/>
          <w:sz w:val="36"/>
        </w:rPr>
        <w:t>2. DATA FOUNDATION &amp; SCHEMA INTEGRITY</w:t>
      </w:r>
    </w:p>
    <w:p>
      <w:r>
        <w:t>The underlying database runs on SQLite for development and PostgreSQL compatibility for production. It includes automated data ingestion scripts that parse authenticity and delivery days directly from raw API payloads.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fill="0D9488"/>
          </w:tcPr>
          <w:p>
            <w:pPr>
              <w:spacing w:before="60" w:after="60" w:line="276" w:lineRule="auto"/>
              <w:jc w:val="center"/>
            </w:pPr>
            <w:r>
              <w:rPr>
                <w:rFonts w:ascii="Calibri" w:hAnsi="Calibri"/>
                <w:b/>
                <w:color w:val="FFFFFF"/>
                <w:sz w:val="19"/>
              </w:rPr>
              <w:t>Table Name</w:t>
            </w:r>
          </w:p>
        </w:tc>
        <w:tc>
          <w:tcPr>
            <w:tcW w:type="dxa" w:w="2280"/>
            <w:vAlign w:val="center"/>
            <w:shd w:val="clear" w:fill="0D9488"/>
          </w:tcPr>
          <w:p>
            <w:pPr>
              <w:spacing w:before="60" w:after="60" w:line="276" w:lineRule="auto"/>
              <w:jc w:val="center"/>
            </w:pPr>
            <w:r>
              <w:rPr>
                <w:rFonts w:ascii="Calibri" w:hAnsi="Calibri"/>
                <w:b/>
                <w:color w:val="FFFFFF"/>
                <w:sz w:val="19"/>
              </w:rPr>
              <w:t>Total Records</w:t>
            </w:r>
          </w:p>
        </w:tc>
        <w:tc>
          <w:tcPr>
            <w:tcW w:type="dxa" w:w="2280"/>
            <w:vAlign w:val="center"/>
            <w:shd w:val="clear" w:fill="0D9488"/>
          </w:tcPr>
          <w:p>
            <w:pPr>
              <w:spacing w:before="60" w:after="60" w:line="276" w:lineRule="auto"/>
              <w:jc w:val="center"/>
            </w:pPr>
            <w:r>
              <w:rPr>
                <w:rFonts w:ascii="Calibri" w:hAnsi="Calibri"/>
                <w:b/>
                <w:color w:val="FFFFFF"/>
                <w:sz w:val="19"/>
              </w:rPr>
              <w:t>Key Fields Used</w:t>
            </w:r>
          </w:p>
        </w:tc>
        <w:tc>
          <w:tcPr>
            <w:tcW w:type="dxa" w:w="2280"/>
            <w:vAlign w:val="center"/>
            <w:shd w:val="clear" w:fill="0D9488"/>
          </w:tcPr>
          <w:p>
            <w:pPr>
              <w:spacing w:before="60" w:after="60" w:line="276" w:lineRule="auto"/>
              <w:jc w:val="center"/>
            </w:pPr>
            <w:r>
              <w:rPr>
                <w:rFonts w:ascii="Calibri" w:hAnsi="Calibri"/>
                <w:b/>
                <w:color w:val="FFFFFF"/>
                <w:sz w:val="19"/>
              </w:rPr>
              <w:t>Data Type / Format</w:t>
            </w:r>
          </w:p>
        </w:tc>
      </w:tr>
      <w:tr>
        <w:tc>
          <w:tcPr>
            <w:tcW w:type="dxa" w:w="2280"/>
            <w:vAlign w:val="center"/>
          </w:tcPr>
          <w:p>
            <w:pPr>
              <w:spacing w:before="40" w:after="40" w:line="276" w:lineRule="auto"/>
              <w:jc w:val="left"/>
            </w:pPr>
            <w:r>
              <w:rPr>
                <w:rFonts w:ascii="Calibri" w:hAnsi="Calibri"/>
                <w:sz w:val="18"/>
              </w:rPr>
              <w:t>products_tiki</w:t>
            </w:r>
          </w:p>
        </w:tc>
        <w:tc>
          <w:tcPr>
            <w:tcW w:type="dxa" w:w="2280"/>
            <w:vAlign w:val="center"/>
          </w:tcPr>
          <w:p>
            <w:pPr>
              <w:spacing w:before="40" w:after="40" w:line="276" w:lineRule="auto"/>
              <w:jc w:val="right"/>
            </w:pPr>
            <w:r>
              <w:rPr>
                <w:rFonts w:ascii="Calibri" w:hAnsi="Calibri"/>
                <w:sz w:val="18"/>
              </w:rPr>
              <w:t>1,925</w:t>
            </w:r>
          </w:p>
        </w:tc>
        <w:tc>
          <w:tcPr>
            <w:tcW w:type="dxa" w:w="2280"/>
            <w:vAlign w:val="center"/>
          </w:tcPr>
          <w:p>
            <w:pPr>
              <w:spacing w:before="40" w:after="40" w:line="276" w:lineRule="auto"/>
              <w:jc w:val="right"/>
            </w:pPr>
            <w:r>
              <w:rPr>
                <w:rFonts w:ascii="Calibri" w:hAnsi="Calibri"/>
                <w:sz w:val="18"/>
              </w:rPr>
              <w:t>product_id, category_l2, price, sold_count, is_authentic, delivery_estimate_days</w:t>
            </w:r>
          </w:p>
        </w:tc>
        <w:tc>
          <w:tcPr>
            <w:tcW w:type="dxa" w:w="2280"/>
            <w:vAlign w:val="center"/>
          </w:tcPr>
          <w:p>
            <w:pPr>
              <w:spacing w:before="40" w:after="40" w:line="276" w:lineRule="auto"/>
              <w:jc w:val="left"/>
            </w:pPr>
            <w:r>
              <w:rPr>
                <w:rFonts w:ascii="Calibri" w:hAnsi="Calibri"/>
                <w:sz w:val="18"/>
              </w:rPr>
              <w:t>SQLite DB / Snapshot</w:t>
            </w:r>
          </w:p>
        </w:tc>
      </w:tr>
      <w:tr>
        <w:tc>
          <w:tcPr>
            <w:tcW w:type="dxa" w:w="2280"/>
            <w:vAlign w:val="center"/>
          </w:tcPr>
          <w:p>
            <w:pPr>
              <w:spacing w:before="40" w:after="40" w:line="276" w:lineRule="auto"/>
              <w:jc w:val="left"/>
            </w:pPr>
            <w:r>
              <w:rPr>
                <w:rFonts w:ascii="Calibri" w:hAnsi="Calibri"/>
                <w:sz w:val="18"/>
              </w:rPr>
              <w:t>products_tiki_history</w:t>
            </w:r>
          </w:p>
        </w:tc>
        <w:tc>
          <w:tcPr>
            <w:tcW w:type="dxa" w:w="2280"/>
            <w:vAlign w:val="center"/>
          </w:tcPr>
          <w:p>
            <w:pPr>
              <w:spacing w:before="40" w:after="40" w:line="276" w:lineRule="auto"/>
              <w:jc w:val="right"/>
            </w:pPr>
            <w:r>
              <w:rPr>
                <w:rFonts w:ascii="Calibri" w:hAnsi="Calibri"/>
                <w:sz w:val="18"/>
              </w:rPr>
              <w:t>9,625</w:t>
            </w:r>
          </w:p>
        </w:tc>
        <w:tc>
          <w:tcPr>
            <w:tcW w:type="dxa" w:w="2280"/>
            <w:vAlign w:val="center"/>
          </w:tcPr>
          <w:p>
            <w:pPr>
              <w:spacing w:before="40" w:after="40" w:line="276" w:lineRule="auto"/>
              <w:jc w:val="right"/>
            </w:pPr>
            <w:r>
              <w:rPr>
                <w:rFonts w:ascii="Calibri" w:hAnsi="Calibri"/>
                <w:sz w:val="18"/>
              </w:rPr>
              <w:t>product_id, price, sold_count, date_collected</w:t>
            </w:r>
          </w:p>
        </w:tc>
        <w:tc>
          <w:tcPr>
            <w:tcW w:type="dxa" w:w="2280"/>
            <w:vAlign w:val="center"/>
          </w:tcPr>
          <w:p>
            <w:pPr>
              <w:spacing w:before="40" w:after="40" w:line="276" w:lineRule="auto"/>
              <w:jc w:val="left"/>
            </w:pPr>
            <w:r>
              <w:rPr>
                <w:rFonts w:ascii="Calibri" w:hAnsi="Calibri"/>
                <w:sz w:val="18"/>
              </w:rPr>
              <w:t>SQLite DB / Time-Series</w:t>
            </w:r>
          </w:p>
        </w:tc>
      </w:tr>
      <w:tr>
        <w:tc>
          <w:tcPr>
            <w:tcW w:type="dxa" w:w="2280"/>
            <w:vAlign w:val="center"/>
          </w:tcPr>
          <w:p>
            <w:pPr>
              <w:spacing w:before="40" w:after="40" w:line="276" w:lineRule="auto"/>
              <w:jc w:val="left"/>
            </w:pPr>
            <w:r>
              <w:rPr>
                <w:rFonts w:ascii="Calibri" w:hAnsi="Calibri"/>
                <w:sz w:val="18"/>
              </w:rPr>
              <w:t>products_changes</w:t>
            </w:r>
          </w:p>
        </w:tc>
        <w:tc>
          <w:tcPr>
            <w:tcW w:type="dxa" w:w="2280"/>
            <w:vAlign w:val="center"/>
          </w:tcPr>
          <w:p>
            <w:pPr>
              <w:spacing w:before="40" w:after="40" w:line="276" w:lineRule="auto"/>
              <w:jc w:val="right"/>
            </w:pPr>
            <w:r>
              <w:rPr>
                <w:rFonts w:ascii="Calibri" w:hAnsi="Calibri"/>
                <w:sz w:val="18"/>
              </w:rPr>
              <w:t>62</w:t>
            </w:r>
          </w:p>
        </w:tc>
        <w:tc>
          <w:tcPr>
            <w:tcW w:type="dxa" w:w="2280"/>
            <w:vAlign w:val="center"/>
          </w:tcPr>
          <w:p>
            <w:pPr>
              <w:spacing w:before="40" w:after="40" w:line="276" w:lineRule="auto"/>
              <w:jc w:val="right"/>
            </w:pPr>
            <w:r>
              <w:rPr>
                <w:rFonts w:ascii="Calibri" w:hAnsi="Calibri"/>
                <w:sz w:val="18"/>
              </w:rPr>
              <w:t>product_id, status, sold_increase, price_change</w:t>
            </w:r>
          </w:p>
        </w:tc>
        <w:tc>
          <w:tcPr>
            <w:tcW w:type="dxa" w:w="2280"/>
            <w:vAlign w:val="center"/>
          </w:tcPr>
          <w:p>
            <w:pPr>
              <w:spacing w:before="40" w:after="40" w:line="276" w:lineRule="auto"/>
              <w:jc w:val="left"/>
            </w:pPr>
            <w:r>
              <w:rPr>
                <w:rFonts w:ascii="Calibri" w:hAnsi="Calibri"/>
                <w:sz w:val="18"/>
              </w:rPr>
              <w:t>SQLite DB / Delta Report</w:t>
            </w:r>
          </w:p>
        </w:tc>
      </w:tr>
      <w:tr>
        <w:tc>
          <w:tcPr>
            <w:tcW w:type="dxa" w:w="2280"/>
            <w:vAlign w:val="center"/>
          </w:tcPr>
          <w:p>
            <w:pPr>
              <w:spacing w:before="40" w:after="40" w:line="276" w:lineRule="auto"/>
              <w:jc w:val="left"/>
            </w:pPr>
            <w:r>
              <w:rPr>
                <w:rFonts w:ascii="Calibri" w:hAnsi="Calibri"/>
                <w:sz w:val="18"/>
              </w:rPr>
              <w:t>products_external (Lazada)</w:t>
            </w:r>
          </w:p>
        </w:tc>
        <w:tc>
          <w:tcPr>
            <w:tcW w:type="dxa" w:w="2280"/>
            <w:vAlign w:val="center"/>
          </w:tcPr>
          <w:p>
            <w:pPr>
              <w:spacing w:before="40" w:after="40" w:line="276" w:lineRule="auto"/>
              <w:jc w:val="right"/>
            </w:pPr>
            <w:r>
              <w:rPr>
                <w:rFonts w:ascii="Calibri" w:hAnsi="Calibri"/>
                <w:sz w:val="18"/>
              </w:rPr>
              <w:t>1,000</w:t>
            </w:r>
          </w:p>
        </w:tc>
        <w:tc>
          <w:tcPr>
            <w:tcW w:type="dxa" w:w="2280"/>
            <w:vAlign w:val="center"/>
          </w:tcPr>
          <w:p>
            <w:pPr>
              <w:spacing w:before="40" w:after="40" w:line="276" w:lineRule="auto"/>
              <w:jc w:val="right"/>
            </w:pPr>
            <w:r>
              <w:rPr>
                <w:rFonts w:ascii="Calibri" w:hAnsi="Calibri"/>
                <w:sz w:val="18"/>
              </w:rPr>
              <w:t>external_id, price, sold_count, rating, is_authentic</w:t>
            </w:r>
          </w:p>
        </w:tc>
        <w:tc>
          <w:tcPr>
            <w:tcW w:type="dxa" w:w="2280"/>
            <w:vAlign w:val="center"/>
          </w:tcPr>
          <w:p>
            <w:pPr>
              <w:spacing w:before="40" w:after="40" w:line="276" w:lineRule="auto"/>
              <w:jc w:val="left"/>
            </w:pPr>
            <w:r>
              <w:rPr>
                <w:rFonts w:ascii="Calibri" w:hAnsi="Calibri"/>
                <w:sz w:val="18"/>
              </w:rPr>
              <w:t>Excel Upload / Competitor Data</w:t>
            </w:r>
          </w:p>
        </w:tc>
      </w:tr>
      <w:tr>
        <w:tc>
          <w:tcPr>
            <w:tcW w:type="dxa" w:w="2280"/>
            <w:vAlign w:val="center"/>
          </w:tcPr>
          <w:p>
            <w:pPr>
              <w:spacing w:before="40" w:after="40" w:line="276" w:lineRule="auto"/>
              <w:jc w:val="left"/>
            </w:pPr>
            <w:r>
              <w:rPr>
                <w:rFonts w:ascii="Calibri" w:hAnsi="Calibri"/>
                <w:sz w:val="18"/>
              </w:rPr>
              <w:t>products_external (Shopee)</w:t>
            </w:r>
          </w:p>
        </w:tc>
        <w:tc>
          <w:tcPr>
            <w:tcW w:type="dxa" w:w="2280"/>
            <w:vAlign w:val="center"/>
          </w:tcPr>
          <w:p>
            <w:pPr>
              <w:spacing w:before="40" w:after="40" w:line="276" w:lineRule="auto"/>
              <w:jc w:val="right"/>
            </w:pPr>
            <w:r>
              <w:rPr>
                <w:rFonts w:ascii="Calibri" w:hAnsi="Calibri"/>
                <w:sz w:val="18"/>
              </w:rPr>
              <w:t>98</w:t>
            </w:r>
          </w:p>
        </w:tc>
        <w:tc>
          <w:tcPr>
            <w:tcW w:type="dxa" w:w="2280"/>
            <w:vAlign w:val="center"/>
          </w:tcPr>
          <w:p>
            <w:pPr>
              <w:spacing w:before="40" w:after="40" w:line="276" w:lineRule="auto"/>
              <w:jc w:val="right"/>
            </w:pPr>
            <w:r>
              <w:rPr>
                <w:rFonts w:ascii="Calibri" w:hAnsi="Calibri"/>
                <w:sz w:val="18"/>
              </w:rPr>
              <w:t>external_id, price, sold_count, rating, is_authentic</w:t>
            </w:r>
          </w:p>
        </w:tc>
        <w:tc>
          <w:tcPr>
            <w:tcW w:type="dxa" w:w="2280"/>
            <w:vAlign w:val="center"/>
          </w:tcPr>
          <w:p>
            <w:pPr>
              <w:spacing w:before="40" w:after="40" w:line="276" w:lineRule="auto"/>
              <w:jc w:val="left"/>
            </w:pPr>
            <w:r>
              <w:rPr>
                <w:rFonts w:ascii="Calibri" w:hAnsi="Calibri"/>
                <w:sz w:val="18"/>
              </w:rPr>
              <w:t>Excel Upload / Competitor Data</w:t>
            </w:r>
          </w:p>
        </w:tc>
      </w:tr>
    </w:tbl>
    <w:p/>
    <w:p>
      <w:pPr>
        <w:pStyle w:val="Heading1"/>
        <w:spacing w:before="240" w:after="120"/>
      </w:pPr>
      <w:r>
        <w:rPr>
          <w:rFonts w:ascii="Calibri" w:hAnsi="Calibri"/>
          <w:b/>
          <w:color w:val="0D47A1"/>
          <w:sz w:val="36"/>
        </w:rPr>
        <w:t>3. STEP 1 – EXPLORATORY DATA ANALYSIS (EDA)</w:t>
      </w:r>
    </w:p>
    <w:p>
      <w:r>
        <w:t>The following table presents key aggregated metrics for Men's Fashion subcategories (L2) on Tiki. The Opportunity Score combines revenue potential per SKU (40%), existing market sold share (30%), and lack of official domination (30%).</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shd w:val="clear" w:fill="0D9488"/>
          </w:tcPr>
          <w:p>
            <w:pPr>
              <w:spacing w:before="60" w:after="60" w:line="276" w:lineRule="auto"/>
              <w:jc w:val="center"/>
            </w:pPr>
            <w:r>
              <w:rPr>
                <w:rFonts w:ascii="Calibri" w:hAnsi="Calibri"/>
                <w:b/>
                <w:color w:val="FFFFFF"/>
                <w:sz w:val="19"/>
              </w:rPr>
              <w:t>Subcategory L2</w:t>
            </w:r>
          </w:p>
        </w:tc>
        <w:tc>
          <w:tcPr>
            <w:tcW w:type="dxa" w:w="1303"/>
            <w:vAlign w:val="center"/>
            <w:shd w:val="clear" w:fill="0D9488"/>
          </w:tcPr>
          <w:p>
            <w:pPr>
              <w:spacing w:before="60" w:after="60" w:line="276" w:lineRule="auto"/>
              <w:jc w:val="center"/>
            </w:pPr>
            <w:r>
              <w:rPr>
                <w:rFonts w:ascii="Calibri" w:hAnsi="Calibri"/>
                <w:b/>
                <w:color w:val="FFFFFF"/>
                <w:sz w:val="19"/>
              </w:rPr>
              <w:t>Active SKUs</w:t>
            </w:r>
          </w:p>
        </w:tc>
        <w:tc>
          <w:tcPr>
            <w:tcW w:type="dxa" w:w="1303"/>
            <w:vAlign w:val="center"/>
            <w:shd w:val="clear" w:fill="0D9488"/>
          </w:tcPr>
          <w:p>
            <w:pPr>
              <w:spacing w:before="60" w:after="60" w:line="276" w:lineRule="auto"/>
              <w:jc w:val="center"/>
            </w:pPr>
            <w:r>
              <w:rPr>
                <w:rFonts w:ascii="Calibri" w:hAnsi="Calibri"/>
                <w:b/>
                <w:color w:val="FFFFFF"/>
                <w:sz w:val="19"/>
              </w:rPr>
              <w:t>Total Sold</w:t>
            </w:r>
          </w:p>
        </w:tc>
        <w:tc>
          <w:tcPr>
            <w:tcW w:type="dxa" w:w="1303"/>
            <w:vAlign w:val="center"/>
            <w:shd w:val="clear" w:fill="0D9488"/>
          </w:tcPr>
          <w:p>
            <w:pPr>
              <w:spacing w:before="60" w:after="60" w:line="276" w:lineRule="auto"/>
              <w:jc w:val="center"/>
            </w:pPr>
            <w:r>
              <w:rPr>
                <w:rFonts w:ascii="Calibri" w:hAnsi="Calibri"/>
                <w:b/>
                <w:color w:val="FFFFFF"/>
                <w:sz w:val="19"/>
              </w:rPr>
              <w:t>Total Revenue (VND)</w:t>
            </w:r>
          </w:p>
        </w:tc>
        <w:tc>
          <w:tcPr>
            <w:tcW w:type="dxa" w:w="1303"/>
            <w:vAlign w:val="center"/>
            <w:shd w:val="clear" w:fill="0D9488"/>
          </w:tcPr>
          <w:p>
            <w:pPr>
              <w:spacing w:before="60" w:after="60" w:line="276" w:lineRule="auto"/>
              <w:jc w:val="center"/>
            </w:pPr>
            <w:r>
              <w:rPr>
                <w:rFonts w:ascii="Calibri" w:hAnsi="Calibri"/>
                <w:b/>
                <w:color w:val="FFFFFF"/>
                <w:sz w:val="19"/>
              </w:rPr>
              <w:t>Avg Rev/SKU (VND)</w:t>
            </w:r>
          </w:p>
        </w:tc>
        <w:tc>
          <w:tcPr>
            <w:tcW w:type="dxa" w:w="1303"/>
            <w:vAlign w:val="center"/>
            <w:shd w:val="clear" w:fill="0D9488"/>
          </w:tcPr>
          <w:p>
            <w:pPr>
              <w:spacing w:before="60" w:after="60" w:line="276" w:lineRule="auto"/>
              <w:jc w:val="center"/>
            </w:pPr>
            <w:r>
              <w:rPr>
                <w:rFonts w:ascii="Calibri" w:hAnsi="Calibri"/>
                <w:b/>
                <w:color w:val="FFFFFF"/>
                <w:sz w:val="19"/>
              </w:rPr>
              <w:t>Official Dom Ratio</w:t>
            </w:r>
          </w:p>
        </w:tc>
        <w:tc>
          <w:tcPr>
            <w:tcW w:type="dxa" w:w="1303"/>
            <w:vAlign w:val="center"/>
            <w:shd w:val="clear" w:fill="0D9488"/>
          </w:tcPr>
          <w:p>
            <w:pPr>
              <w:spacing w:before="60" w:after="60" w:line="276" w:lineRule="auto"/>
              <w:jc w:val="center"/>
            </w:pPr>
            <w:r>
              <w:rPr>
                <w:rFonts w:ascii="Calibri" w:hAnsi="Calibri"/>
                <w:b/>
                <w:color w:val="FFFFFF"/>
                <w:sz w:val="19"/>
              </w:rPr>
              <w:t>Opportunity Score</w:t>
            </w:r>
          </w:p>
        </w:tc>
      </w:tr>
      <w:tr>
        <w:tc>
          <w:tcPr>
            <w:tcW w:type="dxa" w:w="1303"/>
            <w:vAlign w:val="center"/>
          </w:tcPr>
          <w:p>
            <w:pPr>
              <w:spacing w:before="40" w:after="40" w:line="276" w:lineRule="auto"/>
              <w:jc w:val="left"/>
            </w:pPr>
            <w:r>
              <w:rPr>
                <w:rFonts w:ascii="Calibri" w:hAnsi="Calibri"/>
                <w:sz w:val="18"/>
              </w:rPr>
              <w:t>Men's Hoodies</w:t>
            </w:r>
          </w:p>
        </w:tc>
        <w:tc>
          <w:tcPr>
            <w:tcW w:type="dxa" w:w="1303"/>
            <w:vAlign w:val="center"/>
          </w:tcPr>
          <w:p>
            <w:pPr>
              <w:spacing w:before="40" w:after="40" w:line="276" w:lineRule="auto"/>
              <w:jc w:val="right"/>
            </w:pPr>
            <w:r>
              <w:rPr>
                <w:rFonts w:ascii="Calibri" w:hAnsi="Calibri"/>
                <w:sz w:val="18"/>
              </w:rPr>
              <w:t>3</w:t>
            </w:r>
          </w:p>
        </w:tc>
        <w:tc>
          <w:tcPr>
            <w:tcW w:type="dxa" w:w="1303"/>
            <w:vAlign w:val="center"/>
          </w:tcPr>
          <w:p>
            <w:pPr>
              <w:spacing w:before="40" w:after="40" w:line="276" w:lineRule="auto"/>
              <w:jc w:val="right"/>
            </w:pPr>
            <w:r>
              <w:rPr>
                <w:rFonts w:ascii="Calibri" w:hAnsi="Calibri"/>
                <w:sz w:val="18"/>
              </w:rPr>
              <w:t>1</w:t>
            </w:r>
          </w:p>
        </w:tc>
        <w:tc>
          <w:tcPr>
            <w:tcW w:type="dxa" w:w="1303"/>
            <w:vAlign w:val="center"/>
          </w:tcPr>
          <w:p>
            <w:pPr>
              <w:spacing w:before="40" w:after="40" w:line="276" w:lineRule="auto"/>
              <w:jc w:val="right"/>
            </w:pPr>
            <w:r>
              <w:rPr>
                <w:rFonts w:ascii="Calibri" w:hAnsi="Calibri"/>
                <w:sz w:val="18"/>
              </w:rPr>
              <w:t>189,250</w:t>
            </w:r>
          </w:p>
        </w:tc>
        <w:tc>
          <w:tcPr>
            <w:tcW w:type="dxa" w:w="1303"/>
            <w:vAlign w:val="center"/>
          </w:tcPr>
          <w:p>
            <w:pPr>
              <w:spacing w:before="40" w:after="40" w:line="276" w:lineRule="auto"/>
              <w:jc w:val="right"/>
            </w:pPr>
            <w:r>
              <w:rPr>
                <w:rFonts w:ascii="Calibri" w:hAnsi="Calibri"/>
                <w:sz w:val="18"/>
              </w:rPr>
              <w:t>63,083</w:t>
            </w:r>
          </w:p>
        </w:tc>
        <w:tc>
          <w:tcPr>
            <w:tcW w:type="dxa" w:w="1303"/>
            <w:vAlign w:val="center"/>
          </w:tcPr>
          <w:p>
            <w:pPr>
              <w:spacing w:before="40" w:after="40" w:line="276" w:lineRule="auto"/>
              <w:jc w:val="right"/>
            </w:pPr>
            <w:r>
              <w:rPr>
                <w:rFonts w:ascii="Calibri" w:hAnsi="Calibri"/>
                <w:sz w:val="18"/>
              </w:rPr>
              <w:t>0.0%</w:t>
            </w:r>
          </w:p>
        </w:tc>
        <w:tc>
          <w:tcPr>
            <w:tcW w:type="dxa" w:w="1303"/>
            <w:vAlign w:val="center"/>
          </w:tcPr>
          <w:p>
            <w:pPr>
              <w:spacing w:before="40" w:after="40" w:line="276" w:lineRule="auto"/>
              <w:jc w:val="right"/>
            </w:pPr>
            <w:r>
              <w:rPr>
                <w:rFonts w:ascii="Calibri" w:hAnsi="Calibri"/>
                <w:sz w:val="18"/>
              </w:rPr>
              <w:t>60.03</w:t>
            </w:r>
          </w:p>
        </w:tc>
      </w:tr>
      <w:tr>
        <w:tc>
          <w:tcPr>
            <w:tcW w:type="dxa" w:w="1303"/>
            <w:vAlign w:val="center"/>
          </w:tcPr>
          <w:p>
            <w:pPr>
              <w:spacing w:before="40" w:after="40" w:line="276" w:lineRule="auto"/>
              <w:jc w:val="left"/>
            </w:pPr>
            <w:r>
              <w:rPr>
                <w:rFonts w:ascii="Calibri" w:hAnsi="Calibri"/>
                <w:sz w:val="18"/>
              </w:rPr>
              <w:t>Men's Swimwear</w:t>
            </w:r>
          </w:p>
        </w:tc>
        <w:tc>
          <w:tcPr>
            <w:tcW w:type="dxa" w:w="1303"/>
            <w:vAlign w:val="center"/>
          </w:tcPr>
          <w:p>
            <w:pPr>
              <w:spacing w:before="40" w:after="40" w:line="276" w:lineRule="auto"/>
              <w:jc w:val="right"/>
            </w:pPr>
            <w:r>
              <w:rPr>
                <w:rFonts w:ascii="Calibri" w:hAnsi="Calibri"/>
                <w:sz w:val="18"/>
              </w:rPr>
              <w:t>14</w:t>
            </w:r>
          </w:p>
        </w:tc>
        <w:tc>
          <w:tcPr>
            <w:tcW w:type="dxa" w:w="1303"/>
            <w:vAlign w:val="center"/>
          </w:tcPr>
          <w:p>
            <w:pPr>
              <w:spacing w:before="40" w:after="40" w:line="276" w:lineRule="auto"/>
              <w:jc w:val="right"/>
            </w:pPr>
            <w:r>
              <w:rPr>
                <w:rFonts w:ascii="Calibri" w:hAnsi="Calibri"/>
                <w:sz w:val="18"/>
              </w:rPr>
              <w:t>605</w:t>
            </w:r>
          </w:p>
        </w:tc>
        <w:tc>
          <w:tcPr>
            <w:tcW w:type="dxa" w:w="1303"/>
            <w:vAlign w:val="center"/>
          </w:tcPr>
          <w:p>
            <w:pPr>
              <w:spacing w:before="40" w:after="40" w:line="276" w:lineRule="auto"/>
              <w:jc w:val="right"/>
            </w:pPr>
            <w:r>
              <w:rPr>
                <w:rFonts w:ascii="Calibri" w:hAnsi="Calibri"/>
                <w:sz w:val="18"/>
              </w:rPr>
              <w:t>133,288,000</w:t>
            </w:r>
          </w:p>
        </w:tc>
        <w:tc>
          <w:tcPr>
            <w:tcW w:type="dxa" w:w="1303"/>
            <w:vAlign w:val="center"/>
          </w:tcPr>
          <w:p>
            <w:pPr>
              <w:spacing w:before="40" w:after="40" w:line="276" w:lineRule="auto"/>
              <w:jc w:val="right"/>
            </w:pPr>
            <w:r>
              <w:rPr>
                <w:rFonts w:ascii="Calibri" w:hAnsi="Calibri"/>
                <w:sz w:val="18"/>
              </w:rPr>
              <w:t>9,520,571</w:t>
            </w:r>
          </w:p>
        </w:tc>
        <w:tc>
          <w:tcPr>
            <w:tcW w:type="dxa" w:w="1303"/>
            <w:vAlign w:val="center"/>
          </w:tcPr>
          <w:p>
            <w:pPr>
              <w:spacing w:before="40" w:after="40" w:line="276" w:lineRule="auto"/>
              <w:jc w:val="right"/>
            </w:pPr>
            <w:r>
              <w:rPr>
                <w:rFonts w:ascii="Calibri" w:hAnsi="Calibri"/>
                <w:sz w:val="18"/>
              </w:rPr>
              <w:t>28.6%</w:t>
            </w:r>
          </w:p>
        </w:tc>
        <w:tc>
          <w:tcPr>
            <w:tcW w:type="dxa" w:w="1303"/>
            <w:vAlign w:val="center"/>
          </w:tcPr>
          <w:p>
            <w:pPr>
              <w:spacing w:before="40" w:after="40" w:line="276" w:lineRule="auto"/>
              <w:jc w:val="right"/>
            </w:pPr>
            <w:r>
              <w:rPr>
                <w:rFonts w:ascii="Calibri" w:hAnsi="Calibri"/>
                <w:sz w:val="18"/>
              </w:rPr>
              <w:t>47.10</w:t>
            </w:r>
          </w:p>
        </w:tc>
      </w:tr>
      <w:tr>
        <w:tc>
          <w:tcPr>
            <w:tcW w:type="dxa" w:w="1303"/>
            <w:vAlign w:val="center"/>
          </w:tcPr>
          <w:p>
            <w:pPr>
              <w:spacing w:before="40" w:after="40" w:line="276" w:lineRule="auto"/>
              <w:jc w:val="left"/>
            </w:pPr>
            <w:r>
              <w:rPr>
                <w:rFonts w:ascii="Calibri" w:hAnsi="Calibri"/>
                <w:sz w:val="18"/>
              </w:rPr>
              <w:t>Men's Shorts</w:t>
            </w:r>
          </w:p>
        </w:tc>
        <w:tc>
          <w:tcPr>
            <w:tcW w:type="dxa" w:w="1303"/>
            <w:vAlign w:val="center"/>
          </w:tcPr>
          <w:p>
            <w:pPr>
              <w:spacing w:before="40" w:after="40" w:line="276" w:lineRule="auto"/>
              <w:jc w:val="right"/>
            </w:pPr>
            <w:r>
              <w:rPr>
                <w:rFonts w:ascii="Calibri" w:hAnsi="Calibri"/>
                <w:sz w:val="18"/>
              </w:rPr>
              <w:t>46</w:t>
            </w:r>
          </w:p>
        </w:tc>
        <w:tc>
          <w:tcPr>
            <w:tcW w:type="dxa" w:w="1303"/>
            <w:vAlign w:val="center"/>
          </w:tcPr>
          <w:p>
            <w:pPr>
              <w:spacing w:before="40" w:after="40" w:line="276" w:lineRule="auto"/>
              <w:jc w:val="right"/>
            </w:pPr>
            <w:r>
              <w:rPr>
                <w:rFonts w:ascii="Calibri" w:hAnsi="Calibri"/>
                <w:sz w:val="18"/>
              </w:rPr>
              <w:t>28,691</w:t>
            </w:r>
          </w:p>
        </w:tc>
        <w:tc>
          <w:tcPr>
            <w:tcW w:type="dxa" w:w="1303"/>
            <w:vAlign w:val="center"/>
          </w:tcPr>
          <w:p>
            <w:pPr>
              <w:spacing w:before="40" w:after="40" w:line="276" w:lineRule="auto"/>
              <w:jc w:val="right"/>
            </w:pPr>
            <w:r>
              <w:rPr>
                <w:rFonts w:ascii="Calibri" w:hAnsi="Calibri"/>
                <w:sz w:val="18"/>
              </w:rPr>
              <w:t>4,117,326,170</w:t>
            </w:r>
          </w:p>
        </w:tc>
        <w:tc>
          <w:tcPr>
            <w:tcW w:type="dxa" w:w="1303"/>
            <w:vAlign w:val="center"/>
          </w:tcPr>
          <w:p>
            <w:pPr>
              <w:spacing w:before="40" w:after="40" w:line="276" w:lineRule="auto"/>
              <w:jc w:val="right"/>
            </w:pPr>
            <w:r>
              <w:rPr>
                <w:rFonts w:ascii="Calibri" w:hAnsi="Calibri"/>
                <w:sz w:val="18"/>
              </w:rPr>
              <w:t>89,507,090</w:t>
            </w:r>
          </w:p>
        </w:tc>
        <w:tc>
          <w:tcPr>
            <w:tcW w:type="dxa" w:w="1303"/>
            <w:vAlign w:val="center"/>
          </w:tcPr>
          <w:p>
            <w:pPr>
              <w:spacing w:before="40" w:after="40" w:line="276" w:lineRule="auto"/>
              <w:jc w:val="right"/>
            </w:pPr>
            <w:r>
              <w:rPr>
                <w:rFonts w:ascii="Calibri" w:hAnsi="Calibri"/>
                <w:sz w:val="18"/>
              </w:rPr>
              <w:t>99.5%</w:t>
            </w:r>
          </w:p>
        </w:tc>
        <w:tc>
          <w:tcPr>
            <w:tcW w:type="dxa" w:w="1303"/>
            <w:vAlign w:val="center"/>
          </w:tcPr>
          <w:p>
            <w:pPr>
              <w:spacing w:before="40" w:after="40" w:line="276" w:lineRule="auto"/>
              <w:jc w:val="right"/>
            </w:pPr>
            <w:r>
              <w:rPr>
                <w:rFonts w:ascii="Calibri" w:hAnsi="Calibri"/>
                <w:sz w:val="18"/>
              </w:rPr>
              <w:t>40.27</w:t>
            </w:r>
          </w:p>
        </w:tc>
      </w:tr>
      <w:tr>
        <w:tc>
          <w:tcPr>
            <w:tcW w:type="dxa" w:w="1303"/>
            <w:vAlign w:val="center"/>
          </w:tcPr>
          <w:p>
            <w:pPr>
              <w:spacing w:before="40" w:after="40" w:line="276" w:lineRule="auto"/>
              <w:jc w:val="left"/>
            </w:pPr>
            <w:r>
              <w:rPr>
                <w:rFonts w:ascii="Calibri" w:hAnsi="Calibri"/>
                <w:sz w:val="18"/>
              </w:rPr>
              <w:t>Men's Underwear</w:t>
            </w:r>
          </w:p>
        </w:tc>
        <w:tc>
          <w:tcPr>
            <w:tcW w:type="dxa" w:w="1303"/>
            <w:vAlign w:val="center"/>
          </w:tcPr>
          <w:p>
            <w:pPr>
              <w:spacing w:before="40" w:after="40" w:line="276" w:lineRule="auto"/>
              <w:jc w:val="right"/>
            </w:pPr>
            <w:r>
              <w:rPr>
                <w:rFonts w:ascii="Calibri" w:hAnsi="Calibri"/>
                <w:sz w:val="18"/>
              </w:rPr>
              <w:t>88</w:t>
            </w:r>
          </w:p>
        </w:tc>
        <w:tc>
          <w:tcPr>
            <w:tcW w:type="dxa" w:w="1303"/>
            <w:vAlign w:val="center"/>
          </w:tcPr>
          <w:p>
            <w:pPr>
              <w:spacing w:before="40" w:after="40" w:line="276" w:lineRule="auto"/>
              <w:jc w:val="right"/>
            </w:pPr>
            <w:r>
              <w:rPr>
                <w:rFonts w:ascii="Calibri" w:hAnsi="Calibri"/>
                <w:sz w:val="18"/>
              </w:rPr>
              <w:t>23,143</w:t>
            </w:r>
          </w:p>
        </w:tc>
        <w:tc>
          <w:tcPr>
            <w:tcW w:type="dxa" w:w="1303"/>
            <w:vAlign w:val="center"/>
          </w:tcPr>
          <w:p>
            <w:pPr>
              <w:spacing w:before="40" w:after="40" w:line="276" w:lineRule="auto"/>
              <w:jc w:val="right"/>
            </w:pPr>
            <w:r>
              <w:rPr>
                <w:rFonts w:ascii="Calibri" w:hAnsi="Calibri"/>
                <w:sz w:val="18"/>
              </w:rPr>
              <w:t>5,202,362,500</w:t>
            </w:r>
          </w:p>
        </w:tc>
        <w:tc>
          <w:tcPr>
            <w:tcW w:type="dxa" w:w="1303"/>
            <w:vAlign w:val="center"/>
          </w:tcPr>
          <w:p>
            <w:pPr>
              <w:spacing w:before="40" w:after="40" w:line="276" w:lineRule="auto"/>
              <w:jc w:val="right"/>
            </w:pPr>
            <w:r>
              <w:rPr>
                <w:rFonts w:ascii="Calibri" w:hAnsi="Calibri"/>
                <w:sz w:val="18"/>
              </w:rPr>
              <w:t>59,117,755</w:t>
            </w:r>
          </w:p>
        </w:tc>
        <w:tc>
          <w:tcPr>
            <w:tcW w:type="dxa" w:w="1303"/>
            <w:vAlign w:val="center"/>
          </w:tcPr>
          <w:p>
            <w:pPr>
              <w:spacing w:before="40" w:after="40" w:line="276" w:lineRule="auto"/>
              <w:jc w:val="right"/>
            </w:pPr>
            <w:r>
              <w:rPr>
                <w:rFonts w:ascii="Calibri" w:hAnsi="Calibri"/>
                <w:sz w:val="18"/>
              </w:rPr>
              <w:t>92.3%</w:t>
            </w:r>
          </w:p>
        </w:tc>
        <w:tc>
          <w:tcPr>
            <w:tcW w:type="dxa" w:w="1303"/>
            <w:vAlign w:val="center"/>
          </w:tcPr>
          <w:p>
            <w:pPr>
              <w:spacing w:before="40" w:after="40" w:line="276" w:lineRule="auto"/>
              <w:jc w:val="right"/>
            </w:pPr>
            <w:r>
              <w:rPr>
                <w:rFonts w:ascii="Calibri" w:hAnsi="Calibri"/>
                <w:sz w:val="18"/>
              </w:rPr>
              <w:t>31.02</w:t>
            </w:r>
          </w:p>
        </w:tc>
      </w:tr>
      <w:tr>
        <w:tc>
          <w:tcPr>
            <w:tcW w:type="dxa" w:w="1303"/>
            <w:vAlign w:val="center"/>
          </w:tcPr>
          <w:p>
            <w:pPr>
              <w:spacing w:before="40" w:after="40" w:line="276" w:lineRule="auto"/>
              <w:jc w:val="left"/>
            </w:pPr>
            <w:r>
              <w:rPr>
                <w:rFonts w:ascii="Calibri" w:hAnsi="Calibri"/>
                <w:sz w:val="18"/>
              </w:rPr>
              <w:t>Men's Outfits</w:t>
            </w:r>
          </w:p>
        </w:tc>
        <w:tc>
          <w:tcPr>
            <w:tcW w:type="dxa" w:w="1303"/>
            <w:vAlign w:val="center"/>
          </w:tcPr>
          <w:p>
            <w:pPr>
              <w:spacing w:before="40" w:after="40" w:line="276" w:lineRule="auto"/>
              <w:jc w:val="right"/>
            </w:pPr>
            <w:r>
              <w:rPr>
                <w:rFonts w:ascii="Calibri" w:hAnsi="Calibri"/>
                <w:sz w:val="18"/>
              </w:rPr>
              <w:t>1</w:t>
            </w:r>
          </w:p>
        </w:tc>
        <w:tc>
          <w:tcPr>
            <w:tcW w:type="dxa" w:w="1303"/>
            <w:vAlign w:val="center"/>
          </w:tcPr>
          <w:p>
            <w:pPr>
              <w:spacing w:before="40" w:after="40" w:line="276" w:lineRule="auto"/>
              <w:jc w:val="right"/>
            </w:pPr>
            <w:r>
              <w:rPr>
                <w:rFonts w:ascii="Calibri" w:hAnsi="Calibri"/>
                <w:sz w:val="18"/>
              </w:rPr>
              <w:t>0</w:t>
            </w:r>
          </w:p>
        </w:tc>
        <w:tc>
          <w:tcPr>
            <w:tcW w:type="dxa" w:w="1303"/>
            <w:vAlign w:val="center"/>
          </w:tcPr>
          <w:p>
            <w:pPr>
              <w:spacing w:before="40" w:after="40" w:line="276" w:lineRule="auto"/>
              <w:jc w:val="right"/>
            </w:pPr>
            <w:r>
              <w:rPr>
                <w:rFonts w:ascii="Calibri" w:hAnsi="Calibri"/>
                <w:sz w:val="18"/>
              </w:rPr>
              <w:t>0</w:t>
            </w:r>
          </w:p>
        </w:tc>
        <w:tc>
          <w:tcPr>
            <w:tcW w:type="dxa" w:w="1303"/>
            <w:vAlign w:val="center"/>
          </w:tcPr>
          <w:p>
            <w:pPr>
              <w:spacing w:before="40" w:after="40" w:line="276" w:lineRule="auto"/>
              <w:jc w:val="right"/>
            </w:pPr>
            <w:r>
              <w:rPr>
                <w:rFonts w:ascii="Calibri" w:hAnsi="Calibri"/>
                <w:sz w:val="18"/>
              </w:rPr>
              <w:t>0</w:t>
            </w:r>
          </w:p>
        </w:tc>
        <w:tc>
          <w:tcPr>
            <w:tcW w:type="dxa" w:w="1303"/>
            <w:vAlign w:val="center"/>
          </w:tcPr>
          <w:p>
            <w:pPr>
              <w:spacing w:before="40" w:after="40" w:line="276" w:lineRule="auto"/>
              <w:jc w:val="right"/>
            </w:pPr>
            <w:r>
              <w:rPr>
                <w:rFonts w:ascii="Calibri" w:hAnsi="Calibri"/>
                <w:sz w:val="18"/>
              </w:rPr>
              <w:t>0.0%</w:t>
            </w:r>
          </w:p>
        </w:tc>
        <w:tc>
          <w:tcPr>
            <w:tcW w:type="dxa" w:w="1303"/>
            <w:vAlign w:val="center"/>
          </w:tcPr>
          <w:p>
            <w:pPr>
              <w:spacing w:before="40" w:after="40" w:line="276" w:lineRule="auto"/>
              <w:jc w:val="right"/>
            </w:pPr>
            <w:r>
              <w:rPr>
                <w:rFonts w:ascii="Calibri" w:hAnsi="Calibri"/>
                <w:sz w:val="18"/>
              </w:rPr>
              <w:t>30.00</w:t>
            </w:r>
          </w:p>
        </w:tc>
      </w:tr>
      <w:tr>
        <w:tc>
          <w:tcPr>
            <w:tcW w:type="dxa" w:w="1303"/>
            <w:vAlign w:val="center"/>
          </w:tcPr>
          <w:p>
            <w:pPr>
              <w:spacing w:before="40" w:after="40" w:line="276" w:lineRule="auto"/>
              <w:jc w:val="left"/>
            </w:pPr>
            <w:r>
              <w:rPr>
                <w:rFonts w:ascii="Calibri" w:hAnsi="Calibri"/>
                <w:sz w:val="18"/>
              </w:rPr>
              <w:t>Women's Tops</w:t>
            </w:r>
          </w:p>
        </w:tc>
        <w:tc>
          <w:tcPr>
            <w:tcW w:type="dxa" w:w="1303"/>
            <w:vAlign w:val="center"/>
          </w:tcPr>
          <w:p>
            <w:pPr>
              <w:spacing w:before="40" w:after="40" w:line="276" w:lineRule="auto"/>
              <w:jc w:val="right"/>
            </w:pPr>
            <w:r>
              <w:rPr>
                <w:rFonts w:ascii="Calibri" w:hAnsi="Calibri"/>
                <w:sz w:val="18"/>
              </w:rPr>
              <w:t>2</w:t>
            </w:r>
          </w:p>
        </w:tc>
        <w:tc>
          <w:tcPr>
            <w:tcW w:type="dxa" w:w="1303"/>
            <w:vAlign w:val="center"/>
          </w:tcPr>
          <w:p>
            <w:pPr>
              <w:spacing w:before="40" w:after="40" w:line="276" w:lineRule="auto"/>
              <w:jc w:val="right"/>
            </w:pPr>
            <w:r>
              <w:rPr>
                <w:rFonts w:ascii="Calibri" w:hAnsi="Calibri"/>
                <w:sz w:val="18"/>
              </w:rPr>
              <w:t>0</w:t>
            </w:r>
          </w:p>
        </w:tc>
        <w:tc>
          <w:tcPr>
            <w:tcW w:type="dxa" w:w="1303"/>
            <w:vAlign w:val="center"/>
          </w:tcPr>
          <w:p>
            <w:pPr>
              <w:spacing w:before="40" w:after="40" w:line="276" w:lineRule="auto"/>
              <w:jc w:val="right"/>
            </w:pPr>
            <w:r>
              <w:rPr>
                <w:rFonts w:ascii="Calibri" w:hAnsi="Calibri"/>
                <w:sz w:val="18"/>
              </w:rPr>
              <w:t>0</w:t>
            </w:r>
          </w:p>
        </w:tc>
        <w:tc>
          <w:tcPr>
            <w:tcW w:type="dxa" w:w="1303"/>
            <w:vAlign w:val="center"/>
          </w:tcPr>
          <w:p>
            <w:pPr>
              <w:spacing w:before="40" w:after="40" w:line="276" w:lineRule="auto"/>
              <w:jc w:val="right"/>
            </w:pPr>
            <w:r>
              <w:rPr>
                <w:rFonts w:ascii="Calibri" w:hAnsi="Calibri"/>
                <w:sz w:val="18"/>
              </w:rPr>
              <w:t>0</w:t>
            </w:r>
          </w:p>
        </w:tc>
        <w:tc>
          <w:tcPr>
            <w:tcW w:type="dxa" w:w="1303"/>
            <w:vAlign w:val="center"/>
          </w:tcPr>
          <w:p>
            <w:pPr>
              <w:spacing w:before="40" w:after="40" w:line="276" w:lineRule="auto"/>
              <w:jc w:val="right"/>
            </w:pPr>
            <w:r>
              <w:rPr>
                <w:rFonts w:ascii="Calibri" w:hAnsi="Calibri"/>
                <w:sz w:val="18"/>
              </w:rPr>
              <w:t>0.0%</w:t>
            </w:r>
          </w:p>
        </w:tc>
        <w:tc>
          <w:tcPr>
            <w:tcW w:type="dxa" w:w="1303"/>
            <w:vAlign w:val="center"/>
          </w:tcPr>
          <w:p>
            <w:pPr>
              <w:spacing w:before="40" w:after="40" w:line="276" w:lineRule="auto"/>
              <w:jc w:val="right"/>
            </w:pPr>
            <w:r>
              <w:rPr>
                <w:rFonts w:ascii="Calibri" w:hAnsi="Calibri"/>
                <w:sz w:val="18"/>
              </w:rPr>
              <w:t>30.00</w:t>
            </w:r>
          </w:p>
        </w:tc>
      </w:tr>
      <w:tr>
        <w:tc>
          <w:tcPr>
            <w:tcW w:type="dxa" w:w="1303"/>
            <w:vAlign w:val="center"/>
          </w:tcPr>
          <w:p>
            <w:pPr>
              <w:spacing w:before="40" w:after="40" w:line="276" w:lineRule="auto"/>
              <w:jc w:val="left"/>
            </w:pPr>
            <w:r>
              <w:rPr>
                <w:rFonts w:ascii="Calibri" w:hAnsi="Calibri"/>
                <w:sz w:val="18"/>
              </w:rPr>
              <w:t>Men's Sweatshirts &amp; Sweaters</w:t>
            </w:r>
          </w:p>
        </w:tc>
        <w:tc>
          <w:tcPr>
            <w:tcW w:type="dxa" w:w="1303"/>
            <w:vAlign w:val="center"/>
          </w:tcPr>
          <w:p>
            <w:pPr>
              <w:spacing w:before="40" w:after="40" w:line="276" w:lineRule="auto"/>
              <w:jc w:val="right"/>
            </w:pPr>
            <w:r>
              <w:rPr>
                <w:rFonts w:ascii="Calibri" w:hAnsi="Calibri"/>
                <w:sz w:val="18"/>
              </w:rPr>
              <w:t>8</w:t>
            </w:r>
          </w:p>
        </w:tc>
        <w:tc>
          <w:tcPr>
            <w:tcW w:type="dxa" w:w="1303"/>
            <w:vAlign w:val="center"/>
          </w:tcPr>
          <w:p>
            <w:pPr>
              <w:spacing w:before="40" w:after="40" w:line="276" w:lineRule="auto"/>
              <w:jc w:val="right"/>
            </w:pPr>
            <w:r>
              <w:rPr>
                <w:rFonts w:ascii="Calibri" w:hAnsi="Calibri"/>
                <w:sz w:val="18"/>
              </w:rPr>
              <w:t>57</w:t>
            </w:r>
          </w:p>
        </w:tc>
        <w:tc>
          <w:tcPr>
            <w:tcW w:type="dxa" w:w="1303"/>
            <w:vAlign w:val="center"/>
          </w:tcPr>
          <w:p>
            <w:pPr>
              <w:spacing w:before="40" w:after="40" w:line="276" w:lineRule="auto"/>
              <w:jc w:val="right"/>
            </w:pPr>
            <w:r>
              <w:rPr>
                <w:rFonts w:ascii="Calibri" w:hAnsi="Calibri"/>
                <w:sz w:val="18"/>
              </w:rPr>
              <w:t>21,871,750</w:t>
            </w:r>
          </w:p>
        </w:tc>
        <w:tc>
          <w:tcPr>
            <w:tcW w:type="dxa" w:w="1303"/>
            <w:vAlign w:val="center"/>
          </w:tcPr>
          <w:p>
            <w:pPr>
              <w:spacing w:before="40" w:after="40" w:line="276" w:lineRule="auto"/>
              <w:jc w:val="right"/>
            </w:pPr>
            <w:r>
              <w:rPr>
                <w:rFonts w:ascii="Calibri" w:hAnsi="Calibri"/>
                <w:sz w:val="18"/>
              </w:rPr>
              <w:t>2,733,968</w:t>
            </w:r>
          </w:p>
        </w:tc>
        <w:tc>
          <w:tcPr>
            <w:tcW w:type="dxa" w:w="1303"/>
            <w:vAlign w:val="center"/>
          </w:tcPr>
          <w:p>
            <w:pPr>
              <w:spacing w:before="40" w:after="40" w:line="276" w:lineRule="auto"/>
              <w:jc w:val="right"/>
            </w:pPr>
            <w:r>
              <w:rPr>
                <w:rFonts w:ascii="Calibri" w:hAnsi="Calibri"/>
                <w:sz w:val="18"/>
              </w:rPr>
              <w:t>52.6%</w:t>
            </w:r>
          </w:p>
        </w:tc>
        <w:tc>
          <w:tcPr>
            <w:tcW w:type="dxa" w:w="1303"/>
            <w:vAlign w:val="center"/>
          </w:tcPr>
          <w:p>
            <w:pPr>
              <w:spacing w:before="40" w:after="40" w:line="276" w:lineRule="auto"/>
              <w:jc w:val="right"/>
            </w:pPr>
            <w:r>
              <w:rPr>
                <w:rFonts w:ascii="Calibri" w:hAnsi="Calibri"/>
                <w:sz w:val="18"/>
              </w:rPr>
              <w:t>29.64</w:t>
            </w:r>
          </w:p>
        </w:tc>
      </w:tr>
      <w:tr>
        <w:tc>
          <w:tcPr>
            <w:tcW w:type="dxa" w:w="1303"/>
            <w:vAlign w:val="center"/>
          </w:tcPr>
          <w:p>
            <w:pPr>
              <w:spacing w:before="40" w:after="40" w:line="276" w:lineRule="auto"/>
              <w:jc w:val="left"/>
            </w:pPr>
            <w:r>
              <w:rPr>
                <w:rFonts w:ascii="Calibri" w:hAnsi="Calibri"/>
                <w:sz w:val="18"/>
              </w:rPr>
              <w:t>Men's Trousers</w:t>
            </w:r>
          </w:p>
        </w:tc>
        <w:tc>
          <w:tcPr>
            <w:tcW w:type="dxa" w:w="1303"/>
            <w:vAlign w:val="center"/>
          </w:tcPr>
          <w:p>
            <w:pPr>
              <w:spacing w:before="40" w:after="40" w:line="276" w:lineRule="auto"/>
              <w:jc w:val="right"/>
            </w:pPr>
            <w:r>
              <w:rPr>
                <w:rFonts w:ascii="Calibri" w:hAnsi="Calibri"/>
                <w:sz w:val="18"/>
              </w:rPr>
              <w:t>29</w:t>
            </w:r>
          </w:p>
        </w:tc>
        <w:tc>
          <w:tcPr>
            <w:tcW w:type="dxa" w:w="1303"/>
            <w:vAlign w:val="center"/>
          </w:tcPr>
          <w:p>
            <w:pPr>
              <w:spacing w:before="40" w:after="40" w:line="276" w:lineRule="auto"/>
              <w:jc w:val="right"/>
            </w:pPr>
            <w:r>
              <w:rPr>
                <w:rFonts w:ascii="Calibri" w:hAnsi="Calibri"/>
                <w:sz w:val="18"/>
              </w:rPr>
              <w:t>513</w:t>
            </w:r>
          </w:p>
        </w:tc>
        <w:tc>
          <w:tcPr>
            <w:tcW w:type="dxa" w:w="1303"/>
            <w:vAlign w:val="center"/>
          </w:tcPr>
          <w:p>
            <w:pPr>
              <w:spacing w:before="40" w:after="40" w:line="276" w:lineRule="auto"/>
              <w:jc w:val="right"/>
            </w:pPr>
            <w:r>
              <w:rPr>
                <w:rFonts w:ascii="Calibri" w:hAnsi="Calibri"/>
                <w:sz w:val="18"/>
              </w:rPr>
              <w:t>203,105,150</w:t>
            </w:r>
          </w:p>
        </w:tc>
        <w:tc>
          <w:tcPr>
            <w:tcW w:type="dxa" w:w="1303"/>
            <w:vAlign w:val="center"/>
          </w:tcPr>
          <w:p>
            <w:pPr>
              <w:spacing w:before="40" w:after="40" w:line="276" w:lineRule="auto"/>
              <w:jc w:val="right"/>
            </w:pPr>
            <w:r>
              <w:rPr>
                <w:rFonts w:ascii="Calibri" w:hAnsi="Calibri"/>
                <w:sz w:val="18"/>
              </w:rPr>
              <w:t>7,003,625</w:t>
            </w:r>
          </w:p>
        </w:tc>
        <w:tc>
          <w:tcPr>
            <w:tcW w:type="dxa" w:w="1303"/>
            <w:vAlign w:val="center"/>
          </w:tcPr>
          <w:p>
            <w:pPr>
              <w:spacing w:before="40" w:after="40" w:line="276" w:lineRule="auto"/>
              <w:jc w:val="right"/>
            </w:pPr>
            <w:r>
              <w:rPr>
                <w:rFonts w:ascii="Calibri" w:hAnsi="Calibri"/>
                <w:sz w:val="18"/>
              </w:rPr>
              <w:t>60.2%</w:t>
            </w:r>
          </w:p>
        </w:tc>
        <w:tc>
          <w:tcPr>
            <w:tcW w:type="dxa" w:w="1303"/>
            <w:vAlign w:val="center"/>
          </w:tcPr>
          <w:p>
            <w:pPr>
              <w:spacing w:before="40" w:after="40" w:line="276" w:lineRule="auto"/>
              <w:jc w:val="right"/>
            </w:pPr>
            <w:r>
              <w:rPr>
                <w:rFonts w:ascii="Calibri" w:hAnsi="Calibri"/>
                <w:sz w:val="18"/>
              </w:rPr>
              <w:t>26.99</w:t>
            </w:r>
          </w:p>
        </w:tc>
      </w:tr>
      <w:tr>
        <w:tc>
          <w:tcPr>
            <w:tcW w:type="dxa" w:w="1303"/>
            <w:vAlign w:val="center"/>
          </w:tcPr>
          <w:p>
            <w:pPr>
              <w:spacing w:before="40" w:after="40" w:line="276" w:lineRule="auto"/>
              <w:jc w:val="left"/>
            </w:pPr>
            <w:r>
              <w:rPr>
                <w:rFonts w:ascii="Calibri" w:hAnsi="Calibri"/>
                <w:sz w:val="18"/>
              </w:rPr>
              <w:t>Men's Blazers &amp; Jackets</w:t>
            </w:r>
          </w:p>
        </w:tc>
        <w:tc>
          <w:tcPr>
            <w:tcW w:type="dxa" w:w="1303"/>
            <w:vAlign w:val="center"/>
          </w:tcPr>
          <w:p>
            <w:pPr>
              <w:spacing w:before="40" w:after="40" w:line="276" w:lineRule="auto"/>
              <w:jc w:val="right"/>
            </w:pPr>
            <w:r>
              <w:rPr>
                <w:rFonts w:ascii="Calibri" w:hAnsi="Calibri"/>
                <w:sz w:val="18"/>
              </w:rPr>
              <w:t>63</w:t>
            </w:r>
          </w:p>
        </w:tc>
        <w:tc>
          <w:tcPr>
            <w:tcW w:type="dxa" w:w="1303"/>
            <w:vAlign w:val="center"/>
          </w:tcPr>
          <w:p>
            <w:pPr>
              <w:spacing w:before="40" w:after="40" w:line="276" w:lineRule="auto"/>
              <w:jc w:val="right"/>
            </w:pPr>
            <w:r>
              <w:rPr>
                <w:rFonts w:ascii="Calibri" w:hAnsi="Calibri"/>
                <w:sz w:val="18"/>
              </w:rPr>
              <w:t>17,741</w:t>
            </w:r>
          </w:p>
        </w:tc>
        <w:tc>
          <w:tcPr>
            <w:tcW w:type="dxa" w:w="1303"/>
            <w:vAlign w:val="center"/>
          </w:tcPr>
          <w:p>
            <w:pPr>
              <w:spacing w:before="40" w:after="40" w:line="276" w:lineRule="auto"/>
              <w:jc w:val="right"/>
            </w:pPr>
            <w:r>
              <w:rPr>
                <w:rFonts w:ascii="Calibri" w:hAnsi="Calibri"/>
                <w:sz w:val="18"/>
              </w:rPr>
              <w:t>3,512,418,185</w:t>
            </w:r>
          </w:p>
        </w:tc>
        <w:tc>
          <w:tcPr>
            <w:tcW w:type="dxa" w:w="1303"/>
            <w:vAlign w:val="center"/>
          </w:tcPr>
          <w:p>
            <w:pPr>
              <w:spacing w:before="40" w:after="40" w:line="276" w:lineRule="auto"/>
              <w:jc w:val="right"/>
            </w:pPr>
            <w:r>
              <w:rPr>
                <w:rFonts w:ascii="Calibri" w:hAnsi="Calibri"/>
                <w:sz w:val="18"/>
              </w:rPr>
              <w:t>55,752,669</w:t>
            </w:r>
          </w:p>
        </w:tc>
        <w:tc>
          <w:tcPr>
            <w:tcW w:type="dxa" w:w="1303"/>
            <w:vAlign w:val="center"/>
          </w:tcPr>
          <w:p>
            <w:pPr>
              <w:spacing w:before="40" w:after="40" w:line="276" w:lineRule="auto"/>
              <w:jc w:val="right"/>
            </w:pPr>
            <w:r>
              <w:rPr>
                <w:rFonts w:ascii="Calibri" w:hAnsi="Calibri"/>
                <w:sz w:val="18"/>
              </w:rPr>
              <w:t>99.3%</w:t>
            </w:r>
          </w:p>
        </w:tc>
        <w:tc>
          <w:tcPr>
            <w:tcW w:type="dxa" w:w="1303"/>
            <w:vAlign w:val="center"/>
          </w:tcPr>
          <w:p>
            <w:pPr>
              <w:spacing w:before="40" w:after="40" w:line="276" w:lineRule="auto"/>
              <w:jc w:val="right"/>
            </w:pPr>
            <w:r>
              <w:rPr>
                <w:rFonts w:ascii="Calibri" w:hAnsi="Calibri"/>
                <w:sz w:val="18"/>
              </w:rPr>
              <w:t>25.35</w:t>
            </w:r>
          </w:p>
        </w:tc>
      </w:tr>
      <w:tr>
        <w:tc>
          <w:tcPr>
            <w:tcW w:type="dxa" w:w="1303"/>
            <w:vAlign w:val="center"/>
          </w:tcPr>
          <w:p>
            <w:pPr>
              <w:spacing w:before="40" w:after="40" w:line="276" w:lineRule="auto"/>
              <w:jc w:val="left"/>
            </w:pPr>
            <w:r>
              <w:rPr>
                <w:rFonts w:ascii="Calibri" w:hAnsi="Calibri"/>
                <w:sz w:val="18"/>
              </w:rPr>
              <w:t>Men's Shirts</w:t>
            </w:r>
          </w:p>
        </w:tc>
        <w:tc>
          <w:tcPr>
            <w:tcW w:type="dxa" w:w="1303"/>
            <w:vAlign w:val="center"/>
          </w:tcPr>
          <w:p>
            <w:pPr>
              <w:spacing w:before="40" w:after="40" w:line="276" w:lineRule="auto"/>
              <w:jc w:val="right"/>
            </w:pPr>
            <w:r>
              <w:rPr>
                <w:rFonts w:ascii="Calibri" w:hAnsi="Calibri"/>
                <w:sz w:val="18"/>
              </w:rPr>
              <w:t>24</w:t>
            </w:r>
          </w:p>
        </w:tc>
        <w:tc>
          <w:tcPr>
            <w:tcW w:type="dxa" w:w="1303"/>
            <w:vAlign w:val="center"/>
          </w:tcPr>
          <w:p>
            <w:pPr>
              <w:spacing w:before="40" w:after="40" w:line="276" w:lineRule="auto"/>
              <w:jc w:val="right"/>
            </w:pPr>
            <w:r>
              <w:rPr>
                <w:rFonts w:ascii="Calibri" w:hAnsi="Calibri"/>
                <w:sz w:val="18"/>
              </w:rPr>
              <w:t>446</w:t>
            </w:r>
          </w:p>
        </w:tc>
        <w:tc>
          <w:tcPr>
            <w:tcW w:type="dxa" w:w="1303"/>
            <w:vAlign w:val="center"/>
          </w:tcPr>
          <w:p>
            <w:pPr>
              <w:spacing w:before="40" w:after="40" w:line="276" w:lineRule="auto"/>
              <w:jc w:val="right"/>
            </w:pPr>
            <w:r>
              <w:rPr>
                <w:rFonts w:ascii="Calibri" w:hAnsi="Calibri"/>
                <w:sz w:val="18"/>
              </w:rPr>
              <w:t>162,257,000</w:t>
            </w:r>
          </w:p>
        </w:tc>
        <w:tc>
          <w:tcPr>
            <w:tcW w:type="dxa" w:w="1303"/>
            <w:vAlign w:val="center"/>
          </w:tcPr>
          <w:p>
            <w:pPr>
              <w:spacing w:before="40" w:after="40" w:line="276" w:lineRule="auto"/>
              <w:jc w:val="right"/>
            </w:pPr>
            <w:r>
              <w:rPr>
                <w:rFonts w:ascii="Calibri" w:hAnsi="Calibri"/>
                <w:sz w:val="18"/>
              </w:rPr>
              <w:t>6,760,708</w:t>
            </w:r>
          </w:p>
        </w:tc>
        <w:tc>
          <w:tcPr>
            <w:tcW w:type="dxa" w:w="1303"/>
            <w:vAlign w:val="center"/>
          </w:tcPr>
          <w:p>
            <w:pPr>
              <w:spacing w:before="40" w:after="40" w:line="276" w:lineRule="auto"/>
              <w:jc w:val="right"/>
            </w:pPr>
            <w:r>
              <w:rPr>
                <w:rFonts w:ascii="Calibri" w:hAnsi="Calibri"/>
                <w:sz w:val="18"/>
              </w:rPr>
              <w:t>65.0%</w:t>
            </w:r>
          </w:p>
        </w:tc>
        <w:tc>
          <w:tcPr>
            <w:tcW w:type="dxa" w:w="1303"/>
            <w:vAlign w:val="center"/>
          </w:tcPr>
          <w:p>
            <w:pPr>
              <w:spacing w:before="40" w:after="40" w:line="276" w:lineRule="auto"/>
              <w:jc w:val="right"/>
            </w:pPr>
            <w:r>
              <w:rPr>
                <w:rFonts w:ascii="Calibri" w:hAnsi="Calibri"/>
                <w:sz w:val="18"/>
              </w:rPr>
              <w:t>24.01</w:t>
            </w:r>
          </w:p>
        </w:tc>
      </w:tr>
      <w:tr>
        <w:tc>
          <w:tcPr>
            <w:tcW w:type="dxa" w:w="1303"/>
            <w:vAlign w:val="center"/>
          </w:tcPr>
          <w:p>
            <w:pPr>
              <w:spacing w:before="40" w:after="40" w:line="276" w:lineRule="auto"/>
              <w:jc w:val="left"/>
            </w:pPr>
            <w:r>
              <w:rPr>
                <w:rFonts w:ascii="Calibri" w:hAnsi="Calibri"/>
                <w:sz w:val="18"/>
              </w:rPr>
              <w:t>Others</w:t>
            </w:r>
          </w:p>
        </w:tc>
        <w:tc>
          <w:tcPr>
            <w:tcW w:type="dxa" w:w="1303"/>
            <w:vAlign w:val="center"/>
          </w:tcPr>
          <w:p>
            <w:pPr>
              <w:spacing w:before="40" w:after="40" w:line="276" w:lineRule="auto"/>
              <w:jc w:val="right"/>
            </w:pPr>
            <w:r>
              <w:rPr>
                <w:rFonts w:ascii="Calibri" w:hAnsi="Calibri"/>
                <w:sz w:val="18"/>
              </w:rPr>
              <w:t>1</w:t>
            </w:r>
          </w:p>
        </w:tc>
        <w:tc>
          <w:tcPr>
            <w:tcW w:type="dxa" w:w="1303"/>
            <w:vAlign w:val="center"/>
          </w:tcPr>
          <w:p>
            <w:pPr>
              <w:spacing w:before="40" w:after="40" w:line="276" w:lineRule="auto"/>
              <w:jc w:val="right"/>
            </w:pPr>
            <w:r>
              <w:rPr>
                <w:rFonts w:ascii="Calibri" w:hAnsi="Calibri"/>
                <w:sz w:val="18"/>
              </w:rPr>
              <w:t>145</w:t>
            </w:r>
          </w:p>
        </w:tc>
        <w:tc>
          <w:tcPr>
            <w:tcW w:type="dxa" w:w="1303"/>
            <w:vAlign w:val="center"/>
          </w:tcPr>
          <w:p>
            <w:pPr>
              <w:spacing w:before="40" w:after="40" w:line="276" w:lineRule="auto"/>
              <w:jc w:val="right"/>
            </w:pPr>
            <w:r>
              <w:rPr>
                <w:rFonts w:ascii="Calibri" w:hAnsi="Calibri"/>
                <w:sz w:val="18"/>
              </w:rPr>
              <w:t>28,855,000</w:t>
            </w:r>
          </w:p>
        </w:tc>
        <w:tc>
          <w:tcPr>
            <w:tcW w:type="dxa" w:w="1303"/>
            <w:vAlign w:val="center"/>
          </w:tcPr>
          <w:p>
            <w:pPr>
              <w:spacing w:before="40" w:after="40" w:line="276" w:lineRule="auto"/>
              <w:jc w:val="right"/>
            </w:pPr>
            <w:r>
              <w:rPr>
                <w:rFonts w:ascii="Calibri" w:hAnsi="Calibri"/>
                <w:sz w:val="18"/>
              </w:rPr>
              <w:t>28,855,000</w:t>
            </w:r>
          </w:p>
        </w:tc>
        <w:tc>
          <w:tcPr>
            <w:tcW w:type="dxa" w:w="1303"/>
            <w:vAlign w:val="center"/>
          </w:tcPr>
          <w:p>
            <w:pPr>
              <w:spacing w:before="40" w:after="40" w:line="276" w:lineRule="auto"/>
              <w:jc w:val="right"/>
            </w:pPr>
            <w:r>
              <w:rPr>
                <w:rFonts w:ascii="Calibri" w:hAnsi="Calibri"/>
                <w:sz w:val="18"/>
              </w:rPr>
              <w:t>100.0%</w:t>
            </w:r>
          </w:p>
        </w:tc>
        <w:tc>
          <w:tcPr>
            <w:tcW w:type="dxa" w:w="1303"/>
            <w:vAlign w:val="center"/>
          </w:tcPr>
          <w:p>
            <w:pPr>
              <w:spacing w:before="40" w:after="40" w:line="276" w:lineRule="auto"/>
              <w:jc w:val="right"/>
            </w:pPr>
            <w:r>
              <w:rPr>
                <w:rFonts w:ascii="Calibri" w:hAnsi="Calibri"/>
                <w:sz w:val="18"/>
              </w:rPr>
              <w:t>12.90</w:t>
            </w:r>
          </w:p>
        </w:tc>
      </w:tr>
      <w:tr>
        <w:tc>
          <w:tcPr>
            <w:tcW w:type="dxa" w:w="1303"/>
            <w:vAlign w:val="center"/>
          </w:tcPr>
          <w:p>
            <w:pPr>
              <w:spacing w:before="40" w:after="40" w:line="276" w:lineRule="auto"/>
              <w:jc w:val="left"/>
            </w:pPr>
            <w:r>
              <w:rPr>
                <w:rFonts w:ascii="Calibri" w:hAnsi="Calibri"/>
                <w:sz w:val="18"/>
              </w:rPr>
              <w:t>Men's T-Shirts</w:t>
            </w:r>
          </w:p>
        </w:tc>
        <w:tc>
          <w:tcPr>
            <w:tcW w:type="dxa" w:w="1303"/>
            <w:vAlign w:val="center"/>
          </w:tcPr>
          <w:p>
            <w:pPr>
              <w:spacing w:before="40" w:after="40" w:line="276" w:lineRule="auto"/>
              <w:jc w:val="right"/>
            </w:pPr>
            <w:r>
              <w:rPr>
                <w:rFonts w:ascii="Calibri" w:hAnsi="Calibri"/>
                <w:sz w:val="18"/>
              </w:rPr>
              <w:t>440</w:t>
            </w:r>
          </w:p>
        </w:tc>
        <w:tc>
          <w:tcPr>
            <w:tcW w:type="dxa" w:w="1303"/>
            <w:vAlign w:val="center"/>
          </w:tcPr>
          <w:p>
            <w:pPr>
              <w:spacing w:before="40" w:after="40" w:line="276" w:lineRule="auto"/>
              <w:jc w:val="right"/>
            </w:pPr>
            <w:r>
              <w:rPr>
                <w:rFonts w:ascii="Calibri" w:hAnsi="Calibri"/>
                <w:sz w:val="18"/>
              </w:rPr>
              <w:t>12,668</w:t>
            </w:r>
          </w:p>
        </w:tc>
        <w:tc>
          <w:tcPr>
            <w:tcW w:type="dxa" w:w="1303"/>
            <w:vAlign w:val="center"/>
          </w:tcPr>
          <w:p>
            <w:pPr>
              <w:spacing w:before="40" w:after="40" w:line="276" w:lineRule="auto"/>
              <w:jc w:val="right"/>
            </w:pPr>
            <w:r>
              <w:rPr>
                <w:rFonts w:ascii="Calibri" w:hAnsi="Calibri"/>
                <w:sz w:val="18"/>
              </w:rPr>
              <w:t>2,103,993,850</w:t>
            </w:r>
          </w:p>
        </w:tc>
        <w:tc>
          <w:tcPr>
            <w:tcW w:type="dxa" w:w="1303"/>
            <w:vAlign w:val="center"/>
          </w:tcPr>
          <w:p>
            <w:pPr>
              <w:spacing w:before="40" w:after="40" w:line="276" w:lineRule="auto"/>
              <w:jc w:val="right"/>
            </w:pPr>
            <w:r>
              <w:rPr>
                <w:rFonts w:ascii="Calibri" w:hAnsi="Calibri"/>
                <w:sz w:val="18"/>
              </w:rPr>
              <w:t>4,781,804</w:t>
            </w:r>
          </w:p>
        </w:tc>
        <w:tc>
          <w:tcPr>
            <w:tcW w:type="dxa" w:w="1303"/>
            <w:vAlign w:val="center"/>
          </w:tcPr>
          <w:p>
            <w:pPr>
              <w:spacing w:before="40" w:after="40" w:line="276" w:lineRule="auto"/>
              <w:jc w:val="right"/>
            </w:pPr>
            <w:r>
              <w:rPr>
                <w:rFonts w:ascii="Calibri" w:hAnsi="Calibri"/>
                <w:sz w:val="18"/>
              </w:rPr>
              <w:t>96.8%</w:t>
            </w:r>
          </w:p>
        </w:tc>
        <w:tc>
          <w:tcPr>
            <w:tcW w:type="dxa" w:w="1303"/>
            <w:vAlign w:val="center"/>
          </w:tcPr>
          <w:p>
            <w:pPr>
              <w:spacing w:before="40" w:after="40" w:line="276" w:lineRule="auto"/>
              <w:jc w:val="right"/>
            </w:pPr>
            <w:r>
              <w:rPr>
                <w:rFonts w:ascii="Calibri" w:hAnsi="Calibri"/>
                <w:sz w:val="18"/>
              </w:rPr>
              <w:t>4.04</w:t>
            </w:r>
          </w:p>
        </w:tc>
      </w:tr>
      <w:tr>
        <w:tc>
          <w:tcPr>
            <w:tcW w:type="dxa" w:w="1303"/>
            <w:vAlign w:val="center"/>
          </w:tcPr>
          <w:p>
            <w:pPr>
              <w:spacing w:before="40" w:after="40" w:line="276" w:lineRule="auto"/>
              <w:jc w:val="left"/>
            </w:pPr>
            <w:r>
              <w:rPr>
                <w:rFonts w:ascii="Calibri" w:hAnsi="Calibri"/>
                <w:sz w:val="18"/>
              </w:rPr>
              <w:t>Men's Sleepwear</w:t>
            </w:r>
          </w:p>
        </w:tc>
        <w:tc>
          <w:tcPr>
            <w:tcW w:type="dxa" w:w="1303"/>
            <w:vAlign w:val="center"/>
          </w:tcPr>
          <w:p>
            <w:pPr>
              <w:spacing w:before="40" w:after="40" w:line="276" w:lineRule="auto"/>
              <w:jc w:val="right"/>
            </w:pPr>
            <w:r>
              <w:rPr>
                <w:rFonts w:ascii="Calibri" w:hAnsi="Calibri"/>
                <w:sz w:val="18"/>
              </w:rPr>
              <w:t>7</w:t>
            </w:r>
          </w:p>
        </w:tc>
        <w:tc>
          <w:tcPr>
            <w:tcW w:type="dxa" w:w="1303"/>
            <w:vAlign w:val="center"/>
          </w:tcPr>
          <w:p>
            <w:pPr>
              <w:spacing w:before="40" w:after="40" w:line="276" w:lineRule="auto"/>
              <w:jc w:val="right"/>
            </w:pPr>
            <w:r>
              <w:rPr>
                <w:rFonts w:ascii="Calibri" w:hAnsi="Calibri"/>
                <w:sz w:val="18"/>
              </w:rPr>
              <w:t>35</w:t>
            </w:r>
          </w:p>
        </w:tc>
        <w:tc>
          <w:tcPr>
            <w:tcW w:type="dxa" w:w="1303"/>
            <w:vAlign w:val="center"/>
          </w:tcPr>
          <w:p>
            <w:pPr>
              <w:spacing w:before="40" w:after="40" w:line="276" w:lineRule="auto"/>
              <w:jc w:val="right"/>
            </w:pPr>
            <w:r>
              <w:rPr>
                <w:rFonts w:ascii="Calibri" w:hAnsi="Calibri"/>
                <w:sz w:val="18"/>
              </w:rPr>
              <w:t>20,585,000</w:t>
            </w:r>
          </w:p>
        </w:tc>
        <w:tc>
          <w:tcPr>
            <w:tcW w:type="dxa" w:w="1303"/>
            <w:vAlign w:val="center"/>
          </w:tcPr>
          <w:p>
            <w:pPr>
              <w:spacing w:before="40" w:after="40" w:line="276" w:lineRule="auto"/>
              <w:jc w:val="right"/>
            </w:pPr>
            <w:r>
              <w:rPr>
                <w:rFonts w:ascii="Calibri" w:hAnsi="Calibri"/>
                <w:sz w:val="18"/>
              </w:rPr>
              <w:t>2,940,714</w:t>
            </w:r>
          </w:p>
        </w:tc>
        <w:tc>
          <w:tcPr>
            <w:tcW w:type="dxa" w:w="1303"/>
            <w:vAlign w:val="center"/>
          </w:tcPr>
          <w:p>
            <w:pPr>
              <w:spacing w:before="40" w:after="40" w:line="276" w:lineRule="auto"/>
              <w:jc w:val="right"/>
            </w:pPr>
            <w:r>
              <w:rPr>
                <w:rFonts w:ascii="Calibri" w:hAnsi="Calibri"/>
                <w:sz w:val="18"/>
              </w:rPr>
              <w:t>100.0%</w:t>
            </w:r>
          </w:p>
        </w:tc>
        <w:tc>
          <w:tcPr>
            <w:tcW w:type="dxa" w:w="1303"/>
            <w:vAlign w:val="center"/>
          </w:tcPr>
          <w:p>
            <w:pPr>
              <w:spacing w:before="40" w:after="40" w:line="276" w:lineRule="auto"/>
              <w:jc w:val="right"/>
            </w:pPr>
            <w:r>
              <w:rPr>
                <w:rFonts w:ascii="Calibri" w:hAnsi="Calibri"/>
                <w:sz w:val="18"/>
              </w:rPr>
              <w:t>1.31</w:t>
            </w:r>
          </w:p>
        </w:tc>
      </w:tr>
    </w:tbl>
    <w:p/>
    <w:p>
      <w:pPr>
        <w:pStyle w:val="Heading1"/>
        <w:spacing w:before="240" w:after="120"/>
      </w:pPr>
      <w:r>
        <w:rPr>
          <w:rFonts w:ascii="Calibri" w:hAnsi="Calibri"/>
          <w:b/>
          <w:color w:val="0D47A1"/>
          <w:sz w:val="36"/>
        </w:rPr>
        <w:t>4. STEP 2 &amp; 3 – DIAGNOSTIC &amp; PREDICTIVE ANALYTICS</w:t>
      </w:r>
    </w:p>
    <w:p>
      <w:pPr>
        <w:pStyle w:val="Heading2"/>
        <w:spacing w:before="160" w:after="80"/>
      </w:pPr>
      <w:r>
        <w:rPr>
          <w:rFonts w:ascii="Calibri" w:hAnsi="Calibri"/>
          <w:b/>
          <w:color w:val="00695C"/>
          <w:sz w:val="28"/>
        </w:rPr>
        <w:t>4.1 Interaction Regression Model (Question 2)</w:t>
      </w:r>
    </w:p>
    <w:p>
      <w:r>
        <w:t>To evaluate how Price, Authenticity Label (is_authentic), and Delivery Speed (delivery_days) interact to influence sales volume, we fitted a Multiple Linear Regression model with interaction terms on the log-sales volume:</w:t>
      </w:r>
    </w:p>
    <w:p>
      <w:pPr>
        <w:spacing w:before="80" w:after="80" w:line="276" w:lineRule="auto"/>
        <w:ind w:left="567"/>
        <w:shd w:val="clear" w:fill="F8FAFC"/>
        <w:pBdr>
          <w:left w:val="single" w:sz="12" w:color="CBD5E1"/>
        </w:pBdr>
      </w:pPr>
      <w:r>
        <w:rPr>
          <w:rFonts w:ascii="Courier New" w:hAnsi="Courier New"/>
          <w:color w:val="0F172A"/>
          <w:sz w:val="17"/>
        </w:rPr>
        <w:t>ln(sold_count + 1) = 2.4146 + (-1.3132e-06) * Price + (0.7983) * is_authentic</w:t>
        <w:br/>
        <w:t xml:space="preserve">                      + (1.4037e-04) * delivery_days + (3.5816e-07) * (Price * is_authentic)</w:t>
      </w:r>
    </w:p>
    <w:p>
      <w:r>
        <w:t>Statistical interpretation of the model coefficients:</w:t>
      </w:r>
    </w:p>
    <w:p>
      <w:pPr>
        <w:pStyle w:val="ListBullet"/>
        <w:spacing w:before="20" w:after="20" w:line="276" w:lineRule="auto"/>
        <w:ind w:left="454"/>
      </w:pPr>
      <w:r>
        <w:rPr>
          <w:rFonts w:ascii="Calibri" w:hAnsi="Calibri"/>
          <w:b/>
        </w:rPr>
        <w:t xml:space="preserve">Price Coefficient (b1): </w:t>
      </w:r>
      <w:r>
        <w:rPr>
          <w:rFonts w:ascii="Calibri" w:hAnsi="Calibri"/>
        </w:rPr>
        <w:t>Price has a negative coefficient (-1.3132e-06), showing standard downward demand curve.</w:t>
      </w:r>
    </w:p>
    <w:p>
      <w:pPr>
        <w:pStyle w:val="ListBullet"/>
        <w:spacing w:before="20" w:after="20" w:line="276" w:lineRule="auto"/>
        <w:ind w:left="454"/>
      </w:pPr>
      <w:r>
        <w:rPr>
          <w:rFonts w:ascii="Calibri" w:hAnsi="Calibri"/>
          <w:b/>
        </w:rPr>
        <w:t xml:space="preserve">Authenticity Coefficient (b2): </w:t>
      </w:r>
      <w:r>
        <w:rPr>
          <w:rFonts w:ascii="Calibri" w:hAnsi="Calibri"/>
        </w:rPr>
        <w:t>Authenticity label has a positive direct impact (0.7983), boosting baseline sales by e^0.80 ≈ 2.2 times.</w:t>
      </w:r>
    </w:p>
    <w:p>
      <w:pPr>
        <w:pStyle w:val="ListBullet"/>
        <w:spacing w:before="20" w:after="20" w:line="276" w:lineRule="auto"/>
        <w:ind w:left="454"/>
      </w:pPr>
      <w:r>
        <w:rPr>
          <w:rFonts w:ascii="Calibri" w:hAnsi="Calibri"/>
          <w:b/>
        </w:rPr>
        <w:t xml:space="preserve">Delivery Speed Coefficient (b3): </w:t>
      </w:r>
      <w:r>
        <w:rPr>
          <w:rFonts w:ascii="Calibri" w:hAnsi="Calibri"/>
        </w:rPr>
        <w:t>Standard delivery days shows a negligible coefficient (1.4037e-04) on overall log-sales within this range.</w:t>
      </w:r>
    </w:p>
    <w:p>
      <w:pPr>
        <w:pStyle w:val="ListBullet"/>
        <w:spacing w:before="20" w:after="20" w:line="276" w:lineRule="auto"/>
        <w:ind w:left="454"/>
      </w:pPr>
      <w:r>
        <w:rPr>
          <w:rFonts w:ascii="Calibri" w:hAnsi="Calibri"/>
          <w:b/>
        </w:rPr>
        <w:t xml:space="preserve">Interaction Coefficient (b4): </w:t>
      </w:r>
      <w:r>
        <w:rPr>
          <w:rFonts w:ascii="Calibri" w:hAnsi="Calibri"/>
        </w:rPr>
        <w:t>The positive interaction coefficient (3.5816e-07) indicates that official stores have lower price sensitivity. Specifically, the price coefficient is b1 for regular stores and (b1 + b4) = -9.5505e-07 for official stores (a 27% reduction in price sensitivity).</w:t>
      </w:r>
    </w:p>
    <w:p>
      <w:pPr>
        <w:pStyle w:val="Heading2"/>
        <w:spacing w:before="160" w:after="80"/>
      </w:pPr>
      <w:r>
        <w:rPr>
          <w:rFonts w:ascii="Calibri" w:hAnsi="Calibri"/>
          <w:b/>
          <w:color w:val="00695C"/>
          <w:sz w:val="28"/>
        </w:rPr>
        <w:t>4.2 Revenue-Maximizing Price per Subcategory</w:t>
      </w:r>
    </w:p>
    <w:p>
      <w:r>
        <w:t>By fitting a linear demand model Q(Price) = a - b * Price per category, the revenue-maximizing price is solved via P_opt = a / (2b). The computed optimal prices are shown below:</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fill="0D9488"/>
          </w:tcPr>
          <w:p>
            <w:pPr>
              <w:spacing w:before="60" w:after="60" w:line="276" w:lineRule="auto"/>
              <w:jc w:val="center"/>
            </w:pPr>
            <w:r>
              <w:rPr>
                <w:rFonts w:ascii="Calibri" w:hAnsi="Calibri"/>
                <w:b/>
                <w:color w:val="FFFFFF"/>
                <w:sz w:val="19"/>
              </w:rPr>
              <w:t>Category Name</w:t>
            </w:r>
          </w:p>
        </w:tc>
        <w:tc>
          <w:tcPr>
            <w:tcW w:type="dxa" w:w="3041"/>
            <w:vAlign w:val="center"/>
            <w:shd w:val="clear" w:fill="0D9488"/>
          </w:tcPr>
          <w:p>
            <w:pPr>
              <w:spacing w:before="60" w:after="60" w:line="276" w:lineRule="auto"/>
              <w:jc w:val="center"/>
            </w:pPr>
            <w:r>
              <w:rPr>
                <w:rFonts w:ascii="Calibri" w:hAnsi="Calibri"/>
                <w:b/>
                <w:color w:val="FFFFFF"/>
                <w:sz w:val="19"/>
              </w:rPr>
              <w:t>Optimal Price (VND)</w:t>
            </w:r>
          </w:p>
        </w:tc>
        <w:tc>
          <w:tcPr>
            <w:tcW w:type="dxa" w:w="3041"/>
            <w:vAlign w:val="center"/>
            <w:shd w:val="clear" w:fill="0D9488"/>
          </w:tcPr>
          <w:p>
            <w:pPr>
              <w:spacing w:before="60" w:after="60" w:line="276" w:lineRule="auto"/>
              <w:jc w:val="center"/>
            </w:pPr>
            <w:r>
              <w:rPr>
                <w:rFonts w:ascii="Calibri" w:hAnsi="Calibri"/>
                <w:b/>
                <w:color w:val="FFFFFF"/>
                <w:sz w:val="19"/>
              </w:rPr>
              <w:t>Actionable Strategy</w:t>
            </w:r>
          </w:p>
        </w:tc>
      </w:tr>
      <w:tr>
        <w:tc>
          <w:tcPr>
            <w:tcW w:type="dxa" w:w="3041"/>
            <w:vAlign w:val="center"/>
          </w:tcPr>
          <w:p>
            <w:pPr>
              <w:spacing w:before="40" w:after="40" w:line="276" w:lineRule="auto"/>
              <w:jc w:val="left"/>
            </w:pPr>
            <w:r>
              <w:rPr>
                <w:rFonts w:ascii="Calibri" w:hAnsi="Calibri"/>
                <w:sz w:val="18"/>
              </w:rPr>
              <w:t>Men's T-Shirts</w:t>
            </w:r>
          </w:p>
        </w:tc>
        <w:tc>
          <w:tcPr>
            <w:tcW w:type="dxa" w:w="3041"/>
            <w:vAlign w:val="center"/>
          </w:tcPr>
          <w:p>
            <w:pPr>
              <w:spacing w:before="40" w:after="40" w:line="276" w:lineRule="auto"/>
              <w:jc w:val="right"/>
            </w:pPr>
            <w:r>
              <w:rPr>
                <w:rFonts w:ascii="Calibri" w:hAnsi="Calibri"/>
                <w:sz w:val="18"/>
              </w:rPr>
              <w:t>1,479,027 VND</w:t>
            </w:r>
          </w:p>
        </w:tc>
        <w:tc>
          <w:tcPr>
            <w:tcW w:type="dxa" w:w="3041"/>
            <w:vAlign w:val="center"/>
          </w:tcPr>
          <w:p>
            <w:pPr>
              <w:spacing w:before="40" w:after="40" w:line="276" w:lineRule="auto"/>
              <w:jc w:val="left"/>
            </w:pPr>
            <w:r>
              <w:rPr>
                <w:rFonts w:ascii="Calibri" w:hAnsi="Calibri"/>
                <w:sz w:val="18"/>
              </w:rPr>
              <w:t>Target high-end/mid-premium segment to maximize margins.</w:t>
            </w:r>
          </w:p>
        </w:tc>
      </w:tr>
      <w:tr>
        <w:tc>
          <w:tcPr>
            <w:tcW w:type="dxa" w:w="3041"/>
            <w:vAlign w:val="center"/>
          </w:tcPr>
          <w:p>
            <w:pPr>
              <w:spacing w:before="40" w:after="40" w:line="276" w:lineRule="auto"/>
              <w:jc w:val="left"/>
            </w:pPr>
            <w:r>
              <w:rPr>
                <w:rFonts w:ascii="Calibri" w:hAnsi="Calibri"/>
                <w:sz w:val="18"/>
              </w:rPr>
              <w:t>Men's Shorts</w:t>
            </w:r>
          </w:p>
        </w:tc>
        <w:tc>
          <w:tcPr>
            <w:tcW w:type="dxa" w:w="3041"/>
            <w:vAlign w:val="center"/>
          </w:tcPr>
          <w:p>
            <w:pPr>
              <w:spacing w:before="40" w:after="40" w:line="276" w:lineRule="auto"/>
              <w:jc w:val="right"/>
            </w:pPr>
            <w:r>
              <w:rPr>
                <w:rFonts w:ascii="Calibri" w:hAnsi="Calibri"/>
                <w:sz w:val="18"/>
              </w:rPr>
              <w:t>503,865 VND</w:t>
            </w:r>
          </w:p>
        </w:tc>
        <w:tc>
          <w:tcPr>
            <w:tcW w:type="dxa" w:w="3041"/>
            <w:vAlign w:val="center"/>
          </w:tcPr>
          <w:p>
            <w:pPr>
              <w:spacing w:before="40" w:after="40" w:line="276" w:lineRule="auto"/>
              <w:jc w:val="left"/>
            </w:pPr>
            <w:r>
              <w:rPr>
                <w:rFonts w:ascii="Calibri" w:hAnsi="Calibri"/>
                <w:sz w:val="18"/>
              </w:rPr>
              <w:t>Employ bundle pricing or discount structures to volume-maximize.</w:t>
            </w:r>
          </w:p>
        </w:tc>
      </w:tr>
      <w:tr>
        <w:tc>
          <w:tcPr>
            <w:tcW w:type="dxa" w:w="3041"/>
            <w:vAlign w:val="center"/>
          </w:tcPr>
          <w:p>
            <w:pPr>
              <w:spacing w:before="40" w:after="40" w:line="276" w:lineRule="auto"/>
              <w:jc w:val="left"/>
            </w:pPr>
            <w:r>
              <w:rPr>
                <w:rFonts w:ascii="Calibri" w:hAnsi="Calibri"/>
                <w:sz w:val="18"/>
              </w:rPr>
              <w:t>Men's Underwear</w:t>
            </w:r>
          </w:p>
        </w:tc>
        <w:tc>
          <w:tcPr>
            <w:tcW w:type="dxa" w:w="3041"/>
            <w:vAlign w:val="center"/>
          </w:tcPr>
          <w:p>
            <w:pPr>
              <w:spacing w:before="40" w:after="40" w:line="276" w:lineRule="auto"/>
              <w:jc w:val="right"/>
            </w:pPr>
            <w:r>
              <w:rPr>
                <w:rFonts w:ascii="Calibri" w:hAnsi="Calibri"/>
                <w:sz w:val="18"/>
              </w:rPr>
              <w:t>385,000 VND</w:t>
            </w:r>
          </w:p>
        </w:tc>
        <w:tc>
          <w:tcPr>
            <w:tcW w:type="dxa" w:w="3041"/>
            <w:vAlign w:val="center"/>
          </w:tcPr>
          <w:p>
            <w:pPr>
              <w:spacing w:before="40" w:after="40" w:line="276" w:lineRule="auto"/>
              <w:jc w:val="left"/>
            </w:pPr>
            <w:r>
              <w:rPr>
                <w:rFonts w:ascii="Calibri" w:hAnsi="Calibri"/>
                <w:sz w:val="18"/>
              </w:rPr>
              <w:t>Luxury pricing fallback due to low price elasticity (inelastic demand).</w:t>
            </w:r>
          </w:p>
        </w:tc>
      </w:tr>
    </w:tbl>
    <w:p/>
    <w:p>
      <w:pPr>
        <w:pStyle w:val="Heading2"/>
        <w:spacing w:before="160" w:after="80"/>
      </w:pPr>
      <w:r>
        <w:rPr>
          <w:rFonts w:ascii="Calibri" w:hAnsi="Calibri"/>
          <w:b/>
          <w:color w:val="00695C"/>
          <w:sz w:val="28"/>
        </w:rPr>
        <w:t>4.3 Value Proposition Thresholds for Regular Sellers (Question 3)</w:t>
      </w:r>
    </w:p>
    <w:p>
      <w:r>
        <w:t>Applying a Logistic Logit model to regular store products that achieved high sales (above category median), we extracted the winning parameter combinations required to offset the lack of a Mall badge:</w:t>
      </w:r>
    </w:p>
    <w:p>
      <w:pPr>
        <w:pStyle w:val="ListBullet"/>
        <w:spacing w:before="20" w:after="20" w:line="276" w:lineRule="auto"/>
        <w:ind w:left="454"/>
      </w:pPr>
      <w:r>
        <w:rPr>
          <w:rFonts w:ascii="Calibri" w:hAnsi="Calibri"/>
          <w:b/>
        </w:rPr>
        <w:t xml:space="preserve">1. Price Discount Gap: </w:t>
      </w:r>
      <w:r>
        <w:rPr>
          <w:rFonts w:ascii="Calibri" w:hAnsi="Calibri"/>
        </w:rPr>
        <w:t>Price must be discounted by at least 7.2% relative to the official store average.</w:t>
      </w:r>
    </w:p>
    <w:p>
      <w:pPr>
        <w:pStyle w:val="ListBullet"/>
        <w:spacing w:before="20" w:after="20" w:line="276" w:lineRule="auto"/>
        <w:ind w:left="454"/>
      </w:pPr>
      <w:r>
        <w:rPr>
          <w:rFonts w:ascii="Calibri" w:hAnsi="Calibri"/>
          <w:b/>
        </w:rPr>
        <w:t xml:space="preserve">2. Quality threshold (Rating): </w:t>
      </w:r>
      <w:r>
        <w:rPr>
          <w:rFonts w:ascii="Calibri" w:hAnsi="Calibri"/>
        </w:rPr>
        <w:t>Maintain a minimum average customer rating of 3.3 out of 5.0.</w:t>
      </w:r>
    </w:p>
    <w:p>
      <w:pPr>
        <w:pStyle w:val="ListBullet"/>
        <w:spacing w:before="20" w:after="20" w:line="276" w:lineRule="auto"/>
        <w:ind w:left="454"/>
      </w:pPr>
      <w:r>
        <w:rPr>
          <w:rFonts w:ascii="Calibri" w:hAnsi="Calibri"/>
          <w:b/>
        </w:rPr>
        <w:t xml:space="preserve">3. Social Proof (Reviews): </w:t>
      </w:r>
      <w:r>
        <w:rPr>
          <w:rFonts w:ascii="Calibri" w:hAnsi="Calibri"/>
        </w:rPr>
        <w:t>Acquire a minimum of 7 reviews to establish initial social proof.</w:t>
      </w:r>
    </w:p>
    <w:p>
      <w:pPr>
        <w:pStyle w:val="ListBullet"/>
        <w:spacing w:before="20" w:after="20" w:line="276" w:lineRule="auto"/>
        <w:ind w:left="454"/>
      </w:pPr>
      <w:r>
        <w:rPr>
          <w:rFonts w:ascii="Calibri" w:hAnsi="Calibri"/>
          <w:b/>
        </w:rPr>
        <w:t xml:space="preserve">4. Service Level (Delivery): </w:t>
      </w:r>
      <w:r>
        <w:rPr>
          <w:rFonts w:ascii="Calibri" w:hAnsi="Calibri"/>
        </w:rPr>
        <w:t>Ensure standard delivery is within 2.6 days (using Tiki Fulfillment/FBT).</w:t>
      </w:r>
    </w:p>
    <w:p>
      <w:pPr>
        <w:pStyle w:val="Heading1"/>
        <w:spacing w:before="240" w:after="120"/>
      </w:pPr>
      <w:r>
        <w:rPr>
          <w:rFonts w:ascii="Calibri" w:hAnsi="Calibri"/>
          <w:b/>
          <w:color w:val="0D47A1"/>
          <w:sz w:val="36"/>
        </w:rPr>
        <w:t>5. STEP 4 – WHAT-IF SCENARIOS &amp; CAPITAL REBALANCING (Question 5)</w:t>
      </w:r>
    </w:p>
    <w:p>
      <w:r>
        <w:t>Using Linear Programming (linprog), we formulated the capital allocation optimization model. The objective is to maximize total expected portfolio ROI under different budget and fee scenarios.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shd w:val="clear" w:fill="0D9488"/>
          </w:tcPr>
          <w:p>
            <w:pPr>
              <w:spacing w:before="60" w:after="60" w:line="276" w:lineRule="auto"/>
              <w:jc w:val="center"/>
            </w:pPr>
            <w:r>
              <w:rPr>
                <w:rFonts w:ascii="Calibri" w:hAnsi="Calibri"/>
                <w:b/>
                <w:color w:val="FFFFFF"/>
                <w:sz w:val="19"/>
              </w:rPr>
              <w:t>Category</w:t>
            </w:r>
          </w:p>
        </w:tc>
        <w:tc>
          <w:tcPr>
            <w:tcW w:type="dxa" w:w="1824"/>
            <w:vAlign w:val="center"/>
            <w:shd w:val="clear" w:fill="0D9488"/>
          </w:tcPr>
          <w:p>
            <w:pPr>
              <w:spacing w:before="60" w:after="60" w:line="276" w:lineRule="auto"/>
              <w:jc w:val="center"/>
            </w:pPr>
            <w:r>
              <w:rPr>
                <w:rFonts w:ascii="Calibri" w:hAnsi="Calibri"/>
                <w:b/>
                <w:color w:val="FFFFFF"/>
                <w:sz w:val="19"/>
              </w:rPr>
              <w:t>Expected ROI</w:t>
            </w:r>
          </w:p>
        </w:tc>
        <w:tc>
          <w:tcPr>
            <w:tcW w:type="dxa" w:w="1824"/>
            <w:vAlign w:val="center"/>
            <w:shd w:val="clear" w:fill="0D9488"/>
          </w:tcPr>
          <w:p>
            <w:pPr>
              <w:spacing w:before="60" w:after="60" w:line="276" w:lineRule="auto"/>
              <w:jc w:val="center"/>
            </w:pPr>
            <w:r>
              <w:rPr>
                <w:rFonts w:ascii="Calibri" w:hAnsi="Calibri"/>
                <w:b/>
                <w:color w:val="FFFFFF"/>
                <w:sz w:val="19"/>
              </w:rPr>
              <w:t>Base Budget (1B VND)</w:t>
            </w:r>
          </w:p>
        </w:tc>
        <w:tc>
          <w:tcPr>
            <w:tcW w:type="dxa" w:w="1824"/>
            <w:vAlign w:val="center"/>
            <w:shd w:val="clear" w:fill="0D9488"/>
          </w:tcPr>
          <w:p>
            <w:pPr>
              <w:spacing w:before="60" w:after="60" w:line="276" w:lineRule="auto"/>
              <w:jc w:val="center"/>
            </w:pPr>
            <w:r>
              <w:rPr>
                <w:rFonts w:ascii="Calibri" w:hAnsi="Calibri"/>
                <w:b/>
                <w:color w:val="FFFFFF"/>
                <w:sz w:val="19"/>
              </w:rPr>
              <w:t>Scenario -20% (800M VND)</w:t>
            </w:r>
          </w:p>
        </w:tc>
        <w:tc>
          <w:tcPr>
            <w:tcW w:type="dxa" w:w="1824"/>
            <w:vAlign w:val="center"/>
            <w:shd w:val="clear" w:fill="0D9488"/>
          </w:tcPr>
          <w:p>
            <w:pPr>
              <w:spacing w:before="60" w:after="60" w:line="276" w:lineRule="auto"/>
              <w:jc w:val="center"/>
            </w:pPr>
            <w:r>
              <w:rPr>
                <w:rFonts w:ascii="Calibri" w:hAnsi="Calibri"/>
                <w:b/>
                <w:color w:val="FFFFFF"/>
                <w:sz w:val="19"/>
              </w:rPr>
              <w:t>Scenario +30% (1.3B VND)</w:t>
            </w:r>
          </w:p>
        </w:tc>
      </w:tr>
      <w:tr>
        <w:tc>
          <w:tcPr>
            <w:tcW w:type="dxa" w:w="1824"/>
            <w:vAlign w:val="center"/>
          </w:tcPr>
          <w:p>
            <w:pPr>
              <w:spacing w:before="40" w:after="40" w:line="276" w:lineRule="auto"/>
              <w:jc w:val="left"/>
            </w:pPr>
            <w:r>
              <w:rPr>
                <w:rFonts w:ascii="Calibri" w:hAnsi="Calibri"/>
                <w:sz w:val="18"/>
              </w:rPr>
              <w:t>Men's Shorts</w:t>
            </w:r>
          </w:p>
        </w:tc>
        <w:tc>
          <w:tcPr>
            <w:tcW w:type="dxa" w:w="1824"/>
            <w:vAlign w:val="center"/>
          </w:tcPr>
          <w:p>
            <w:pPr>
              <w:spacing w:before="40" w:after="40" w:line="276" w:lineRule="auto"/>
              <w:jc w:val="left"/>
            </w:pPr>
            <w:r>
              <w:rPr>
                <w:rFonts w:ascii="Calibri" w:hAnsi="Calibri"/>
                <w:sz w:val="18"/>
              </w:rPr>
              <w:t>1.95x</w:t>
            </w:r>
          </w:p>
        </w:tc>
        <w:tc>
          <w:tcPr>
            <w:tcW w:type="dxa" w:w="1824"/>
            <w:vAlign w:val="center"/>
          </w:tcPr>
          <w:p>
            <w:pPr>
              <w:spacing w:before="40" w:after="40" w:line="276" w:lineRule="auto"/>
              <w:jc w:val="right"/>
            </w:pPr>
            <w:r>
              <w:rPr>
                <w:rFonts w:ascii="Calibri" w:hAnsi="Calibri"/>
                <w:sz w:val="18"/>
              </w:rPr>
              <w:t>390,000,000 VND</w:t>
            </w:r>
          </w:p>
        </w:tc>
        <w:tc>
          <w:tcPr>
            <w:tcW w:type="dxa" w:w="1824"/>
            <w:vAlign w:val="center"/>
          </w:tcPr>
          <w:p>
            <w:pPr>
              <w:spacing w:before="40" w:after="40" w:line="276" w:lineRule="auto"/>
              <w:jc w:val="right"/>
            </w:pPr>
            <w:r>
              <w:rPr>
                <w:rFonts w:ascii="Calibri" w:hAnsi="Calibri"/>
                <w:sz w:val="18"/>
              </w:rPr>
              <w:t>190,000,000 VND</w:t>
            </w:r>
          </w:p>
        </w:tc>
        <w:tc>
          <w:tcPr>
            <w:tcW w:type="dxa" w:w="1824"/>
            <w:vAlign w:val="center"/>
          </w:tcPr>
          <w:p>
            <w:pPr>
              <w:spacing w:before="40" w:after="40" w:line="276" w:lineRule="auto"/>
              <w:jc w:val="right"/>
            </w:pPr>
            <w:r>
              <w:rPr>
                <w:rFonts w:ascii="Calibri" w:hAnsi="Calibri"/>
                <w:sz w:val="18"/>
              </w:rPr>
              <w:t>500,000,000 VND</w:t>
            </w:r>
          </w:p>
        </w:tc>
      </w:tr>
      <w:tr>
        <w:tc>
          <w:tcPr>
            <w:tcW w:type="dxa" w:w="1824"/>
            <w:vAlign w:val="center"/>
          </w:tcPr>
          <w:p>
            <w:pPr>
              <w:spacing w:before="40" w:after="40" w:line="276" w:lineRule="auto"/>
              <w:jc w:val="left"/>
            </w:pPr>
            <w:r>
              <w:rPr>
                <w:rFonts w:ascii="Calibri" w:hAnsi="Calibri"/>
                <w:sz w:val="18"/>
              </w:rPr>
              <w:t>Men's Underwear</w:t>
            </w:r>
          </w:p>
        </w:tc>
        <w:tc>
          <w:tcPr>
            <w:tcW w:type="dxa" w:w="1824"/>
            <w:vAlign w:val="center"/>
          </w:tcPr>
          <w:p>
            <w:pPr>
              <w:spacing w:before="40" w:after="40" w:line="276" w:lineRule="auto"/>
              <w:jc w:val="left"/>
            </w:pPr>
            <w:r>
              <w:rPr>
                <w:rFonts w:ascii="Calibri" w:hAnsi="Calibri"/>
                <w:sz w:val="18"/>
              </w:rPr>
              <w:t>2.10x</w:t>
            </w:r>
          </w:p>
        </w:tc>
        <w:tc>
          <w:tcPr>
            <w:tcW w:type="dxa" w:w="1824"/>
            <w:vAlign w:val="center"/>
          </w:tcPr>
          <w:p>
            <w:pPr>
              <w:spacing w:before="40" w:after="40" w:line="276" w:lineRule="auto"/>
              <w:jc w:val="right"/>
            </w:pPr>
            <w:r>
              <w:rPr>
                <w:rFonts w:ascii="Calibri" w:hAnsi="Calibri"/>
                <w:sz w:val="18"/>
              </w:rPr>
              <w:t>500,000,000 VND</w:t>
            </w:r>
          </w:p>
        </w:tc>
        <w:tc>
          <w:tcPr>
            <w:tcW w:type="dxa" w:w="1824"/>
            <w:vAlign w:val="center"/>
          </w:tcPr>
          <w:p>
            <w:pPr>
              <w:spacing w:before="40" w:after="40" w:line="276" w:lineRule="auto"/>
              <w:jc w:val="right"/>
            </w:pPr>
            <w:r>
              <w:rPr>
                <w:rFonts w:ascii="Calibri" w:hAnsi="Calibri"/>
                <w:sz w:val="18"/>
              </w:rPr>
              <w:t>500,000,000 VND</w:t>
            </w:r>
          </w:p>
        </w:tc>
        <w:tc>
          <w:tcPr>
            <w:tcW w:type="dxa" w:w="1824"/>
            <w:vAlign w:val="center"/>
          </w:tcPr>
          <w:p>
            <w:pPr>
              <w:spacing w:before="40" w:after="40" w:line="276" w:lineRule="auto"/>
              <w:jc w:val="right"/>
            </w:pPr>
            <w:r>
              <w:rPr>
                <w:rFonts w:ascii="Calibri" w:hAnsi="Calibri"/>
                <w:sz w:val="18"/>
              </w:rPr>
              <w:t>500,000,000 VND</w:t>
            </w:r>
          </w:p>
        </w:tc>
      </w:tr>
      <w:tr>
        <w:tc>
          <w:tcPr>
            <w:tcW w:type="dxa" w:w="1824"/>
            <w:vAlign w:val="center"/>
          </w:tcPr>
          <w:p>
            <w:pPr>
              <w:spacing w:before="40" w:after="40" w:line="276" w:lineRule="auto"/>
              <w:jc w:val="left"/>
            </w:pPr>
            <w:r>
              <w:rPr>
                <w:rFonts w:ascii="Calibri" w:hAnsi="Calibri"/>
                <w:sz w:val="18"/>
              </w:rPr>
              <w:t>Men's T-Shirts</w:t>
            </w:r>
          </w:p>
        </w:tc>
        <w:tc>
          <w:tcPr>
            <w:tcW w:type="dxa" w:w="1824"/>
            <w:vAlign w:val="center"/>
          </w:tcPr>
          <w:p>
            <w:pPr>
              <w:spacing w:before="40" w:after="40" w:line="276" w:lineRule="auto"/>
              <w:jc w:val="left"/>
            </w:pPr>
            <w:r>
              <w:rPr>
                <w:rFonts w:ascii="Calibri" w:hAnsi="Calibri"/>
                <w:sz w:val="18"/>
              </w:rPr>
              <w:t>1.85x</w:t>
            </w:r>
          </w:p>
        </w:tc>
        <w:tc>
          <w:tcPr>
            <w:tcW w:type="dxa" w:w="1824"/>
            <w:vAlign w:val="center"/>
          </w:tcPr>
          <w:p>
            <w:pPr>
              <w:spacing w:before="40" w:after="40" w:line="276" w:lineRule="auto"/>
              <w:jc w:val="right"/>
            </w:pPr>
            <w:r>
              <w:rPr>
                <w:rFonts w:ascii="Calibri" w:hAnsi="Calibri"/>
                <w:sz w:val="18"/>
              </w:rPr>
              <w:t>10,000,000 VND</w:t>
            </w:r>
          </w:p>
        </w:tc>
        <w:tc>
          <w:tcPr>
            <w:tcW w:type="dxa" w:w="1824"/>
            <w:vAlign w:val="center"/>
          </w:tcPr>
          <w:p>
            <w:pPr>
              <w:spacing w:before="40" w:after="40" w:line="276" w:lineRule="auto"/>
              <w:jc w:val="right"/>
            </w:pPr>
            <w:r>
              <w:rPr>
                <w:rFonts w:ascii="Calibri" w:hAnsi="Calibri"/>
                <w:sz w:val="18"/>
              </w:rPr>
              <w:t>10,000,000 VND</w:t>
            </w:r>
          </w:p>
        </w:tc>
        <w:tc>
          <w:tcPr>
            <w:tcW w:type="dxa" w:w="1824"/>
            <w:vAlign w:val="center"/>
          </w:tcPr>
          <w:p>
            <w:pPr>
              <w:spacing w:before="40" w:after="40" w:line="276" w:lineRule="auto"/>
              <w:jc w:val="right"/>
            </w:pPr>
            <w:r>
              <w:rPr>
                <w:rFonts w:ascii="Calibri" w:hAnsi="Calibri"/>
                <w:sz w:val="18"/>
              </w:rPr>
              <w:t>200,000,000 VND</w:t>
            </w:r>
          </w:p>
        </w:tc>
      </w:tr>
      <w:tr>
        <w:tc>
          <w:tcPr>
            <w:tcW w:type="dxa" w:w="1824"/>
            <w:vAlign w:val="center"/>
          </w:tcPr>
          <w:p>
            <w:pPr>
              <w:spacing w:before="40" w:after="40" w:line="276" w:lineRule="auto"/>
              <w:jc w:val="left"/>
            </w:pPr>
            <w:r>
              <w:rPr>
                <w:rFonts w:ascii="Calibri" w:hAnsi="Calibri"/>
                <w:sz w:val="18"/>
              </w:rPr>
              <w:t>Total Budget</w:t>
            </w:r>
          </w:p>
        </w:tc>
        <w:tc>
          <w:tcPr>
            <w:tcW w:type="dxa" w:w="1824"/>
            <w:vAlign w:val="center"/>
          </w:tcPr>
          <w:p>
            <w:pPr>
              <w:spacing w:before="40" w:after="40" w:line="276" w:lineRule="auto"/>
              <w:jc w:val="left"/>
            </w:pPr>
            <w:r>
              <w:rPr>
                <w:rFonts w:ascii="Calibri" w:hAnsi="Calibri"/>
                <w:sz w:val="18"/>
              </w:rPr>
              <w:t>-</w:t>
            </w:r>
          </w:p>
        </w:tc>
        <w:tc>
          <w:tcPr>
            <w:tcW w:type="dxa" w:w="1824"/>
            <w:vAlign w:val="center"/>
          </w:tcPr>
          <w:p>
            <w:pPr>
              <w:spacing w:before="40" w:after="40" w:line="276" w:lineRule="auto"/>
              <w:jc w:val="right"/>
            </w:pPr>
            <w:r>
              <w:rPr>
                <w:rFonts w:ascii="Calibri" w:hAnsi="Calibri"/>
                <w:sz w:val="18"/>
              </w:rPr>
              <w:t>1,000,000,000 VND</w:t>
            </w:r>
          </w:p>
        </w:tc>
        <w:tc>
          <w:tcPr>
            <w:tcW w:type="dxa" w:w="1824"/>
            <w:vAlign w:val="center"/>
          </w:tcPr>
          <w:p>
            <w:pPr>
              <w:spacing w:before="40" w:after="40" w:line="276" w:lineRule="auto"/>
              <w:jc w:val="right"/>
            </w:pPr>
            <w:r>
              <w:rPr>
                <w:rFonts w:ascii="Calibri" w:hAnsi="Calibri"/>
                <w:sz w:val="18"/>
              </w:rPr>
              <w:t>800,000,000 VND</w:t>
            </w:r>
          </w:p>
        </w:tc>
        <w:tc>
          <w:tcPr>
            <w:tcW w:type="dxa" w:w="1824"/>
            <w:vAlign w:val="center"/>
          </w:tcPr>
          <w:p>
            <w:pPr>
              <w:spacing w:before="40" w:after="40" w:line="276" w:lineRule="auto"/>
              <w:jc w:val="right"/>
            </w:pPr>
            <w:r>
              <w:rPr>
                <w:rFonts w:ascii="Calibri" w:hAnsi="Calibri"/>
                <w:sz w:val="18"/>
              </w:rPr>
              <w:t>1,300,000,000 VND</w:t>
            </w:r>
          </w:p>
        </w:tc>
      </w:tr>
    </w:tbl>
    <w:p/>
    <w:p>
      <w:r>
        <w:t>Actionable analysis of capital distribution changes:</w:t>
      </w:r>
    </w:p>
    <w:p>
      <w:pPr>
        <w:pStyle w:val="ListBullet"/>
        <w:spacing w:before="20" w:after="20" w:line="276" w:lineRule="auto"/>
        <w:ind w:left="454"/>
      </w:pPr>
      <w:r>
        <w:rPr>
          <w:rFonts w:ascii="Calibri" w:hAnsi="Calibri"/>
          <w:b/>
        </w:rPr>
        <w:t xml:space="preserve">Base Allocation (1B VND): </w:t>
      </w:r>
      <w:r>
        <w:rPr>
          <w:rFonts w:ascii="Calibri" w:hAnsi="Calibri"/>
        </w:rPr>
        <w:t>Capital is heavily concentrated in high-ROI categories like Men's Underwear (500M) and Men's Shorts (390M), keeping all other categories at their safety stock minimums (10M).</w:t>
      </w:r>
    </w:p>
    <w:p>
      <w:pPr>
        <w:pStyle w:val="ListBullet"/>
        <w:spacing w:before="20" w:after="20" w:line="276" w:lineRule="auto"/>
        <w:ind w:left="454"/>
      </w:pPr>
      <w:r>
        <w:rPr>
          <w:rFonts w:ascii="Calibri" w:hAnsi="Calibri"/>
          <w:b/>
        </w:rPr>
        <w:t xml:space="preserve">Budget Cut (-20% - 800M VND): </w:t>
      </w:r>
      <w:r>
        <w:rPr>
          <w:rFonts w:ascii="Calibri" w:hAnsi="Calibri"/>
        </w:rPr>
        <w:t>When the budget shrinks, the model protects the top-performing category (Men's Underwear keeps 500M) and absorbs the entire 200M cut from Men's Shorts (reduced to 190M).</w:t>
      </w:r>
    </w:p>
    <w:p>
      <w:pPr>
        <w:pStyle w:val="ListBullet"/>
        <w:spacing w:before="20" w:after="20" w:line="276" w:lineRule="auto"/>
        <w:ind w:left="454"/>
      </w:pPr>
      <w:r>
        <w:rPr>
          <w:rFonts w:ascii="Calibri" w:hAnsi="Calibri"/>
          <w:b/>
        </w:rPr>
        <w:t xml:space="preserve">Budget Expansion (+30% - 1.3B VND): </w:t>
      </w:r>
      <w:r>
        <w:rPr>
          <w:rFonts w:ascii="Calibri" w:hAnsi="Calibri"/>
        </w:rPr>
        <w:t>With capital surplus, after maximizing capacity on Underwear (500M) and Shorts (500M), excess funds (190M) flow to Men's T-Shirts (ROI of 1.85).</w:t>
      </w:r>
    </w:p>
    <w:p>
      <w:pPr>
        <w:pStyle w:val="ListBullet"/>
        <w:spacing w:before="20" w:after="20" w:line="276" w:lineRule="auto"/>
        <w:ind w:left="454"/>
      </w:pPr>
      <w:r>
        <w:rPr>
          <w:rFonts w:ascii="Calibri" w:hAnsi="Calibri"/>
          <w:b/>
        </w:rPr>
        <w:t xml:space="preserve">Fee Policy Adjustment Scenario: </w:t>
      </w:r>
      <w:r>
        <w:rPr>
          <w:rFonts w:ascii="Calibri" w:hAnsi="Calibri"/>
        </w:rPr>
        <w:t>If Tiki referral fees increase on clothing items, their expected ROI drops. The optimizer automatically shifts capital to Accessories or Underwear which have higher margins.</w:t>
      </w:r>
    </w:p>
    <w:p>
      <w:pPr>
        <w:pStyle w:val="Heading1"/>
        <w:spacing w:before="240" w:after="120"/>
      </w:pPr>
      <w:r>
        <w:rPr>
          <w:rFonts w:ascii="Calibri" w:hAnsi="Calibri"/>
          <w:b/>
          <w:color w:val="0D47A1"/>
          <w:sz w:val="36"/>
        </w:rPr>
        <w:t>6. STEP 5 – EVIDENCE-BASED RECOMMENDATIONS (Question 4)</w:t>
      </w:r>
    </w:p>
    <w:p>
      <w:r>
        <w:t>Using our 3D portfolio categorization matrix, we categorize subcategories into specific strategic actions: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fill="0D9488"/>
          </w:tcPr>
          <w:p>
            <w:pPr>
              <w:spacing w:before="60" w:after="60" w:line="276" w:lineRule="auto"/>
              <w:jc w:val="center"/>
            </w:pPr>
            <w:r>
              <w:rPr>
                <w:rFonts w:ascii="Calibri" w:hAnsi="Calibri"/>
                <w:b/>
                <w:color w:val="FFFFFF"/>
                <w:sz w:val="19"/>
              </w:rPr>
              <w:t>Strategy Group</w:t>
            </w:r>
          </w:p>
        </w:tc>
        <w:tc>
          <w:tcPr>
            <w:tcW w:type="dxa" w:w="2280"/>
            <w:vAlign w:val="center"/>
            <w:shd w:val="clear" w:fill="0D9488"/>
          </w:tcPr>
          <w:p>
            <w:pPr>
              <w:spacing w:before="60" w:after="60" w:line="276" w:lineRule="auto"/>
              <w:jc w:val="center"/>
            </w:pPr>
            <w:r>
              <w:rPr>
                <w:rFonts w:ascii="Calibri" w:hAnsi="Calibri"/>
                <w:b/>
                <w:color w:val="FFFFFF"/>
                <w:sz w:val="19"/>
              </w:rPr>
              <w:t>Target Categories</w:t>
            </w:r>
          </w:p>
        </w:tc>
        <w:tc>
          <w:tcPr>
            <w:tcW w:type="dxa" w:w="2280"/>
            <w:vAlign w:val="center"/>
            <w:shd w:val="clear" w:fill="0D9488"/>
          </w:tcPr>
          <w:p>
            <w:pPr>
              <w:spacing w:before="60" w:after="60" w:line="276" w:lineRule="auto"/>
              <w:jc w:val="center"/>
            </w:pPr>
            <w:r>
              <w:rPr>
                <w:rFonts w:ascii="Calibri" w:hAnsi="Calibri"/>
                <w:b/>
                <w:color w:val="FFFFFF"/>
                <w:sz w:val="19"/>
              </w:rPr>
              <w:t>Supporting Metrics</w:t>
            </w:r>
          </w:p>
        </w:tc>
        <w:tc>
          <w:tcPr>
            <w:tcW w:type="dxa" w:w="2280"/>
            <w:vAlign w:val="center"/>
            <w:shd w:val="clear" w:fill="0D9488"/>
          </w:tcPr>
          <w:p>
            <w:pPr>
              <w:spacing w:before="60" w:after="60" w:line="276" w:lineRule="auto"/>
              <w:jc w:val="center"/>
            </w:pPr>
            <w:r>
              <w:rPr>
                <w:rFonts w:ascii="Calibri" w:hAnsi="Calibri"/>
                <w:b/>
                <w:color w:val="FFFFFF"/>
                <w:sz w:val="19"/>
              </w:rPr>
              <w:t>Strategic Action Plan</w:t>
            </w:r>
          </w:p>
        </w:tc>
      </w:tr>
      <w:tr>
        <w:tc>
          <w:tcPr>
            <w:tcW w:type="dxa" w:w="2280"/>
            <w:vAlign w:val="center"/>
          </w:tcPr>
          <w:p>
            <w:pPr>
              <w:spacing w:before="40" w:after="40" w:line="276" w:lineRule="auto"/>
              <w:jc w:val="left"/>
            </w:pPr>
            <w:r>
              <w:rPr>
                <w:rFonts w:ascii="Calibri" w:hAnsi="Calibri"/>
                <w:sz w:val="18"/>
              </w:rPr>
              <w:t>Divest / Drop immediately</w:t>
            </w:r>
          </w:p>
        </w:tc>
        <w:tc>
          <w:tcPr>
            <w:tcW w:type="dxa" w:w="2280"/>
            <w:vAlign w:val="center"/>
          </w:tcPr>
          <w:p>
            <w:pPr>
              <w:spacing w:before="40" w:after="40" w:line="276" w:lineRule="auto"/>
              <w:jc w:val="right"/>
            </w:pPr>
            <w:r>
              <w:rPr>
                <w:rFonts w:ascii="Calibri" w:hAnsi="Calibri"/>
                <w:sz w:val="18"/>
              </w:rPr>
              <w:t>Men's Hoodies, Men's Outfits, Women's Tops</w:t>
            </w:r>
          </w:p>
        </w:tc>
        <w:tc>
          <w:tcPr>
            <w:tcW w:type="dxa" w:w="2280"/>
            <w:vAlign w:val="center"/>
          </w:tcPr>
          <w:p>
            <w:pPr>
              <w:spacing w:before="40" w:after="40" w:line="276" w:lineRule="auto"/>
              <w:jc w:val="right"/>
            </w:pPr>
            <w:r>
              <w:rPr>
                <w:rFonts w:ascii="Calibri" w:hAnsi="Calibri"/>
                <w:sz w:val="18"/>
              </w:rPr>
              <w:t>Sales &lt; 10 units, Revenue/SKU &lt; 100K VND, extreme low rating (&lt; 2.0)</w:t>
            </w:r>
          </w:p>
        </w:tc>
        <w:tc>
          <w:tcPr>
            <w:tcW w:type="dxa" w:w="2280"/>
            <w:vAlign w:val="center"/>
          </w:tcPr>
          <w:p>
            <w:pPr>
              <w:spacing w:before="40" w:after="40" w:line="276" w:lineRule="auto"/>
              <w:jc w:val="left"/>
            </w:pPr>
            <w:r>
              <w:rPr>
                <w:rFonts w:ascii="Calibri" w:hAnsi="Calibri"/>
                <w:sz w:val="18"/>
              </w:rPr>
              <w:t>Clear out existing inventory below cost; do not re-order to preserve working capital.</w:t>
            </w:r>
          </w:p>
        </w:tc>
      </w:tr>
      <w:tr>
        <w:tc>
          <w:tcPr>
            <w:tcW w:type="dxa" w:w="2280"/>
            <w:vAlign w:val="center"/>
          </w:tcPr>
          <w:p>
            <w:pPr>
              <w:spacing w:before="40" w:after="40" w:line="276" w:lineRule="auto"/>
              <w:jc w:val="left"/>
            </w:pPr>
            <w:r>
              <w:rPr>
                <w:rFonts w:ascii="Calibri" w:hAnsi="Calibri"/>
                <w:sz w:val="18"/>
              </w:rPr>
              <w:t>Watch / Hold &amp; Quality Audit</w:t>
            </w:r>
          </w:p>
        </w:tc>
        <w:tc>
          <w:tcPr>
            <w:tcW w:type="dxa" w:w="2280"/>
            <w:vAlign w:val="center"/>
          </w:tcPr>
          <w:p>
            <w:pPr>
              <w:spacing w:before="40" w:after="40" w:line="276" w:lineRule="auto"/>
              <w:jc w:val="right"/>
            </w:pPr>
            <w:r>
              <w:rPr>
                <w:rFonts w:ascii="Calibri" w:hAnsi="Calibri"/>
                <w:sz w:val="18"/>
              </w:rPr>
              <w:t>Men's T-Shirts, Men's Shirts</w:t>
            </w:r>
          </w:p>
        </w:tc>
        <w:tc>
          <w:tcPr>
            <w:tcW w:type="dxa" w:w="2280"/>
            <w:vAlign w:val="center"/>
          </w:tcPr>
          <w:p>
            <w:pPr>
              <w:spacing w:before="40" w:after="40" w:line="276" w:lineRule="auto"/>
              <w:jc w:val="left"/>
            </w:pPr>
            <w:r>
              <w:rPr>
                <w:rFonts w:ascii="Calibri" w:hAnsi="Calibri"/>
                <w:sz w:val="18"/>
              </w:rPr>
              <w:t>Large SKU count (440) but extremely low rating average (1.70)</w:t>
            </w:r>
          </w:p>
        </w:tc>
        <w:tc>
          <w:tcPr>
            <w:tcW w:type="dxa" w:w="2280"/>
            <w:vAlign w:val="center"/>
          </w:tcPr>
          <w:p>
            <w:pPr>
              <w:spacing w:before="40" w:after="40" w:line="276" w:lineRule="auto"/>
              <w:jc w:val="left"/>
            </w:pPr>
            <w:r>
              <w:rPr>
                <w:rFonts w:ascii="Calibri" w:hAnsi="Calibri"/>
                <w:sz w:val="18"/>
              </w:rPr>
              <w:t>Suspend new SKU creation. Conduct factory audits to address quality/sizing issues and raise rating to 4.0+.</w:t>
            </w:r>
          </w:p>
        </w:tc>
      </w:tr>
      <w:tr>
        <w:tc>
          <w:tcPr>
            <w:tcW w:type="dxa" w:w="2280"/>
            <w:vAlign w:val="center"/>
          </w:tcPr>
          <w:p>
            <w:pPr>
              <w:spacing w:before="40" w:after="40" w:line="276" w:lineRule="auto"/>
              <w:jc w:val="left"/>
            </w:pPr>
            <w:r>
              <w:rPr>
                <w:rFonts w:ascii="Calibri" w:hAnsi="Calibri"/>
                <w:sz w:val="18"/>
              </w:rPr>
              <w:t>Invest &amp; Expand Aggressively</w:t>
            </w:r>
          </w:p>
        </w:tc>
        <w:tc>
          <w:tcPr>
            <w:tcW w:type="dxa" w:w="2280"/>
            <w:vAlign w:val="center"/>
          </w:tcPr>
          <w:p>
            <w:pPr>
              <w:spacing w:before="40" w:after="40" w:line="276" w:lineRule="auto"/>
              <w:jc w:val="right"/>
            </w:pPr>
            <w:r>
              <w:rPr>
                <w:rFonts w:ascii="Calibri" w:hAnsi="Calibri"/>
                <w:sz w:val="18"/>
              </w:rPr>
              <w:t>Men's Underwear, Men's Shorts, Men's Swimwear</w:t>
            </w:r>
          </w:p>
        </w:tc>
        <w:tc>
          <w:tcPr>
            <w:tcW w:type="dxa" w:w="2280"/>
            <w:vAlign w:val="center"/>
          </w:tcPr>
          <w:p>
            <w:pPr>
              <w:spacing w:before="40" w:after="40" w:line="276" w:lineRule="auto"/>
              <w:jc w:val="right"/>
            </w:pPr>
            <w:r>
              <w:rPr>
                <w:rFonts w:ascii="Calibri" w:hAnsi="Calibri"/>
                <w:sz w:val="18"/>
              </w:rPr>
              <w:t>Total sold &gt; 50K units, ROI &gt; 1.95x, high rating stability (&gt; 3.0)</w:t>
            </w:r>
          </w:p>
        </w:tc>
        <w:tc>
          <w:tcPr>
            <w:tcW w:type="dxa" w:w="2280"/>
            <w:vAlign w:val="center"/>
          </w:tcPr>
          <w:p>
            <w:pPr>
              <w:spacing w:before="40" w:after="40" w:line="276" w:lineRule="auto"/>
              <w:jc w:val="right"/>
            </w:pPr>
            <w:r>
              <w:rPr>
                <w:rFonts w:ascii="Calibri" w:hAnsi="Calibri"/>
                <w:sz w:val="18"/>
              </w:rPr>
              <w:t>Allocate 90% of available capital here. Diversify designs and apply revenue-maximizing prices.</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