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line="276" w:lineRule="auto"/>
        <w:jc w:val="center"/>
      </w:pPr>
      <w:r>
        <w:rPr>
          <w:b/>
          <w:color w:val="0D47A1"/>
          <w:sz w:val="48"/>
        </w:rPr>
        <w:t>ASSIGNMENT 3 – DSS DASHBOARD &amp;</w:t>
        <w:br/>
        <w:t>DECISION SUPPORT INTERFACE</w:t>
        <w:br/>
      </w:r>
    </w:p>
    <w:p>
      <w:pPr>
        <w:spacing w:before="0" w:after="1200" w:line="276" w:lineRule="auto"/>
        <w:jc w:val="center"/>
      </w:pPr>
      <w:r>
        <w:rPr>
          <w:i/>
          <w:color w:val="37474F"/>
          <w:sz w:val="26"/>
        </w:rPr>
        <w:t>Visualization and Decision Support System Interface</w:t>
        <w:br/>
        <w:t>for Tiki Fashion E-Commerce Platform</w:t>
        <w:br/>
      </w:r>
    </w:p>
    <w:p>
      <w:pPr>
        <w:spacing w:before="0" w:after="120" w:line="276" w:lineRule="auto"/>
      </w:pPr>
      <w:r>
        <w:rPr>
          <w:rFonts w:ascii="Calibri" w:hAnsi="Calibri"/>
          <w:b/>
          <w:sz w:val="22"/>
        </w:rPr>
        <w:t xml:space="preserve">Group: </w:t>
      </w:r>
      <w:r>
        <w:rPr>
          <w:rFonts w:ascii="Calibri" w:hAnsi="Calibri"/>
          <w:sz w:val="22"/>
        </w:rPr>
        <w:t>Group 1 – DSS Visual Analytics</w:t>
        <w:br/>
      </w:r>
      <w:r>
        <w:rPr>
          <w:rFonts w:ascii="Calibri" w:hAnsi="Calibri"/>
          <w:b/>
          <w:sz w:val="22"/>
        </w:rPr>
        <w:t xml:space="preserve">University: </w:t>
      </w:r>
      <w:r>
        <w:rPr>
          <w:rFonts w:ascii="Calibri" w:hAnsi="Calibri"/>
          <w:sz w:val="22"/>
        </w:rPr>
        <w:t>Ho Chi Minh City University of Technology (HCMUT)</w:t>
        <w:br/>
      </w:r>
      <w:r>
        <w:rPr>
          <w:rFonts w:ascii="Calibri" w:hAnsi="Calibri"/>
          <w:b/>
          <w:sz w:val="22"/>
        </w:rPr>
        <w:t xml:space="preserve">Decision Maker: </w:t>
      </w:r>
      <w:r>
        <w:rPr>
          <w:rFonts w:ascii="Calibri" w:hAnsi="Calibri"/>
          <w:sz w:val="22"/>
        </w:rPr>
        <w:t>Non-Official Tiki Fashion Shop Owner / Category Manager</w:t>
        <w:br/>
      </w:r>
      <w:r>
        <w:rPr>
          <w:rFonts w:ascii="Calibri" w:hAnsi="Calibri"/>
          <w:b/>
          <w:sz w:val="22"/>
        </w:rPr>
        <w:t xml:space="preserve">Tool Used: </w:t>
      </w:r>
      <w:r>
        <w:rPr>
          <w:rFonts w:ascii="Calibri" w:hAnsi="Calibri"/>
          <w:sz w:val="22"/>
        </w:rPr>
        <w:t>Custom React 18 Web Application + Flask REST API (equivalent to Power BI)</w:t>
        <w:br/>
      </w:r>
      <w:r>
        <w:rPr>
          <w:rFonts w:ascii="Calibri" w:hAnsi="Calibri"/>
          <w:b/>
          <w:sz w:val="22"/>
        </w:rPr>
        <w:t xml:space="preserve">Date: </w:t>
      </w:r>
      <w:r>
        <w:rPr>
          <w:rFonts w:ascii="Calibri" w:hAnsi="Calibri"/>
          <w:sz w:val="22"/>
        </w:rPr>
        <w:t>July 2026</w:t>
        <w:br/>
      </w:r>
    </w:p>
    <w:p>
      <w:r>
        <w:br w:type="page"/>
      </w:r>
    </w:p>
    <w:p>
      <w:pPr>
        <w:pStyle w:val="Heading1"/>
        <w:spacing w:before="280" w:after="120"/>
      </w:pPr>
      <w:r>
        <w:rPr>
          <w:rFonts w:ascii="Calibri" w:hAnsi="Calibri"/>
          <w:b/>
          <w:color w:val="0D47A1"/>
          <w:sz w:val="32"/>
        </w:rPr>
        <w:t>1. Objective</w:t>
      </w:r>
    </w:p>
    <w:p>
      <w:pPr>
        <w:spacing w:before="40" w:after="100" w:line="276" w:lineRule="auto"/>
      </w:pPr>
      <w:r>
        <w:rPr>
          <w:rFonts w:ascii="Calibri" w:hAnsi="Calibri"/>
          <w:sz w:val="22"/>
        </w:rPr>
        <w:t>The objective of Assignment 3 is to design and develop a dashboard that presents the analytical results from Assignment 2 in a form that supports managerial decision making.</w:t>
      </w:r>
    </w:p>
    <w:p>
      <w:pPr>
        <w:spacing w:before="40" w:after="100" w:line="276" w:lineRule="auto"/>
      </w:pPr>
      <w:r>
        <w:rPr>
          <w:rFonts w:ascii="Calibri" w:hAnsi="Calibri"/>
          <w:sz w:val="22"/>
        </w:rPr>
        <w:t>We transform the five analytical models built in Assignment 2 – including the Opportunity Score formula, the Multiple Linear Regression pricing model, the logistic winner thresholds, the portfolio divestment matrix, and the Linear Programming capital allocator – into an interactive Decision Support System (DSS) interface accessible to non-technical fashion shop owners.</w:t>
      </w:r>
    </w:p>
    <w:p>
      <w:pPr>
        <w:spacing w:before="40" w:after="100" w:line="276" w:lineRule="auto"/>
      </w:pPr>
      <w:r>
        <w:rPr>
          <w:rFonts w:ascii="Calibri" w:hAnsi="Calibri"/>
          <w:sz w:val="22"/>
        </w:rPr>
        <w:t>The dashboard is designed to help the decision maker:</w:t>
      </w:r>
    </w:p>
    <w:p>
      <w:pPr>
        <w:pStyle w:val="ListBullet"/>
        <w:spacing w:before="20" w:after="40" w:line="276" w:lineRule="auto"/>
        <w:ind w:left="454"/>
      </w:pPr>
      <w:r>
        <w:rPr>
          <w:rFonts w:ascii="Calibri" w:hAnsi="Calibri"/>
          <w:sz w:val="22"/>
        </w:rPr>
        <w:t>Monitor key KPIs: track total SKUs, estimated revenue, new product alerts, and high-opportunity niches at a glance.</w:t>
      </w:r>
    </w:p>
    <w:p>
      <w:pPr>
        <w:pStyle w:val="ListBullet"/>
        <w:spacing w:before="20" w:after="40" w:line="276" w:lineRule="auto"/>
        <w:ind w:left="454"/>
      </w:pPr>
      <w:r>
        <w:rPr>
          <w:rFonts w:ascii="Calibri" w:hAnsi="Calibri"/>
          <w:sz w:val="22"/>
        </w:rPr>
        <w:t>Understand important insights: explore which subcategories have the best revenue-per-SKU and lowest official-store domination (Q1).</w:t>
      </w:r>
    </w:p>
    <w:p>
      <w:pPr>
        <w:pStyle w:val="ListBullet"/>
        <w:spacing w:before="20" w:after="40" w:line="276" w:lineRule="auto"/>
        <w:ind w:left="454"/>
      </w:pPr>
      <w:r>
        <w:rPr>
          <w:rFonts w:ascii="Calibri" w:hAnsi="Calibri"/>
          <w:sz w:val="22"/>
        </w:rPr>
        <w:t>View future forecasts: visualize 30-day demand predictions with 95% confidence intervals per subcategory.</w:t>
      </w:r>
    </w:p>
    <w:p>
      <w:pPr>
        <w:pStyle w:val="ListBullet"/>
        <w:spacing w:before="20" w:after="40" w:line="276" w:lineRule="auto"/>
        <w:ind w:left="454"/>
      </w:pPr>
      <w:r>
        <w:rPr>
          <w:rFonts w:ascii="Calibri" w:hAnsi="Calibri"/>
          <w:sz w:val="22"/>
        </w:rPr>
        <w:t>Evaluate alternative scenarios: simulate −20%/+30% budget changes or Tiki fee adjustments and see the LP-optimized capital reallocation.</w:t>
      </w:r>
    </w:p>
    <w:p>
      <w:pPr>
        <w:pStyle w:val="ListBullet"/>
        <w:spacing w:before="20" w:after="40" w:line="276" w:lineRule="auto"/>
        <w:ind w:left="454"/>
      </w:pPr>
      <w:r>
        <w:rPr>
          <w:rFonts w:ascii="Calibri" w:hAnsi="Calibri"/>
          <w:sz w:val="22"/>
        </w:rPr>
        <w:t>Make informed decisions: receive concrete, evidence-based recommendations – which niche to enter, what price to set, which product to divest.</w:t>
      </w:r>
    </w:p>
    <w:p>
      <w:pPr>
        <w:spacing w:before="40" w:after="100" w:line="276" w:lineRule="auto"/>
      </w:pPr>
      <w:r>
        <w:rPr>
          <w:rFonts w:ascii="Calibri" w:hAnsi="Calibri"/>
          <w:sz w:val="22"/>
        </w:rPr>
        <w:t>This assignment represents the User Interface Component of the DSS pipeline, converting quantitative model outputs into actionable visual guidance for the shop owner.</w:t>
      </w:r>
    </w:p>
    <w:p>
      <w:pPr>
        <w:pStyle w:val="Heading1"/>
        <w:spacing w:before="280" w:after="120"/>
      </w:pPr>
      <w:r>
        <w:rPr>
          <w:rFonts w:ascii="Calibri" w:hAnsi="Calibri"/>
          <w:b/>
          <w:color w:val="0D47A1"/>
          <w:sz w:val="32"/>
        </w:rPr>
        <w:t>2. Required Inputs</w:t>
      </w:r>
    </w:p>
    <w:p>
      <w:pPr>
        <w:spacing w:before="40" w:after="100" w:line="276" w:lineRule="auto"/>
      </w:pPr>
      <w:r>
        <w:rPr>
          <w:rFonts w:ascii="Calibri" w:hAnsi="Calibri"/>
          <w:sz w:val="22"/>
        </w:rPr>
        <w:t>The dashboard is built entirely around the outputs of Assignment 2. The following five categories of analytical findings from ASG2 serve as inputs to this interface:</w:t>
      </w:r>
    </w:p>
    <w:p>
      <w:pPr>
        <w:pStyle w:val="Heading2"/>
        <w:spacing w:before="200" w:after="80"/>
      </w:pPr>
      <w:r>
        <w:rPr>
          <w:rFonts w:ascii="Calibri" w:hAnsi="Calibri"/>
          <w:b/>
          <w:color w:val="00695C"/>
          <w:sz w:val="26"/>
        </w:rPr>
        <w:t>Key Analytical Insights</w:t>
      </w:r>
    </w:p>
    <w:p>
      <w:pPr>
        <w:spacing w:before="40" w:after="100" w:line="276" w:lineRule="auto"/>
      </w:pPr>
      <w:r>
        <w:rPr>
          <w:rFonts w:ascii="Calibri" w:hAnsi="Calibri"/>
          <w:sz w:val="22"/>
        </w:rPr>
        <w:t>From ASG2 Step 1 (EDA), the dashboard receives aggregated metrics per Men's Fashion L2 subcategory: total SKUs, total sold_count, total estimated revenue, and official-store domination ratio. These underpin the Opportunity Score shown in the Gap &amp; Opportunity tab.</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fill="1D4ED8"/>
          </w:tcPr>
          <w:p>
            <w:pPr>
              <w:spacing w:before="60" w:after="60" w:line="276" w:lineRule="auto"/>
              <w:jc w:val="center"/>
            </w:pPr>
            <w:r>
              <w:rPr>
                <w:rFonts w:ascii="Calibri" w:hAnsi="Calibri"/>
                <w:b/>
                <w:color w:val="FFFFFF"/>
                <w:sz w:val="19"/>
              </w:rPr>
              <w:t>ASG2 Insight</w:t>
            </w:r>
          </w:p>
        </w:tc>
        <w:tc>
          <w:tcPr>
            <w:tcW w:type="dxa" w:w="3041"/>
            <w:vAlign w:val="center"/>
            <w:shd w:val="clear" w:fill="1D4ED8"/>
          </w:tcPr>
          <w:p>
            <w:pPr>
              <w:spacing w:before="60" w:after="60" w:line="276" w:lineRule="auto"/>
              <w:jc w:val="center"/>
            </w:pPr>
            <w:r>
              <w:rPr>
                <w:rFonts w:ascii="Calibri" w:hAnsi="Calibri"/>
                <w:b/>
                <w:color w:val="FFFFFF"/>
                <w:sz w:val="19"/>
              </w:rPr>
              <w:t>Quantitative Finding</w:t>
            </w:r>
          </w:p>
        </w:tc>
        <w:tc>
          <w:tcPr>
            <w:tcW w:type="dxa" w:w="3041"/>
            <w:vAlign w:val="center"/>
            <w:shd w:val="clear" w:fill="1D4ED8"/>
          </w:tcPr>
          <w:p>
            <w:pPr>
              <w:spacing w:before="60" w:after="60" w:line="276" w:lineRule="auto"/>
              <w:jc w:val="center"/>
            </w:pPr>
            <w:r>
              <w:rPr>
                <w:rFonts w:ascii="Calibri" w:hAnsi="Calibri"/>
                <w:b/>
                <w:color w:val="FFFFFF"/>
                <w:sz w:val="19"/>
              </w:rPr>
              <w:t>How Used in Dashboard</w:t>
            </w:r>
          </w:p>
        </w:tc>
      </w:tr>
      <w:tr>
        <w:tc>
          <w:tcPr>
            <w:tcW w:type="dxa" w:w="3041"/>
            <w:vAlign w:val="center"/>
          </w:tcPr>
          <w:p>
            <w:pPr>
              <w:spacing w:before="40" w:after="40" w:line="276" w:lineRule="auto"/>
            </w:pPr>
            <w:r>
              <w:rPr>
                <w:rFonts w:ascii="Calibri" w:hAnsi="Calibri"/>
                <w:sz w:val="19"/>
              </w:rPr>
              <w:t>Top opportunity niche</w:t>
            </w:r>
          </w:p>
        </w:tc>
        <w:tc>
          <w:tcPr>
            <w:tcW w:type="dxa" w:w="3041"/>
            <w:vAlign w:val="center"/>
          </w:tcPr>
          <w:p>
            <w:pPr>
              <w:spacing w:before="40" w:after="40" w:line="276" w:lineRule="auto"/>
            </w:pPr>
            <w:r>
              <w:rPr>
                <w:rFonts w:ascii="Calibri" w:hAnsi="Calibri"/>
                <w:sz w:val="19"/>
              </w:rPr>
              <w:t>Men's Swimwear: Opportunity Score 47.1; Official domination only 28.6%</w:t>
            </w:r>
          </w:p>
        </w:tc>
        <w:tc>
          <w:tcPr>
            <w:tcW w:type="dxa" w:w="3041"/>
            <w:vAlign w:val="center"/>
          </w:tcPr>
          <w:p>
            <w:pPr>
              <w:spacing w:before="40" w:after="40" w:line="276" w:lineRule="auto"/>
            </w:pPr>
            <w:r>
              <w:rPr>
                <w:rFonts w:ascii="Calibri" w:hAnsi="Calibri"/>
                <w:sz w:val="19"/>
              </w:rPr>
              <w:t>Shown as #1 on the Opportunity Score bar chart (Tab 2)</w:t>
            </w:r>
          </w:p>
        </w:tc>
      </w:tr>
      <w:tr>
        <w:tc>
          <w:tcPr>
            <w:tcW w:type="dxa" w:w="3041"/>
            <w:vAlign w:val="center"/>
          </w:tcPr>
          <w:p>
            <w:pPr>
              <w:spacing w:before="40" w:after="40" w:line="276" w:lineRule="auto"/>
            </w:pPr>
            <w:r>
              <w:rPr>
                <w:rFonts w:ascii="Calibri" w:hAnsi="Calibri"/>
                <w:sz w:val="19"/>
              </w:rPr>
              <w:t>Worst niche (SKU count vs revenue)</w:t>
            </w:r>
          </w:p>
        </w:tc>
        <w:tc>
          <w:tcPr>
            <w:tcW w:type="dxa" w:w="3041"/>
            <w:vAlign w:val="center"/>
          </w:tcPr>
          <w:p>
            <w:pPr>
              <w:spacing w:before="40" w:after="40" w:line="276" w:lineRule="auto"/>
            </w:pPr>
            <w:r>
              <w:rPr>
                <w:rFonts w:ascii="Calibri" w:hAnsi="Calibri"/>
                <w:sz w:val="19"/>
              </w:rPr>
              <w:t>Men's T-Shirts: 440 SKUs but average rating 1.70 / 5.0</w:t>
            </w:r>
          </w:p>
        </w:tc>
        <w:tc>
          <w:tcPr>
            <w:tcW w:type="dxa" w:w="3041"/>
            <w:vAlign w:val="center"/>
          </w:tcPr>
          <w:p>
            <w:pPr>
              <w:spacing w:before="40" w:after="40" w:line="276" w:lineRule="auto"/>
            </w:pPr>
            <w:r>
              <w:rPr>
                <w:rFonts w:ascii="Calibri" w:hAnsi="Calibri"/>
                <w:sz w:val="19"/>
              </w:rPr>
              <w:t>Flagged 'Watch' in Portfolio Matrix; badge visible on product cards (Tab 1)</w:t>
            </w:r>
          </w:p>
        </w:tc>
      </w:tr>
      <w:tr>
        <w:tc>
          <w:tcPr>
            <w:tcW w:type="dxa" w:w="3041"/>
            <w:vAlign w:val="center"/>
          </w:tcPr>
          <w:p>
            <w:pPr>
              <w:spacing w:before="40" w:after="40" w:line="276" w:lineRule="auto"/>
            </w:pPr>
            <w:r>
              <w:rPr>
                <w:rFonts w:ascii="Calibri" w:hAnsi="Calibri"/>
                <w:sz w:val="19"/>
              </w:rPr>
              <w:t>Official store monopoly</w:t>
            </w:r>
          </w:p>
        </w:tc>
        <w:tc>
          <w:tcPr>
            <w:tcW w:type="dxa" w:w="3041"/>
            <w:vAlign w:val="center"/>
          </w:tcPr>
          <w:p>
            <w:pPr>
              <w:spacing w:before="40" w:after="40" w:line="276" w:lineRule="auto"/>
            </w:pPr>
            <w:r>
              <w:rPr>
                <w:rFonts w:ascii="Calibri" w:hAnsi="Calibri"/>
                <w:sz w:val="19"/>
              </w:rPr>
              <w:t>Men's Shorts: 99.5% of sold_count from official stores</w:t>
            </w:r>
          </w:p>
        </w:tc>
        <w:tc>
          <w:tcPr>
            <w:tcW w:type="dxa" w:w="3041"/>
            <w:vAlign w:val="center"/>
          </w:tcPr>
          <w:p>
            <w:pPr>
              <w:spacing w:before="40" w:after="40" w:line="276" w:lineRule="auto"/>
            </w:pPr>
            <w:r>
              <w:rPr>
                <w:rFonts w:ascii="Calibri" w:hAnsi="Calibri"/>
                <w:sz w:val="19"/>
              </w:rPr>
              <w:t>Color-coded RED (low opportunity for regular sellers) on opportunity chart</w:t>
            </w:r>
          </w:p>
        </w:tc>
      </w:tr>
      <w:tr>
        <w:tc>
          <w:tcPr>
            <w:tcW w:type="dxa" w:w="3041"/>
            <w:vAlign w:val="center"/>
          </w:tcPr>
          <w:p>
            <w:pPr>
              <w:spacing w:before="40" w:after="40" w:line="276" w:lineRule="auto"/>
            </w:pPr>
            <w:r>
              <w:rPr>
                <w:rFonts w:ascii="Calibri" w:hAnsi="Calibri"/>
                <w:sz w:val="19"/>
              </w:rPr>
              <w:t>Highest revenue category</w:t>
            </w:r>
          </w:p>
        </w:tc>
        <w:tc>
          <w:tcPr>
            <w:tcW w:type="dxa" w:w="3041"/>
            <w:vAlign w:val="center"/>
          </w:tcPr>
          <w:p>
            <w:pPr>
              <w:spacing w:before="40" w:after="40" w:line="276" w:lineRule="auto"/>
            </w:pPr>
            <w:r>
              <w:rPr>
                <w:rFonts w:ascii="Calibri" w:hAnsi="Calibri"/>
                <w:sz w:val="19"/>
              </w:rPr>
              <w:t>Men's Underwear: Rev/SKU = 59.1 million VND; ROI 2.10×</w:t>
            </w:r>
          </w:p>
        </w:tc>
        <w:tc>
          <w:tcPr>
            <w:tcW w:type="dxa" w:w="3041"/>
            <w:vAlign w:val="center"/>
          </w:tcPr>
          <w:p>
            <w:pPr>
              <w:spacing w:before="40" w:after="40" w:line="276" w:lineRule="auto"/>
            </w:pPr>
            <w:r>
              <w:rPr>
                <w:rFonts w:ascii="Calibri" w:hAnsi="Calibri"/>
                <w:sz w:val="19"/>
              </w:rPr>
              <w:t>Allocated max budget in LP scenarios; shown as 'Invest' in portfolio matrix</w:t>
            </w:r>
          </w:p>
        </w:tc>
      </w:tr>
    </w:tbl>
    <w:p/>
    <w:p>
      <w:pPr>
        <w:pStyle w:val="Heading2"/>
        <w:spacing w:before="200" w:after="80"/>
      </w:pPr>
      <w:r>
        <w:rPr>
          <w:rFonts w:ascii="Calibri" w:hAnsi="Calibri"/>
          <w:b/>
          <w:color w:val="00695C"/>
          <w:sz w:val="26"/>
        </w:rPr>
        <w:t>Diagnostic Findings</w:t>
      </w:r>
    </w:p>
    <w:p>
      <w:pPr>
        <w:spacing w:before="40" w:after="100" w:line="276" w:lineRule="auto"/>
      </w:pPr>
      <w:r>
        <w:rPr>
          <w:rFonts w:ascii="Calibri" w:hAnsi="Calibri"/>
          <w:sz w:val="22"/>
        </w:rPr>
        <w:t>From ASG2 Step 2 (Diagnostic Analytics), the regression model revealed three key diagnostic findings about what drives sold_count in Men's Fashion:</w:t>
      </w:r>
    </w:p>
    <w:p>
      <w:pPr>
        <w:pStyle w:val="ListBullet"/>
        <w:spacing w:before="20" w:after="40" w:line="276" w:lineRule="auto"/>
        <w:ind w:left="454"/>
      </w:pPr>
      <w:r>
        <w:rPr>
          <w:rFonts w:ascii="Calibri" w:hAnsi="Calibri"/>
          <w:b/>
          <w:sz w:val="22"/>
        </w:rPr>
        <w:t xml:space="preserve">Finding 1 – Authenticity Effect: </w:t>
      </w:r>
      <w:r>
        <w:rPr>
          <w:rFonts w:ascii="Calibri" w:hAnsi="Calibri"/>
          <w:sz w:val="22"/>
        </w:rPr>
        <w:t>The authenticity label (is_authentic) has the largest positive impact on sales: coefficient = +0.798, meaning official-badge products sell e^0.798 ≈ 2.2× more than identical regular-store products at the same price.</w:t>
      </w:r>
    </w:p>
    <w:p>
      <w:pPr>
        <w:pStyle w:val="ListBullet"/>
        <w:spacing w:before="20" w:after="40" w:line="276" w:lineRule="auto"/>
        <w:ind w:left="454"/>
      </w:pPr>
      <w:r>
        <w:rPr>
          <w:rFonts w:ascii="Calibri" w:hAnsi="Calibri"/>
          <w:b/>
          <w:sz w:val="22"/>
        </w:rPr>
        <w:t xml:space="preserve">Finding 2 – Price Sensitivity Gap: </w:t>
      </w:r>
      <w:r>
        <w:rPr>
          <w:rFonts w:ascii="Calibri" w:hAnsi="Calibri"/>
          <w:sz w:val="22"/>
        </w:rPr>
        <w:t>Price has a negative effect on sales for regular sellers (coefficient = −1.31×10⁻⁶), but official stores experience 27% lower price sensitivity due to the positive interaction term (coef = +3.58×10⁻⁷).</w:t>
      </w:r>
    </w:p>
    <w:p>
      <w:pPr>
        <w:pStyle w:val="ListBullet"/>
        <w:spacing w:before="20" w:after="40" w:line="276" w:lineRule="auto"/>
        <w:ind w:left="454"/>
      </w:pPr>
      <w:r>
        <w:rPr>
          <w:rFonts w:ascii="Calibri" w:hAnsi="Calibri"/>
          <w:b/>
          <w:sz w:val="22"/>
        </w:rPr>
        <w:t xml:space="preserve">Finding 3 – Winning Threshold Combination: </w:t>
      </w:r>
      <w:r>
        <w:rPr>
          <w:rFonts w:ascii="Calibri" w:hAnsi="Calibri"/>
          <w:sz w:val="22"/>
        </w:rPr>
        <w:t>Regular sellers that win high sales undercut official stores by ≥15.2% on price, maintain rating ≥4.3, collect ≥14 reviews, and deliver within ≤2.6 days.</w:t>
      </w:r>
    </w:p>
    <w:p>
      <w:pPr>
        <w:pStyle w:val="Heading2"/>
        <w:spacing w:before="200" w:after="80"/>
      </w:pPr>
      <w:r>
        <w:rPr>
          <w:rFonts w:ascii="Calibri" w:hAnsi="Calibri"/>
          <w:b/>
          <w:color w:val="00695C"/>
          <w:sz w:val="26"/>
        </w:rPr>
        <w:t>Predictive Results</w:t>
      </w:r>
    </w:p>
    <w:p>
      <w:pPr>
        <w:spacing w:before="40" w:after="100" w:line="276" w:lineRule="auto"/>
      </w:pPr>
      <w:r>
        <w:rPr>
          <w:rFonts w:ascii="Calibri" w:hAnsi="Calibri"/>
          <w:sz w:val="22"/>
        </w:rPr>
        <w:t>From ASG2 Step 3 (Predictive Analytics), a linear time-series model was fitted on 9,625 historical sold_count records (Jun 26 – Jul 2, 2026) to project future demand per subcategory. Key predictions used in the dashboard: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fill="1D4ED8"/>
          </w:tcPr>
          <w:p>
            <w:pPr>
              <w:spacing w:before="60" w:after="60" w:line="276" w:lineRule="auto"/>
              <w:jc w:val="center"/>
            </w:pPr>
            <w:r>
              <w:rPr>
                <w:rFonts w:ascii="Calibri" w:hAnsi="Calibri"/>
                <w:b/>
                <w:color w:val="FFFFFF"/>
                <w:sz w:val="19"/>
              </w:rPr>
              <w:t>Subcategory</w:t>
            </w:r>
          </w:p>
        </w:tc>
        <w:tc>
          <w:tcPr>
            <w:tcW w:type="dxa" w:w="2280"/>
            <w:vAlign w:val="center"/>
            <w:shd w:val="clear" w:fill="1D4ED8"/>
          </w:tcPr>
          <w:p>
            <w:pPr>
              <w:spacing w:before="60" w:after="60" w:line="276" w:lineRule="auto"/>
              <w:jc w:val="center"/>
            </w:pPr>
            <w:r>
              <w:rPr>
                <w:rFonts w:ascii="Calibri" w:hAnsi="Calibri"/>
                <w:b/>
                <w:color w:val="FFFFFF"/>
                <w:sz w:val="19"/>
              </w:rPr>
              <w:t>Current Sold (snapshot)</w:t>
            </w:r>
          </w:p>
        </w:tc>
        <w:tc>
          <w:tcPr>
            <w:tcW w:type="dxa" w:w="2280"/>
            <w:vAlign w:val="center"/>
            <w:shd w:val="clear" w:fill="1D4ED8"/>
          </w:tcPr>
          <w:p>
            <w:pPr>
              <w:spacing w:before="60" w:after="60" w:line="276" w:lineRule="auto"/>
              <w:jc w:val="center"/>
            </w:pPr>
            <w:r>
              <w:rPr>
                <w:rFonts w:ascii="Calibri" w:hAnsi="Calibri"/>
                <w:b/>
                <w:color w:val="FFFFFF"/>
                <w:sz w:val="19"/>
              </w:rPr>
              <w:t>30-Day Prediction</w:t>
            </w:r>
          </w:p>
        </w:tc>
        <w:tc>
          <w:tcPr>
            <w:tcW w:type="dxa" w:w="2280"/>
            <w:vAlign w:val="center"/>
            <w:shd w:val="clear" w:fill="1D4ED8"/>
          </w:tcPr>
          <w:p>
            <w:pPr>
              <w:spacing w:before="60" w:after="60" w:line="276" w:lineRule="auto"/>
              <w:jc w:val="center"/>
            </w:pPr>
            <w:r>
              <w:rPr>
                <w:rFonts w:ascii="Calibri" w:hAnsi="Calibri"/>
                <w:b/>
                <w:color w:val="FFFFFF"/>
                <w:sz w:val="19"/>
              </w:rPr>
              <w:t>Growth Rate</w:t>
            </w:r>
          </w:p>
        </w:tc>
      </w:tr>
      <w:tr>
        <w:tc>
          <w:tcPr>
            <w:tcW w:type="dxa" w:w="2280"/>
            <w:vAlign w:val="center"/>
          </w:tcPr>
          <w:p>
            <w:pPr>
              <w:spacing w:before="40" w:after="40" w:line="276" w:lineRule="auto"/>
            </w:pPr>
            <w:r>
              <w:rPr>
                <w:rFonts w:ascii="Calibri" w:hAnsi="Calibri"/>
                <w:sz w:val="19"/>
              </w:rPr>
              <w:t>Men's Underwear</w:t>
            </w:r>
          </w:p>
        </w:tc>
        <w:tc>
          <w:tcPr>
            <w:tcW w:type="dxa" w:w="2280"/>
            <w:vAlign w:val="center"/>
          </w:tcPr>
          <w:p>
            <w:pPr>
              <w:spacing w:before="40" w:after="40" w:line="276" w:lineRule="auto"/>
            </w:pPr>
            <w:r>
              <w:rPr>
                <w:rFonts w:ascii="Calibri" w:hAnsi="Calibri"/>
                <w:sz w:val="19"/>
              </w:rPr>
              <w:t>23,143 units</w:t>
            </w:r>
          </w:p>
        </w:tc>
        <w:tc>
          <w:tcPr>
            <w:tcW w:type="dxa" w:w="2280"/>
            <w:vAlign w:val="center"/>
          </w:tcPr>
          <w:p>
            <w:pPr>
              <w:spacing w:before="40" w:after="40" w:line="276" w:lineRule="auto"/>
            </w:pPr>
            <w:r>
              <w:rPr>
                <w:rFonts w:ascii="Calibri" w:hAnsi="Calibri"/>
                <w:sz w:val="19"/>
              </w:rPr>
              <w:t>~27,800 units</w:t>
            </w:r>
          </w:p>
        </w:tc>
        <w:tc>
          <w:tcPr>
            <w:tcW w:type="dxa" w:w="2280"/>
            <w:vAlign w:val="center"/>
          </w:tcPr>
          <w:p>
            <w:pPr>
              <w:spacing w:before="40" w:after="40" w:line="276" w:lineRule="auto"/>
            </w:pPr>
            <w:r>
              <w:rPr>
                <w:rFonts w:ascii="Calibri" w:hAnsi="Calibri"/>
                <w:sz w:val="19"/>
              </w:rPr>
              <w:t>+20.1%</w:t>
            </w:r>
          </w:p>
        </w:tc>
      </w:tr>
      <w:tr>
        <w:tc>
          <w:tcPr>
            <w:tcW w:type="dxa" w:w="2280"/>
            <w:vAlign w:val="center"/>
          </w:tcPr>
          <w:p>
            <w:pPr>
              <w:spacing w:before="40" w:after="40" w:line="276" w:lineRule="auto"/>
            </w:pPr>
            <w:r>
              <w:rPr>
                <w:rFonts w:ascii="Calibri" w:hAnsi="Calibri"/>
                <w:sz w:val="19"/>
              </w:rPr>
              <w:t>Men's Shorts</w:t>
            </w:r>
          </w:p>
        </w:tc>
        <w:tc>
          <w:tcPr>
            <w:tcW w:type="dxa" w:w="2280"/>
            <w:vAlign w:val="center"/>
          </w:tcPr>
          <w:p>
            <w:pPr>
              <w:spacing w:before="40" w:after="40" w:line="276" w:lineRule="auto"/>
            </w:pPr>
            <w:r>
              <w:rPr>
                <w:rFonts w:ascii="Calibri" w:hAnsi="Calibri"/>
                <w:sz w:val="19"/>
              </w:rPr>
              <w:t>28,691 units</w:t>
            </w:r>
          </w:p>
        </w:tc>
        <w:tc>
          <w:tcPr>
            <w:tcW w:type="dxa" w:w="2280"/>
            <w:vAlign w:val="center"/>
          </w:tcPr>
          <w:p>
            <w:pPr>
              <w:spacing w:before="40" w:after="40" w:line="276" w:lineRule="auto"/>
            </w:pPr>
            <w:r>
              <w:rPr>
                <w:rFonts w:ascii="Calibri" w:hAnsi="Calibri"/>
                <w:sz w:val="19"/>
              </w:rPr>
              <w:t>~34,100 units</w:t>
            </w:r>
          </w:p>
        </w:tc>
        <w:tc>
          <w:tcPr>
            <w:tcW w:type="dxa" w:w="2280"/>
            <w:vAlign w:val="center"/>
          </w:tcPr>
          <w:p>
            <w:pPr>
              <w:spacing w:before="40" w:after="40" w:line="276" w:lineRule="auto"/>
            </w:pPr>
            <w:r>
              <w:rPr>
                <w:rFonts w:ascii="Calibri" w:hAnsi="Calibri"/>
                <w:sz w:val="19"/>
              </w:rPr>
              <w:t>+18.9%</w:t>
            </w:r>
          </w:p>
        </w:tc>
      </w:tr>
      <w:tr>
        <w:tc>
          <w:tcPr>
            <w:tcW w:type="dxa" w:w="2280"/>
            <w:vAlign w:val="center"/>
          </w:tcPr>
          <w:p>
            <w:pPr>
              <w:spacing w:before="40" w:after="40" w:line="276" w:lineRule="auto"/>
            </w:pPr>
            <w:r>
              <w:rPr>
                <w:rFonts w:ascii="Calibri" w:hAnsi="Calibri"/>
                <w:sz w:val="19"/>
              </w:rPr>
              <w:t>Men's Swimwear</w:t>
            </w:r>
          </w:p>
        </w:tc>
        <w:tc>
          <w:tcPr>
            <w:tcW w:type="dxa" w:w="2280"/>
            <w:vAlign w:val="center"/>
          </w:tcPr>
          <w:p>
            <w:pPr>
              <w:spacing w:before="40" w:after="40" w:line="276" w:lineRule="auto"/>
            </w:pPr>
            <w:r>
              <w:rPr>
                <w:rFonts w:ascii="Calibri" w:hAnsi="Calibri"/>
                <w:sz w:val="19"/>
              </w:rPr>
              <w:t>605 units</w:t>
            </w:r>
          </w:p>
        </w:tc>
        <w:tc>
          <w:tcPr>
            <w:tcW w:type="dxa" w:w="2280"/>
            <w:vAlign w:val="center"/>
          </w:tcPr>
          <w:p>
            <w:pPr>
              <w:spacing w:before="40" w:after="40" w:line="276" w:lineRule="auto"/>
            </w:pPr>
            <w:r>
              <w:rPr>
                <w:rFonts w:ascii="Calibri" w:hAnsi="Calibri"/>
                <w:sz w:val="19"/>
              </w:rPr>
              <w:t>~730 units</w:t>
            </w:r>
          </w:p>
        </w:tc>
        <w:tc>
          <w:tcPr>
            <w:tcW w:type="dxa" w:w="2280"/>
            <w:vAlign w:val="center"/>
          </w:tcPr>
          <w:p>
            <w:pPr>
              <w:spacing w:before="40" w:after="40" w:line="276" w:lineRule="auto"/>
            </w:pPr>
            <w:r>
              <w:rPr>
                <w:rFonts w:ascii="Calibri" w:hAnsi="Calibri"/>
                <w:sz w:val="19"/>
              </w:rPr>
              <w:t>+20.7%</w:t>
            </w:r>
          </w:p>
        </w:tc>
      </w:tr>
      <w:tr>
        <w:tc>
          <w:tcPr>
            <w:tcW w:type="dxa" w:w="2280"/>
            <w:vAlign w:val="center"/>
          </w:tcPr>
          <w:p>
            <w:pPr>
              <w:spacing w:before="40" w:after="40" w:line="276" w:lineRule="auto"/>
            </w:pPr>
            <w:r>
              <w:rPr>
                <w:rFonts w:ascii="Calibri" w:hAnsi="Calibri"/>
                <w:sz w:val="19"/>
              </w:rPr>
              <w:t>Men's Blazers/Jackets</w:t>
            </w:r>
          </w:p>
        </w:tc>
        <w:tc>
          <w:tcPr>
            <w:tcW w:type="dxa" w:w="2280"/>
            <w:vAlign w:val="center"/>
          </w:tcPr>
          <w:p>
            <w:pPr>
              <w:spacing w:before="40" w:after="40" w:line="276" w:lineRule="auto"/>
            </w:pPr>
            <w:r>
              <w:rPr>
                <w:rFonts w:ascii="Calibri" w:hAnsi="Calibri"/>
                <w:sz w:val="19"/>
              </w:rPr>
              <w:t>17,741 units</w:t>
            </w:r>
          </w:p>
        </w:tc>
        <w:tc>
          <w:tcPr>
            <w:tcW w:type="dxa" w:w="2280"/>
            <w:vAlign w:val="center"/>
          </w:tcPr>
          <w:p>
            <w:pPr>
              <w:spacing w:before="40" w:after="40" w:line="276" w:lineRule="auto"/>
            </w:pPr>
            <w:r>
              <w:rPr>
                <w:rFonts w:ascii="Calibri" w:hAnsi="Calibri"/>
                <w:sz w:val="19"/>
              </w:rPr>
              <w:t>~21,200 units</w:t>
            </w:r>
          </w:p>
        </w:tc>
        <w:tc>
          <w:tcPr>
            <w:tcW w:type="dxa" w:w="2280"/>
            <w:vAlign w:val="center"/>
          </w:tcPr>
          <w:p>
            <w:pPr>
              <w:spacing w:before="40" w:after="40" w:line="276" w:lineRule="auto"/>
            </w:pPr>
            <w:r>
              <w:rPr>
                <w:rFonts w:ascii="Calibri" w:hAnsi="Calibri"/>
                <w:sz w:val="19"/>
              </w:rPr>
              <w:t>+19.5%</w:t>
            </w:r>
          </w:p>
        </w:tc>
      </w:tr>
    </w:tbl>
    <w:p/>
    <w:p>
      <w:pPr>
        <w:spacing w:before="0" w:after="80" w:line="276" w:lineRule="auto"/>
      </w:pPr>
      <w:r>
        <w:rPr>
          <w:i/>
          <w:sz w:val="18"/>
        </w:rPr>
        <w:t>* Predictions from the linear regression forecast model; 95% CI displayed as shaded band in Tab 4.</w:t>
      </w:r>
    </w:p>
    <w:p>
      <w:pPr>
        <w:pStyle w:val="Heading2"/>
        <w:spacing w:before="200" w:after="80"/>
      </w:pPr>
      <w:r>
        <w:rPr>
          <w:rFonts w:ascii="Calibri" w:hAnsi="Calibri"/>
          <w:b/>
          <w:color w:val="00695C"/>
          <w:sz w:val="26"/>
        </w:rPr>
        <w:t>What-If Scenarios</w:t>
      </w:r>
    </w:p>
    <w:p>
      <w:pPr>
        <w:spacing w:before="40" w:after="100" w:line="276" w:lineRule="auto"/>
      </w:pPr>
      <w:r>
        <w:rPr>
          <w:rFonts w:ascii="Calibri" w:hAnsi="Calibri"/>
          <w:sz w:val="22"/>
        </w:rPr>
        <w:t>From ASG2 Step 4 (What-If Analysis), three capital allocation scenarios were solved using Linear Programming (scipy.optimize.linprog). These are the direct inputs to the Capital Allocator tab:</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fill="1D4ED8"/>
          </w:tcPr>
          <w:p>
            <w:pPr>
              <w:spacing w:before="60" w:after="60" w:line="276" w:lineRule="auto"/>
              <w:jc w:val="center"/>
            </w:pPr>
            <w:r>
              <w:rPr>
                <w:rFonts w:ascii="Calibri" w:hAnsi="Calibri"/>
                <w:b/>
                <w:color w:val="FFFFFF"/>
                <w:sz w:val="19"/>
              </w:rPr>
              <w:t>Scenario</w:t>
            </w:r>
          </w:p>
        </w:tc>
        <w:tc>
          <w:tcPr>
            <w:tcW w:type="dxa" w:w="2280"/>
            <w:vAlign w:val="center"/>
            <w:shd w:val="clear" w:fill="1D4ED8"/>
          </w:tcPr>
          <w:p>
            <w:pPr>
              <w:spacing w:before="60" w:after="60" w:line="276" w:lineRule="auto"/>
              <w:jc w:val="center"/>
            </w:pPr>
            <w:r>
              <w:rPr>
                <w:rFonts w:ascii="Calibri" w:hAnsi="Calibri"/>
                <w:b/>
                <w:color w:val="FFFFFF"/>
                <w:sz w:val="19"/>
              </w:rPr>
              <w:t>Budget</w:t>
            </w:r>
          </w:p>
        </w:tc>
        <w:tc>
          <w:tcPr>
            <w:tcW w:type="dxa" w:w="2280"/>
            <w:vAlign w:val="center"/>
            <w:shd w:val="clear" w:fill="1D4ED8"/>
          </w:tcPr>
          <w:p>
            <w:pPr>
              <w:spacing w:before="60" w:after="60" w:line="276" w:lineRule="auto"/>
              <w:jc w:val="center"/>
            </w:pPr>
            <w:r>
              <w:rPr>
                <w:rFonts w:ascii="Calibri" w:hAnsi="Calibri"/>
                <w:b/>
                <w:color w:val="FFFFFF"/>
                <w:sz w:val="19"/>
              </w:rPr>
              <w:t>Key Reallocation vs. Base</w:t>
            </w:r>
          </w:p>
        </w:tc>
        <w:tc>
          <w:tcPr>
            <w:tcW w:type="dxa" w:w="2280"/>
            <w:vAlign w:val="center"/>
            <w:shd w:val="clear" w:fill="1D4ED8"/>
          </w:tcPr>
          <w:p>
            <w:pPr>
              <w:spacing w:before="60" w:after="60" w:line="276" w:lineRule="auto"/>
              <w:jc w:val="center"/>
            </w:pPr>
            <w:r>
              <w:rPr>
                <w:rFonts w:ascii="Calibri" w:hAnsi="Calibri"/>
                <w:b/>
                <w:color w:val="FFFFFF"/>
                <w:sz w:val="19"/>
              </w:rPr>
              <w:t>LP Outcome</w:t>
            </w:r>
          </w:p>
        </w:tc>
      </w:tr>
      <w:tr>
        <w:tc>
          <w:tcPr>
            <w:tcW w:type="dxa" w:w="2280"/>
            <w:vAlign w:val="center"/>
          </w:tcPr>
          <w:p>
            <w:pPr>
              <w:spacing w:before="40" w:after="40" w:line="276" w:lineRule="auto"/>
            </w:pPr>
            <w:r>
              <w:rPr>
                <w:rFonts w:ascii="Calibri" w:hAnsi="Calibri"/>
                <w:sz w:val="19"/>
              </w:rPr>
              <w:t>Base Budget</w:t>
            </w:r>
          </w:p>
        </w:tc>
        <w:tc>
          <w:tcPr>
            <w:tcW w:type="dxa" w:w="2280"/>
            <w:vAlign w:val="center"/>
          </w:tcPr>
          <w:p>
            <w:pPr>
              <w:spacing w:before="40" w:after="40" w:line="276" w:lineRule="auto"/>
            </w:pPr>
            <w:r>
              <w:rPr>
                <w:rFonts w:ascii="Calibri" w:hAnsi="Calibri"/>
                <w:sz w:val="19"/>
              </w:rPr>
              <w:t>1,000,000,000 VND</w:t>
            </w:r>
          </w:p>
        </w:tc>
        <w:tc>
          <w:tcPr>
            <w:tcW w:type="dxa" w:w="2280"/>
            <w:vAlign w:val="center"/>
          </w:tcPr>
          <w:p>
            <w:pPr>
              <w:spacing w:before="40" w:after="40" w:line="276" w:lineRule="auto"/>
            </w:pPr>
            <w:r>
              <w:rPr>
                <w:rFonts w:ascii="Calibri" w:hAnsi="Calibri"/>
                <w:sz w:val="19"/>
              </w:rPr>
              <w:t>Reference allocation</w:t>
            </w:r>
          </w:p>
        </w:tc>
        <w:tc>
          <w:tcPr>
            <w:tcW w:type="dxa" w:w="2280"/>
            <w:vAlign w:val="center"/>
          </w:tcPr>
          <w:p>
            <w:pPr>
              <w:spacing w:before="40" w:after="40" w:line="276" w:lineRule="auto"/>
            </w:pPr>
            <w:r>
              <w:rPr>
                <w:rFonts w:ascii="Calibri" w:hAnsi="Calibri"/>
                <w:sz w:val="19"/>
              </w:rPr>
              <w:t>Men's Underwear 500M; Men's Shorts 390M; all others at 10M safety stock</w:t>
            </w:r>
          </w:p>
        </w:tc>
      </w:tr>
      <w:tr>
        <w:tc>
          <w:tcPr>
            <w:tcW w:type="dxa" w:w="2280"/>
            <w:vAlign w:val="center"/>
          </w:tcPr>
          <w:p>
            <w:pPr>
              <w:spacing w:before="40" w:after="40" w:line="276" w:lineRule="auto"/>
            </w:pPr>
            <w:r>
              <w:rPr>
                <w:rFonts w:ascii="Calibri" w:hAnsi="Calibri"/>
                <w:sz w:val="19"/>
              </w:rPr>
              <w:t>Budget −20%</w:t>
            </w:r>
          </w:p>
        </w:tc>
        <w:tc>
          <w:tcPr>
            <w:tcW w:type="dxa" w:w="2280"/>
            <w:vAlign w:val="center"/>
          </w:tcPr>
          <w:p>
            <w:pPr>
              <w:spacing w:before="40" w:after="40" w:line="276" w:lineRule="auto"/>
            </w:pPr>
            <w:r>
              <w:rPr>
                <w:rFonts w:ascii="Calibri" w:hAnsi="Calibri"/>
                <w:sz w:val="19"/>
              </w:rPr>
              <w:t>800,000,000 VND</w:t>
            </w:r>
          </w:p>
        </w:tc>
        <w:tc>
          <w:tcPr>
            <w:tcW w:type="dxa" w:w="2280"/>
            <w:vAlign w:val="center"/>
          </w:tcPr>
          <w:p>
            <w:pPr>
              <w:spacing w:before="40" w:after="40" w:line="276" w:lineRule="auto"/>
            </w:pPr>
            <w:r>
              <w:rPr>
                <w:rFonts w:ascii="Calibri" w:hAnsi="Calibri"/>
                <w:sz w:val="19"/>
              </w:rPr>
              <w:t>Men's Shorts cut from 390M → 190M; Underwear protected at 500M</w:t>
            </w:r>
          </w:p>
        </w:tc>
        <w:tc>
          <w:tcPr>
            <w:tcW w:type="dxa" w:w="2280"/>
            <w:vAlign w:val="center"/>
          </w:tcPr>
          <w:p>
            <w:pPr>
              <w:spacing w:before="40" w:after="40" w:line="276" w:lineRule="auto"/>
            </w:pPr>
            <w:r>
              <w:rPr>
                <w:rFonts w:ascii="Calibri" w:hAnsi="Calibri"/>
                <w:sz w:val="19"/>
              </w:rPr>
              <w:t>Total ROI decreases 7.2%; Underwear remains anchor category</w:t>
            </w:r>
          </w:p>
        </w:tc>
      </w:tr>
      <w:tr>
        <w:tc>
          <w:tcPr>
            <w:tcW w:type="dxa" w:w="2280"/>
            <w:vAlign w:val="center"/>
          </w:tcPr>
          <w:p>
            <w:pPr>
              <w:spacing w:before="40" w:after="40" w:line="276" w:lineRule="auto"/>
            </w:pPr>
            <w:r>
              <w:rPr>
                <w:rFonts w:ascii="Calibri" w:hAnsi="Calibri"/>
                <w:sz w:val="19"/>
              </w:rPr>
              <w:t>Budget +30%</w:t>
            </w:r>
          </w:p>
        </w:tc>
        <w:tc>
          <w:tcPr>
            <w:tcW w:type="dxa" w:w="2280"/>
            <w:vAlign w:val="center"/>
          </w:tcPr>
          <w:p>
            <w:pPr>
              <w:spacing w:before="40" w:after="40" w:line="276" w:lineRule="auto"/>
            </w:pPr>
            <w:r>
              <w:rPr>
                <w:rFonts w:ascii="Calibri" w:hAnsi="Calibri"/>
                <w:sz w:val="19"/>
              </w:rPr>
              <w:t>1,300,000,000 VND</w:t>
            </w:r>
          </w:p>
        </w:tc>
        <w:tc>
          <w:tcPr>
            <w:tcW w:type="dxa" w:w="2280"/>
            <w:vAlign w:val="center"/>
          </w:tcPr>
          <w:p>
            <w:pPr>
              <w:spacing w:before="40" w:after="40" w:line="276" w:lineRule="auto"/>
            </w:pPr>
            <w:r>
              <w:rPr>
                <w:rFonts w:ascii="Calibri" w:hAnsi="Calibri"/>
                <w:sz w:val="19"/>
              </w:rPr>
              <w:t>After filling Underwear (500M) and Shorts (500M), surplus goes to T-Shirts (190M)</w:t>
            </w:r>
          </w:p>
        </w:tc>
        <w:tc>
          <w:tcPr>
            <w:tcW w:type="dxa" w:w="2280"/>
            <w:vAlign w:val="center"/>
          </w:tcPr>
          <w:p>
            <w:pPr>
              <w:spacing w:before="40" w:after="40" w:line="276" w:lineRule="auto"/>
            </w:pPr>
            <w:r>
              <w:rPr>
                <w:rFonts w:ascii="Calibri" w:hAnsi="Calibri"/>
                <w:sz w:val="19"/>
              </w:rPr>
              <w:t>Total ROI increases 13.4%; T-Shirts added as third priority category</w:t>
            </w:r>
          </w:p>
        </w:tc>
      </w:tr>
      <w:tr>
        <w:tc>
          <w:tcPr>
            <w:tcW w:type="dxa" w:w="2280"/>
            <w:vAlign w:val="center"/>
          </w:tcPr>
          <w:p>
            <w:pPr>
              <w:spacing w:before="40" w:after="40" w:line="276" w:lineRule="auto"/>
            </w:pPr>
            <w:r>
              <w:rPr>
                <w:rFonts w:ascii="Calibri" w:hAnsi="Calibri"/>
                <w:sz w:val="19"/>
              </w:rPr>
              <w:t>Tiki Fee Change</w:t>
            </w:r>
          </w:p>
        </w:tc>
        <w:tc>
          <w:tcPr>
            <w:tcW w:type="dxa" w:w="2280"/>
            <w:vAlign w:val="center"/>
          </w:tcPr>
          <w:p>
            <w:pPr>
              <w:spacing w:before="40" w:after="40" w:line="276" w:lineRule="auto"/>
            </w:pPr>
            <w:r>
              <w:rPr>
                <w:rFonts w:ascii="Calibri" w:hAnsi="Calibri"/>
                <w:sz w:val="19"/>
              </w:rPr>
              <w:t>1,000,000,000 VND</w:t>
            </w:r>
          </w:p>
        </w:tc>
        <w:tc>
          <w:tcPr>
            <w:tcW w:type="dxa" w:w="2280"/>
            <w:vAlign w:val="center"/>
          </w:tcPr>
          <w:p>
            <w:pPr>
              <w:spacing w:before="40" w:after="40" w:line="276" w:lineRule="auto"/>
            </w:pPr>
            <w:r>
              <w:rPr>
                <w:rFonts w:ascii="Calibri" w:hAnsi="Calibri"/>
                <w:sz w:val="19"/>
              </w:rPr>
              <w:t>Apparel fee increase reduces ROI of clothing categories; capital shifts to Accessories</w:t>
            </w:r>
          </w:p>
        </w:tc>
        <w:tc>
          <w:tcPr>
            <w:tcW w:type="dxa" w:w="2280"/>
            <w:vAlign w:val="center"/>
          </w:tcPr>
          <w:p>
            <w:pPr>
              <w:spacing w:before="40" w:after="40" w:line="276" w:lineRule="auto"/>
            </w:pPr>
            <w:r>
              <w:rPr>
                <w:rFonts w:ascii="Calibri" w:hAnsi="Calibri"/>
                <w:sz w:val="19"/>
              </w:rPr>
              <w:t>LP reallocates away from T-Shirts and Shorts; Underwear still optimal</w:t>
            </w:r>
          </w:p>
        </w:tc>
      </w:tr>
    </w:tbl>
    <w:p/>
    <w:p>
      <w:pPr>
        <w:pStyle w:val="Heading2"/>
        <w:spacing w:before="200" w:after="80"/>
      </w:pPr>
      <w:r>
        <w:rPr>
          <w:rFonts w:ascii="Calibri" w:hAnsi="Calibri"/>
          <w:b/>
          <w:color w:val="00695C"/>
          <w:sz w:val="26"/>
        </w:rPr>
        <w:t>Decision Recommendations</w:t>
      </w:r>
    </w:p>
    <w:p>
      <w:pPr>
        <w:spacing w:before="40" w:after="100" w:line="276" w:lineRule="auto"/>
      </w:pPr>
      <w:r>
        <w:rPr>
          <w:rFonts w:ascii="Calibri" w:hAnsi="Calibri"/>
          <w:sz w:val="22"/>
        </w:rPr>
        <w:t>From ASG2 Step 5 (Decision Recommendations), the portfolio classification matrix produced three clear action groups used as the basis for the dashboard's recommendation panels:</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fill="1D4ED8"/>
          </w:tcPr>
          <w:p>
            <w:pPr>
              <w:spacing w:before="60" w:after="60" w:line="276" w:lineRule="auto"/>
              <w:jc w:val="center"/>
            </w:pPr>
            <w:r>
              <w:rPr>
                <w:rFonts w:ascii="Calibri" w:hAnsi="Calibri"/>
                <w:b/>
                <w:color w:val="FFFFFF"/>
                <w:sz w:val="19"/>
              </w:rPr>
              <w:t>Recommendation Group</w:t>
            </w:r>
          </w:p>
        </w:tc>
        <w:tc>
          <w:tcPr>
            <w:tcW w:type="dxa" w:w="3041"/>
            <w:vAlign w:val="center"/>
            <w:shd w:val="clear" w:fill="1D4ED8"/>
          </w:tcPr>
          <w:p>
            <w:pPr>
              <w:spacing w:before="60" w:after="60" w:line="276" w:lineRule="auto"/>
              <w:jc w:val="center"/>
            </w:pPr>
            <w:r>
              <w:rPr>
                <w:rFonts w:ascii="Calibri" w:hAnsi="Calibri"/>
                <w:b/>
                <w:color w:val="FFFFFF"/>
                <w:sz w:val="19"/>
              </w:rPr>
              <w:t>Target Categories</w:t>
            </w:r>
          </w:p>
        </w:tc>
        <w:tc>
          <w:tcPr>
            <w:tcW w:type="dxa" w:w="3041"/>
            <w:vAlign w:val="center"/>
            <w:shd w:val="clear" w:fill="1D4ED8"/>
          </w:tcPr>
          <w:p>
            <w:pPr>
              <w:spacing w:before="60" w:after="60" w:line="276" w:lineRule="auto"/>
              <w:jc w:val="center"/>
            </w:pPr>
            <w:r>
              <w:rPr>
                <w:rFonts w:ascii="Calibri" w:hAnsi="Calibri"/>
                <w:b/>
                <w:color w:val="FFFFFF"/>
                <w:sz w:val="19"/>
              </w:rPr>
              <w:t>Recommended Action</w:t>
            </w:r>
          </w:p>
        </w:tc>
      </w:tr>
      <w:tr>
        <w:tc>
          <w:tcPr>
            <w:tcW w:type="dxa" w:w="3041"/>
            <w:vAlign w:val="center"/>
          </w:tcPr>
          <w:p>
            <w:pPr>
              <w:spacing w:before="40" w:after="40" w:line="276" w:lineRule="auto"/>
            </w:pPr>
            <w:r>
              <w:rPr>
                <w:rFonts w:ascii="Calibri" w:hAnsi="Calibri"/>
                <w:sz w:val="19"/>
              </w:rPr>
              <w:t>Invest / Expand</w:t>
            </w:r>
          </w:p>
        </w:tc>
        <w:tc>
          <w:tcPr>
            <w:tcW w:type="dxa" w:w="3041"/>
            <w:vAlign w:val="center"/>
          </w:tcPr>
          <w:p>
            <w:pPr>
              <w:spacing w:before="40" w:after="40" w:line="276" w:lineRule="auto"/>
            </w:pPr>
            <w:r>
              <w:rPr>
                <w:rFonts w:ascii="Calibri" w:hAnsi="Calibri"/>
                <w:sz w:val="19"/>
              </w:rPr>
              <w:t>Men's Underwear, Men's Shorts, Men's Swimwear</w:t>
            </w:r>
          </w:p>
        </w:tc>
        <w:tc>
          <w:tcPr>
            <w:tcW w:type="dxa" w:w="3041"/>
            <w:vAlign w:val="center"/>
          </w:tcPr>
          <w:p>
            <w:pPr>
              <w:spacing w:before="40" w:after="40" w:line="276" w:lineRule="auto"/>
            </w:pPr>
            <w:r>
              <w:rPr>
                <w:rFonts w:ascii="Calibri" w:hAnsi="Calibri"/>
                <w:sz w:val="19"/>
              </w:rPr>
              <w:t>Allocate ≥90% of capital here. Apply revenue-maximizing pricing. Expand SKU variety.</w:t>
            </w:r>
          </w:p>
        </w:tc>
      </w:tr>
      <w:tr>
        <w:tc>
          <w:tcPr>
            <w:tcW w:type="dxa" w:w="3041"/>
            <w:vAlign w:val="center"/>
          </w:tcPr>
          <w:p>
            <w:pPr>
              <w:spacing w:before="40" w:after="40" w:line="276" w:lineRule="auto"/>
            </w:pPr>
            <w:r>
              <w:rPr>
                <w:rFonts w:ascii="Calibri" w:hAnsi="Calibri"/>
                <w:sz w:val="19"/>
              </w:rPr>
              <w:t>Watch / Quality Audit</w:t>
            </w:r>
          </w:p>
        </w:tc>
        <w:tc>
          <w:tcPr>
            <w:tcW w:type="dxa" w:w="3041"/>
            <w:vAlign w:val="center"/>
          </w:tcPr>
          <w:p>
            <w:pPr>
              <w:spacing w:before="40" w:after="40" w:line="276" w:lineRule="auto"/>
            </w:pPr>
            <w:r>
              <w:rPr>
                <w:rFonts w:ascii="Calibri" w:hAnsi="Calibri"/>
                <w:sz w:val="19"/>
              </w:rPr>
              <w:t>Men's T-Shirts, Men's Shirts</w:t>
            </w:r>
          </w:p>
        </w:tc>
        <w:tc>
          <w:tcPr>
            <w:tcW w:type="dxa" w:w="3041"/>
            <w:vAlign w:val="center"/>
          </w:tcPr>
          <w:p>
            <w:pPr>
              <w:spacing w:before="40" w:after="40" w:line="276" w:lineRule="auto"/>
            </w:pPr>
            <w:r>
              <w:rPr>
                <w:rFonts w:ascii="Calibri" w:hAnsi="Calibri"/>
                <w:sz w:val="19"/>
              </w:rPr>
              <w:t>Suspend new SKU additions. Address quality/rating issues (current avg: 1.70/5.0). Re-evaluate after 30 days.</w:t>
            </w:r>
          </w:p>
        </w:tc>
      </w:tr>
      <w:tr>
        <w:tc>
          <w:tcPr>
            <w:tcW w:type="dxa" w:w="3041"/>
            <w:vAlign w:val="center"/>
          </w:tcPr>
          <w:p>
            <w:pPr>
              <w:spacing w:before="40" w:after="40" w:line="276" w:lineRule="auto"/>
            </w:pPr>
            <w:r>
              <w:rPr>
                <w:rFonts w:ascii="Calibri" w:hAnsi="Calibri"/>
                <w:sz w:val="19"/>
              </w:rPr>
              <w:t>Divest / Drop</w:t>
            </w:r>
          </w:p>
        </w:tc>
        <w:tc>
          <w:tcPr>
            <w:tcW w:type="dxa" w:w="3041"/>
            <w:vAlign w:val="center"/>
          </w:tcPr>
          <w:p>
            <w:pPr>
              <w:spacing w:before="40" w:after="40" w:line="276" w:lineRule="auto"/>
            </w:pPr>
            <w:r>
              <w:rPr>
                <w:rFonts w:ascii="Calibri" w:hAnsi="Calibri"/>
                <w:sz w:val="19"/>
              </w:rPr>
              <w:t>Men's Hoodies, Men's Outfits, Women's Tops</w:t>
            </w:r>
          </w:p>
        </w:tc>
        <w:tc>
          <w:tcPr>
            <w:tcW w:type="dxa" w:w="3041"/>
            <w:vAlign w:val="center"/>
          </w:tcPr>
          <w:p>
            <w:pPr>
              <w:spacing w:before="40" w:after="40" w:line="276" w:lineRule="auto"/>
            </w:pPr>
            <w:r>
              <w:rPr>
                <w:rFonts w:ascii="Calibri" w:hAnsi="Calibri"/>
                <w:sz w:val="19"/>
              </w:rPr>
              <w:t>Clear inventory below cost price. Do not re-order. Reallocate freed capital to Invest group.</w:t>
            </w:r>
          </w:p>
        </w:tc>
      </w:tr>
    </w:tbl>
    <w:p/>
    <w:p>
      <w:pPr>
        <w:pStyle w:val="Heading1"/>
        <w:spacing w:before="280" w:after="120"/>
      </w:pPr>
      <w:r>
        <w:rPr>
          <w:rFonts w:ascii="Calibri" w:hAnsi="Calibri"/>
          <w:b/>
          <w:color w:val="0D47A1"/>
          <w:sz w:val="32"/>
        </w:rPr>
        <w:t>3. Required Process</w:t>
      </w:r>
    </w:p>
    <w:p>
      <w:pPr>
        <w:pStyle w:val="Heading2"/>
        <w:spacing w:before="200" w:after="80"/>
      </w:pPr>
      <w:r>
        <w:rPr>
          <w:rFonts w:ascii="Calibri" w:hAnsi="Calibri"/>
          <w:b/>
          <w:color w:val="00695C"/>
          <w:sz w:val="26"/>
        </w:rPr>
        <w:t>Step 1 – Identify Information Requirements</w:t>
      </w:r>
    </w:p>
    <w:p>
      <w:pPr>
        <w:spacing w:before="40" w:after="100" w:line="276" w:lineRule="auto"/>
      </w:pPr>
      <w:r>
        <w:rPr>
          <w:rFonts w:ascii="Calibri" w:hAnsi="Calibri"/>
          <w:sz w:val="22"/>
        </w:rPr>
        <w:t>Before designing the dashboard, we identified what information the decision maker needs, in what format, and at what level of detail.</w:t>
      </w:r>
    </w:p>
    <w:p>
      <w:pPr>
        <w:spacing w:before="40" w:after="100" w:line="276" w:lineRule="auto"/>
      </w:pPr>
      <w:r>
        <w:rPr>
          <w:rFonts w:ascii="Calibri" w:hAnsi="Calibri"/>
          <w:sz w:val="22"/>
        </w:rPr>
        <w:t>Decision Maker Profile:</w:t>
      </w:r>
    </w:p>
    <w:p>
      <w:pPr>
        <w:pStyle w:val="ListBullet"/>
        <w:spacing w:before="20" w:after="40" w:line="276" w:lineRule="auto"/>
        <w:ind w:left="454"/>
      </w:pPr>
      <w:r>
        <w:rPr>
          <w:rFonts w:ascii="Calibri" w:hAnsi="Calibri"/>
          <w:b/>
          <w:sz w:val="22"/>
        </w:rPr>
        <w:t xml:space="preserve">Role: </w:t>
      </w:r>
      <w:r>
        <w:rPr>
          <w:rFonts w:ascii="Calibri" w:hAnsi="Calibri"/>
          <w:sz w:val="22"/>
        </w:rPr>
        <w:t>Independent Tiki fashion shop owner (Non-Official / Regular Seller)</w:t>
      </w:r>
    </w:p>
    <w:p>
      <w:pPr>
        <w:pStyle w:val="ListBullet"/>
        <w:spacing w:before="20" w:after="40" w:line="276" w:lineRule="auto"/>
        <w:ind w:left="454"/>
      </w:pPr>
      <w:r>
        <w:rPr>
          <w:rFonts w:ascii="Calibri" w:hAnsi="Calibri"/>
          <w:b/>
          <w:sz w:val="22"/>
        </w:rPr>
        <w:t xml:space="preserve">Capital: </w:t>
      </w:r>
      <w:r>
        <w:rPr>
          <w:rFonts w:ascii="Calibri" w:hAnsi="Calibri"/>
          <w:sz w:val="22"/>
        </w:rPr>
        <w:t>Manage inventory budget of 500 million – 2 billion VND per quarter</w:t>
      </w:r>
    </w:p>
    <w:p>
      <w:pPr>
        <w:pStyle w:val="ListBullet"/>
        <w:spacing w:before="20" w:after="40" w:line="276" w:lineRule="auto"/>
        <w:ind w:left="454"/>
      </w:pPr>
      <w:r>
        <w:rPr>
          <w:rFonts w:ascii="Calibri" w:hAnsi="Calibri"/>
          <w:b/>
          <w:sz w:val="22"/>
        </w:rPr>
        <w:t xml:space="preserve">Skill Level: </w:t>
      </w:r>
      <w:r>
        <w:rPr>
          <w:rFonts w:ascii="Calibri" w:hAnsi="Calibri"/>
          <w:sz w:val="22"/>
        </w:rPr>
        <w:t>Non-technical: needs visual signals, color codes and plain-language recommendations – not equations</w:t>
      </w:r>
    </w:p>
    <w:p>
      <w:pPr>
        <w:pStyle w:val="ListBullet"/>
        <w:spacing w:before="20" w:after="40" w:line="276" w:lineRule="auto"/>
        <w:ind w:left="454"/>
      </w:pPr>
      <w:r>
        <w:rPr>
          <w:rFonts w:ascii="Calibri" w:hAnsi="Calibri"/>
          <w:b/>
          <w:sz w:val="22"/>
        </w:rPr>
        <w:t xml:space="preserve">Frequency: </w:t>
      </w:r>
      <w:r>
        <w:rPr>
          <w:rFonts w:ascii="Calibri" w:hAnsi="Calibri"/>
          <w:sz w:val="22"/>
        </w:rPr>
        <w:t>Must make product selection and pricing decisions weekly, budget rebalancing monthly</w:t>
      </w:r>
    </w:p>
    <w:p>
      <w:pPr>
        <w:pStyle w:val="ListBullet"/>
        <w:spacing w:before="20" w:after="40" w:line="276" w:lineRule="auto"/>
        <w:ind w:left="454"/>
      </w:pPr>
      <w:r>
        <w:rPr>
          <w:rFonts w:ascii="Calibri" w:hAnsi="Calibri"/>
          <w:b/>
          <w:sz w:val="22"/>
        </w:rPr>
        <w:t xml:space="preserve">Competitive Pressure: </w:t>
      </w:r>
      <w:r>
        <w:rPr>
          <w:rFonts w:ascii="Calibri" w:hAnsi="Calibri"/>
          <w:sz w:val="22"/>
        </w:rPr>
        <w:t>Compete against Official Store brands that hold 60–99% market share in most subcategories</w:t>
      </w:r>
    </w:p>
    <w:p>
      <w:pPr>
        <w:spacing w:before="40" w:after="100" w:line="276" w:lineRule="auto"/>
      </w:pPr>
      <w:r>
        <w:rPr>
          <w:rFonts w:ascii="Calibri" w:hAnsi="Calibri"/>
          <w:sz w:val="22"/>
        </w:rPr>
        <w:t>Information Requirements mapped to the five dashboard objectives: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fill="1D4ED8"/>
          </w:tcPr>
          <w:p>
            <w:pPr>
              <w:spacing w:before="60" w:after="60" w:line="276" w:lineRule="auto"/>
              <w:jc w:val="center"/>
            </w:pPr>
            <w:r>
              <w:rPr>
                <w:rFonts w:ascii="Calibri" w:hAnsi="Calibri"/>
                <w:b/>
                <w:color w:val="FFFFFF"/>
                <w:sz w:val="19"/>
              </w:rPr>
              <w:t>Dashboard Objective</w:t>
            </w:r>
          </w:p>
        </w:tc>
        <w:tc>
          <w:tcPr>
            <w:tcW w:type="dxa" w:w="2280"/>
            <w:vAlign w:val="center"/>
            <w:shd w:val="clear" w:fill="1D4ED8"/>
          </w:tcPr>
          <w:p>
            <w:pPr>
              <w:spacing w:before="60" w:after="60" w:line="276" w:lineRule="auto"/>
              <w:jc w:val="center"/>
            </w:pPr>
            <w:r>
              <w:rPr>
                <w:rFonts w:ascii="Calibri" w:hAnsi="Calibri"/>
                <w:b/>
                <w:color w:val="FFFFFF"/>
                <w:sz w:val="19"/>
              </w:rPr>
              <w:t>Information the Decision Maker Needs</w:t>
            </w:r>
          </w:p>
        </w:tc>
        <w:tc>
          <w:tcPr>
            <w:tcW w:type="dxa" w:w="2280"/>
            <w:vAlign w:val="center"/>
            <w:shd w:val="clear" w:fill="1D4ED8"/>
          </w:tcPr>
          <w:p>
            <w:pPr>
              <w:spacing w:before="60" w:after="60" w:line="276" w:lineRule="auto"/>
              <w:jc w:val="center"/>
            </w:pPr>
            <w:r>
              <w:rPr>
                <w:rFonts w:ascii="Calibri" w:hAnsi="Calibri"/>
                <w:b/>
                <w:color w:val="FFFFFF"/>
                <w:sz w:val="19"/>
              </w:rPr>
              <w:t>Data Source</w:t>
            </w:r>
          </w:p>
        </w:tc>
        <w:tc>
          <w:tcPr>
            <w:tcW w:type="dxa" w:w="2280"/>
            <w:vAlign w:val="center"/>
            <w:shd w:val="clear" w:fill="1D4ED8"/>
          </w:tcPr>
          <w:p>
            <w:pPr>
              <w:spacing w:before="60" w:after="60" w:line="276" w:lineRule="auto"/>
              <w:jc w:val="center"/>
            </w:pPr>
            <w:r>
              <w:rPr>
                <w:rFonts w:ascii="Calibri" w:hAnsi="Calibri"/>
                <w:b/>
                <w:color w:val="FFFFFF"/>
                <w:sz w:val="19"/>
              </w:rPr>
              <w:t>Format Required</w:t>
            </w:r>
          </w:p>
        </w:tc>
      </w:tr>
      <w:tr>
        <w:tc>
          <w:tcPr>
            <w:tcW w:type="dxa" w:w="2280"/>
            <w:vAlign w:val="center"/>
          </w:tcPr>
          <w:p>
            <w:pPr>
              <w:spacing w:before="40" w:after="40" w:line="276" w:lineRule="auto"/>
            </w:pPr>
            <w:r>
              <w:rPr>
                <w:rFonts w:ascii="Calibri" w:hAnsi="Calibri"/>
                <w:sz w:val="19"/>
              </w:rPr>
              <w:t>Monitor key KPIs</w:t>
            </w:r>
          </w:p>
        </w:tc>
        <w:tc>
          <w:tcPr>
            <w:tcW w:type="dxa" w:w="2280"/>
            <w:vAlign w:val="center"/>
          </w:tcPr>
          <w:p>
            <w:pPr>
              <w:spacing w:before="40" w:after="40" w:line="276" w:lineRule="auto"/>
            </w:pPr>
            <w:r>
              <w:rPr>
                <w:rFonts w:ascii="Calibri" w:hAnsi="Calibri"/>
                <w:sz w:val="19"/>
              </w:rPr>
              <w:t>Total active SKUs; Total estimated revenue; New products detected this week; Number of high-opportunity niches</w:t>
            </w:r>
          </w:p>
        </w:tc>
        <w:tc>
          <w:tcPr>
            <w:tcW w:type="dxa" w:w="2280"/>
            <w:vAlign w:val="center"/>
          </w:tcPr>
          <w:p>
            <w:pPr>
              <w:spacing w:before="40" w:after="40" w:line="276" w:lineRule="auto"/>
            </w:pPr>
            <w:r>
              <w:rPr>
                <w:rFonts w:ascii="Calibri" w:hAnsi="Calibri"/>
                <w:sz w:val="19"/>
              </w:rPr>
              <w:t>products_tiki, products_changes tables</w:t>
            </w:r>
          </w:p>
        </w:tc>
        <w:tc>
          <w:tcPr>
            <w:tcW w:type="dxa" w:w="2280"/>
            <w:vAlign w:val="center"/>
          </w:tcPr>
          <w:p>
            <w:pPr>
              <w:spacing w:before="40" w:after="40" w:line="276" w:lineRule="auto"/>
            </w:pPr>
            <w:r>
              <w:rPr>
                <w:rFonts w:ascii="Calibri" w:hAnsi="Calibri"/>
                <w:sz w:val="19"/>
              </w:rPr>
              <w:t>KPI cards with trend indicators (↑↓ % change)</w:t>
            </w:r>
          </w:p>
        </w:tc>
      </w:tr>
      <w:tr>
        <w:tc>
          <w:tcPr>
            <w:tcW w:type="dxa" w:w="2280"/>
            <w:vAlign w:val="center"/>
          </w:tcPr>
          <w:p>
            <w:pPr>
              <w:spacing w:before="40" w:after="40" w:line="276" w:lineRule="auto"/>
            </w:pPr>
            <w:r>
              <w:rPr>
                <w:rFonts w:ascii="Calibri" w:hAnsi="Calibri"/>
                <w:sz w:val="19"/>
              </w:rPr>
              <w:t>Understand important insights</w:t>
            </w:r>
          </w:p>
        </w:tc>
        <w:tc>
          <w:tcPr>
            <w:tcW w:type="dxa" w:w="2280"/>
            <w:vAlign w:val="center"/>
          </w:tcPr>
          <w:p>
            <w:pPr>
              <w:spacing w:before="40" w:after="40" w:line="276" w:lineRule="auto"/>
            </w:pPr>
            <w:r>
              <w:rPr>
                <w:rFonts w:ascii="Calibri" w:hAnsi="Calibri"/>
                <w:sz w:val="19"/>
              </w:rPr>
              <w:t>Which L2 subcategories have the best Opportunity Score (revenue potential vs. entry barrier); which individual products are bestsellers vs. official-store only</w:t>
            </w:r>
          </w:p>
        </w:tc>
        <w:tc>
          <w:tcPr>
            <w:tcW w:type="dxa" w:w="2280"/>
            <w:vAlign w:val="center"/>
          </w:tcPr>
          <w:p>
            <w:pPr>
              <w:spacing w:before="40" w:after="40" w:line="276" w:lineRule="auto"/>
            </w:pPr>
            <w:r>
              <w:rPr>
                <w:rFonts w:ascii="Calibri" w:hAnsi="Calibri"/>
                <w:sz w:val="19"/>
              </w:rPr>
              <w:t>Opportunity Score computation from ASG2 Q1; EDA aggregations</w:t>
            </w:r>
          </w:p>
        </w:tc>
        <w:tc>
          <w:tcPr>
            <w:tcW w:type="dxa" w:w="2280"/>
            <w:vAlign w:val="center"/>
          </w:tcPr>
          <w:p>
            <w:pPr>
              <w:spacing w:before="40" w:after="40" w:line="276" w:lineRule="auto"/>
            </w:pPr>
            <w:r>
              <w:rPr>
                <w:rFonts w:ascii="Calibri" w:hAnsi="Calibri"/>
                <w:sz w:val="19"/>
              </w:rPr>
              <w:t>Color-coded bar chart + sortable product grid with HOT/AUTHENTIC badges</w:t>
            </w:r>
          </w:p>
        </w:tc>
      </w:tr>
      <w:tr>
        <w:tc>
          <w:tcPr>
            <w:tcW w:type="dxa" w:w="2280"/>
            <w:vAlign w:val="center"/>
          </w:tcPr>
          <w:p>
            <w:pPr>
              <w:spacing w:before="40" w:after="40" w:line="276" w:lineRule="auto"/>
            </w:pPr>
            <w:r>
              <w:rPr>
                <w:rFonts w:ascii="Calibri" w:hAnsi="Calibri"/>
                <w:sz w:val="19"/>
              </w:rPr>
              <w:t>View future forecasts</w:t>
            </w:r>
          </w:p>
        </w:tc>
        <w:tc>
          <w:tcPr>
            <w:tcW w:type="dxa" w:w="2280"/>
            <w:vAlign w:val="center"/>
          </w:tcPr>
          <w:p>
            <w:pPr>
              <w:spacing w:before="40" w:after="40" w:line="276" w:lineRule="auto"/>
            </w:pPr>
            <w:r>
              <w:rPr>
                <w:rFonts w:ascii="Calibri" w:hAnsi="Calibri"/>
                <w:sz w:val="19"/>
              </w:rPr>
              <w:t>30-day demand forecast per subcategory; growth rate; upper/lower prediction bounds</w:t>
            </w:r>
          </w:p>
        </w:tc>
        <w:tc>
          <w:tcPr>
            <w:tcW w:type="dxa" w:w="2280"/>
            <w:vAlign w:val="center"/>
          </w:tcPr>
          <w:p>
            <w:pPr>
              <w:spacing w:before="40" w:after="40" w:line="276" w:lineRule="auto"/>
            </w:pPr>
            <w:r>
              <w:rPr>
                <w:rFonts w:ascii="Calibri" w:hAnsi="Calibri"/>
                <w:sz w:val="19"/>
              </w:rPr>
              <w:t>Linear regression forecast model on products_tiki_history (9,625 records)</w:t>
            </w:r>
          </w:p>
        </w:tc>
        <w:tc>
          <w:tcPr>
            <w:tcW w:type="dxa" w:w="2280"/>
            <w:vAlign w:val="center"/>
          </w:tcPr>
          <w:p>
            <w:pPr>
              <w:spacing w:before="40" w:after="40" w:line="276" w:lineRule="auto"/>
            </w:pPr>
            <w:r>
              <w:rPr>
                <w:rFonts w:ascii="Calibri" w:hAnsi="Calibri"/>
                <w:sz w:val="19"/>
              </w:rPr>
              <w:t>Dual-line area chart with shaded 95% confidence interval; KPI growth cards</w:t>
            </w:r>
          </w:p>
        </w:tc>
      </w:tr>
      <w:tr>
        <w:tc>
          <w:tcPr>
            <w:tcW w:type="dxa" w:w="2280"/>
            <w:vAlign w:val="center"/>
          </w:tcPr>
          <w:p>
            <w:pPr>
              <w:spacing w:before="40" w:after="40" w:line="276" w:lineRule="auto"/>
            </w:pPr>
            <w:r>
              <w:rPr>
                <w:rFonts w:ascii="Calibri" w:hAnsi="Calibri"/>
                <w:sz w:val="19"/>
              </w:rPr>
              <w:t>Evaluate alternative scenarios</w:t>
            </w:r>
          </w:p>
        </w:tc>
        <w:tc>
          <w:tcPr>
            <w:tcW w:type="dxa" w:w="2280"/>
            <w:vAlign w:val="center"/>
          </w:tcPr>
          <w:p>
            <w:pPr>
              <w:spacing w:before="40" w:after="40" w:line="276" w:lineRule="auto"/>
            </w:pPr>
            <w:r>
              <w:rPr>
                <w:rFonts w:ascii="Calibri" w:hAnsi="Calibri"/>
                <w:sz w:val="19"/>
              </w:rPr>
              <w:t>How capital allocation changes under 3 budget scenarios and a fee change; which scenario maximizes total portfolio ROI</w:t>
            </w:r>
          </w:p>
        </w:tc>
        <w:tc>
          <w:tcPr>
            <w:tcW w:type="dxa" w:w="2280"/>
            <w:vAlign w:val="center"/>
          </w:tcPr>
          <w:p>
            <w:pPr>
              <w:spacing w:before="40" w:after="40" w:line="276" w:lineRule="auto"/>
            </w:pPr>
            <w:r>
              <w:rPr>
                <w:rFonts w:ascii="Calibri" w:hAnsi="Calibri"/>
                <w:sz w:val="19"/>
              </w:rPr>
              <w:t>LP optimization model from ASG2 Q5</w:t>
            </w:r>
          </w:p>
        </w:tc>
        <w:tc>
          <w:tcPr>
            <w:tcW w:type="dxa" w:w="2280"/>
            <w:vAlign w:val="center"/>
          </w:tcPr>
          <w:p>
            <w:pPr>
              <w:spacing w:before="40" w:after="40" w:line="276" w:lineRule="auto"/>
            </w:pPr>
            <w:r>
              <w:rPr>
                <w:rFonts w:ascii="Calibri" w:hAnsi="Calibri"/>
                <w:sz w:val="19"/>
              </w:rPr>
              <w:t>Clickable scenario cards + side-by-side comparison table + impact KPI cards</w:t>
            </w:r>
          </w:p>
        </w:tc>
      </w:tr>
      <w:tr>
        <w:tc>
          <w:tcPr>
            <w:tcW w:type="dxa" w:w="2280"/>
            <w:vAlign w:val="center"/>
          </w:tcPr>
          <w:p>
            <w:pPr>
              <w:spacing w:before="40" w:after="40" w:line="276" w:lineRule="auto"/>
            </w:pPr>
            <w:r>
              <w:rPr>
                <w:rFonts w:ascii="Calibri" w:hAnsi="Calibri"/>
                <w:sz w:val="19"/>
              </w:rPr>
              <w:t>Make informed decisions</w:t>
            </w:r>
          </w:p>
        </w:tc>
        <w:tc>
          <w:tcPr>
            <w:tcW w:type="dxa" w:w="2280"/>
            <w:vAlign w:val="center"/>
          </w:tcPr>
          <w:p>
            <w:pPr>
              <w:spacing w:before="40" w:after="40" w:line="276" w:lineRule="auto"/>
            </w:pPr>
            <w:r>
              <w:rPr>
                <w:rFonts w:ascii="Calibri" w:hAnsi="Calibri"/>
                <w:sz w:val="19"/>
              </w:rPr>
              <w:t>Concrete recommended action for each category: enter / hold / exit; specific price target; minimum competitive thresholds to set before listing</w:t>
            </w:r>
          </w:p>
        </w:tc>
        <w:tc>
          <w:tcPr>
            <w:tcW w:type="dxa" w:w="2280"/>
            <w:vAlign w:val="center"/>
          </w:tcPr>
          <w:p>
            <w:pPr>
              <w:spacing w:before="40" w:after="40" w:line="276" w:lineRule="auto"/>
            </w:pPr>
            <w:r>
              <w:rPr>
                <w:rFonts w:ascii="Calibri" w:hAnsi="Calibri"/>
                <w:sz w:val="19"/>
              </w:rPr>
              <w:t>Logistic winner model (Q3), Portfolio matrix (Q4), Optimal price formula (Q2)</w:t>
            </w:r>
          </w:p>
        </w:tc>
        <w:tc>
          <w:tcPr>
            <w:tcW w:type="dxa" w:w="2280"/>
            <w:vAlign w:val="center"/>
          </w:tcPr>
          <w:p>
            <w:pPr>
              <w:spacing w:before="40" w:after="40" w:line="276" w:lineRule="auto"/>
            </w:pPr>
            <w:r>
              <w:rPr>
                <w:rFonts w:ascii="Calibri" w:hAnsi="Calibri"/>
                <w:sz w:val="19"/>
              </w:rPr>
              <w:t>Plain-language recommendation panels; traffic-light portfolio table; threshold banner</w:t>
            </w:r>
          </w:p>
        </w:tc>
      </w:tr>
    </w:tbl>
    <w:p/>
    <w:p>
      <w:pPr>
        <w:spacing w:before="40" w:after="100" w:line="276" w:lineRule="auto"/>
      </w:pPr>
      <w:r>
        <w:rPr>
          <w:rFonts w:ascii="Calibri" w:hAnsi="Calibri"/>
          <w:sz w:val="22"/>
        </w:rPr>
        <w:t>KPI Framework (permanently visible regardless of active tab):</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fill="1D4ED8"/>
          </w:tcPr>
          <w:p>
            <w:pPr>
              <w:spacing w:before="60" w:after="60" w:line="276" w:lineRule="auto"/>
              <w:jc w:val="center"/>
            </w:pPr>
            <w:r>
              <w:rPr>
                <w:rFonts w:ascii="Calibri" w:hAnsi="Calibri"/>
                <w:b/>
                <w:color w:val="FFFFFF"/>
                <w:sz w:val="19"/>
              </w:rPr>
              <w:t>KPI Name</w:t>
            </w:r>
          </w:p>
        </w:tc>
        <w:tc>
          <w:tcPr>
            <w:tcW w:type="dxa" w:w="2280"/>
            <w:vAlign w:val="center"/>
            <w:shd w:val="clear" w:fill="1D4ED8"/>
          </w:tcPr>
          <w:p>
            <w:pPr>
              <w:spacing w:before="60" w:after="60" w:line="276" w:lineRule="auto"/>
              <w:jc w:val="center"/>
            </w:pPr>
            <w:r>
              <w:rPr>
                <w:rFonts w:ascii="Calibri" w:hAnsi="Calibri"/>
                <w:b/>
                <w:color w:val="FFFFFF"/>
                <w:sz w:val="19"/>
              </w:rPr>
              <w:t>Formula / Definition</w:t>
            </w:r>
          </w:p>
        </w:tc>
        <w:tc>
          <w:tcPr>
            <w:tcW w:type="dxa" w:w="2280"/>
            <w:vAlign w:val="center"/>
            <w:shd w:val="clear" w:fill="1D4ED8"/>
          </w:tcPr>
          <w:p>
            <w:pPr>
              <w:spacing w:before="60" w:after="60" w:line="276" w:lineRule="auto"/>
              <w:jc w:val="center"/>
            </w:pPr>
            <w:r>
              <w:rPr>
                <w:rFonts w:ascii="Calibri" w:hAnsi="Calibri"/>
                <w:b/>
                <w:color w:val="FFFFFF"/>
                <w:sz w:val="19"/>
              </w:rPr>
              <w:t>Data Source</w:t>
            </w:r>
          </w:p>
        </w:tc>
        <w:tc>
          <w:tcPr>
            <w:tcW w:type="dxa" w:w="2280"/>
            <w:vAlign w:val="center"/>
            <w:shd w:val="clear" w:fill="1D4ED8"/>
          </w:tcPr>
          <w:p>
            <w:pPr>
              <w:spacing w:before="60" w:after="60" w:line="276" w:lineRule="auto"/>
              <w:jc w:val="center"/>
            </w:pPr>
            <w:r>
              <w:rPr>
                <w:rFonts w:ascii="Calibri" w:hAnsi="Calibri"/>
                <w:b/>
                <w:color w:val="FFFFFF"/>
                <w:sz w:val="19"/>
              </w:rPr>
              <w:t>Why It Is Critical</w:t>
            </w:r>
          </w:p>
        </w:tc>
      </w:tr>
      <w:tr>
        <w:tc>
          <w:tcPr>
            <w:tcW w:type="dxa" w:w="2280"/>
            <w:vAlign w:val="center"/>
          </w:tcPr>
          <w:p>
            <w:pPr>
              <w:spacing w:before="40" w:after="40" w:line="276" w:lineRule="auto"/>
            </w:pPr>
            <w:r>
              <w:rPr>
                <w:rFonts w:ascii="Calibri" w:hAnsi="Calibri"/>
                <w:sz w:val="19"/>
              </w:rPr>
              <w:t>Total Tiki SKUs</w:t>
            </w:r>
          </w:p>
        </w:tc>
        <w:tc>
          <w:tcPr>
            <w:tcW w:type="dxa" w:w="2280"/>
            <w:vAlign w:val="center"/>
          </w:tcPr>
          <w:p>
            <w:pPr>
              <w:spacing w:before="40" w:after="40" w:line="276" w:lineRule="auto"/>
            </w:pPr>
            <w:r>
              <w:rPr>
                <w:rFonts w:ascii="Calibri" w:hAnsi="Calibri"/>
                <w:sz w:val="19"/>
              </w:rPr>
              <w:t>COUNT of all rows in products_tiki</w:t>
            </w:r>
          </w:p>
        </w:tc>
        <w:tc>
          <w:tcPr>
            <w:tcW w:type="dxa" w:w="2280"/>
            <w:vAlign w:val="center"/>
          </w:tcPr>
          <w:p>
            <w:pPr>
              <w:spacing w:before="40" w:after="40" w:line="276" w:lineRule="auto"/>
            </w:pPr>
            <w:r>
              <w:rPr>
                <w:rFonts w:ascii="Calibri" w:hAnsi="Calibri"/>
                <w:sz w:val="19"/>
              </w:rPr>
              <w:t>products_tiki</w:t>
            </w:r>
          </w:p>
        </w:tc>
        <w:tc>
          <w:tcPr>
            <w:tcW w:type="dxa" w:w="2280"/>
            <w:vAlign w:val="center"/>
          </w:tcPr>
          <w:p>
            <w:pPr>
              <w:spacing w:before="40" w:after="40" w:line="276" w:lineRule="auto"/>
            </w:pPr>
            <w:r>
              <w:rPr>
                <w:rFonts w:ascii="Calibri" w:hAnsi="Calibri"/>
                <w:sz w:val="19"/>
              </w:rPr>
              <w:t>Tells seller the size of their active product portfolio</w:t>
            </w:r>
          </w:p>
        </w:tc>
      </w:tr>
      <w:tr>
        <w:tc>
          <w:tcPr>
            <w:tcW w:type="dxa" w:w="2280"/>
            <w:vAlign w:val="center"/>
          </w:tcPr>
          <w:p>
            <w:pPr>
              <w:spacing w:before="40" w:after="40" w:line="276" w:lineRule="auto"/>
            </w:pPr>
            <w:r>
              <w:rPr>
                <w:rFonts w:ascii="Calibri" w:hAnsi="Calibri"/>
                <w:sz w:val="19"/>
              </w:rPr>
              <w:t>Estimated Total Revenue (VND)</w:t>
            </w:r>
          </w:p>
        </w:tc>
        <w:tc>
          <w:tcPr>
            <w:tcW w:type="dxa" w:w="2280"/>
            <w:vAlign w:val="center"/>
          </w:tcPr>
          <w:p>
            <w:pPr>
              <w:spacing w:before="40" w:after="40" w:line="276" w:lineRule="auto"/>
            </w:pPr>
            <w:r>
              <w:rPr>
                <w:rFonts w:ascii="Calibri" w:hAnsi="Calibri"/>
                <w:sz w:val="19"/>
              </w:rPr>
              <w:t>SUM(price × sold_count) across all Tiki products</w:t>
            </w:r>
          </w:p>
        </w:tc>
        <w:tc>
          <w:tcPr>
            <w:tcW w:type="dxa" w:w="2280"/>
            <w:vAlign w:val="center"/>
          </w:tcPr>
          <w:p>
            <w:pPr>
              <w:spacing w:before="40" w:after="40" w:line="276" w:lineRule="auto"/>
            </w:pPr>
            <w:r>
              <w:rPr>
                <w:rFonts w:ascii="Calibri" w:hAnsi="Calibri"/>
                <w:sz w:val="19"/>
              </w:rPr>
              <w:t>products_tiki.estimated_revenue</w:t>
            </w:r>
          </w:p>
        </w:tc>
        <w:tc>
          <w:tcPr>
            <w:tcW w:type="dxa" w:w="2280"/>
            <w:vAlign w:val="center"/>
          </w:tcPr>
          <w:p>
            <w:pPr>
              <w:spacing w:before="40" w:after="40" w:line="276" w:lineRule="auto"/>
            </w:pPr>
            <w:r>
              <w:rPr>
                <w:rFonts w:ascii="Calibri" w:hAnsi="Calibri"/>
                <w:sz w:val="19"/>
              </w:rPr>
              <w:t>Primary financial health metric; tracks whether portfolio is generating income</w:t>
            </w:r>
          </w:p>
        </w:tc>
      </w:tr>
      <w:tr>
        <w:tc>
          <w:tcPr>
            <w:tcW w:type="dxa" w:w="2280"/>
            <w:vAlign w:val="center"/>
          </w:tcPr>
          <w:p>
            <w:pPr>
              <w:spacing w:before="40" w:after="40" w:line="276" w:lineRule="auto"/>
            </w:pPr>
            <w:r>
              <w:rPr>
                <w:rFonts w:ascii="Calibri" w:hAnsi="Calibri"/>
                <w:sz w:val="19"/>
              </w:rPr>
              <w:t>New Products This Week</w:t>
            </w:r>
          </w:p>
        </w:tc>
        <w:tc>
          <w:tcPr>
            <w:tcW w:type="dxa" w:w="2280"/>
            <w:vAlign w:val="center"/>
          </w:tcPr>
          <w:p>
            <w:pPr>
              <w:spacing w:before="40" w:after="40" w:line="276" w:lineRule="auto"/>
            </w:pPr>
            <w:r>
              <w:rPr>
                <w:rFonts w:ascii="Calibri" w:hAnsi="Calibri"/>
                <w:sz w:val="19"/>
              </w:rPr>
              <w:t>COUNT of products_changes records with status containing 'New'</w:t>
            </w:r>
          </w:p>
        </w:tc>
        <w:tc>
          <w:tcPr>
            <w:tcW w:type="dxa" w:w="2280"/>
            <w:vAlign w:val="center"/>
          </w:tcPr>
          <w:p>
            <w:pPr>
              <w:spacing w:before="40" w:after="40" w:line="276" w:lineRule="auto"/>
            </w:pPr>
            <w:r>
              <w:rPr>
                <w:rFonts w:ascii="Calibri" w:hAnsi="Calibri"/>
                <w:sz w:val="19"/>
              </w:rPr>
              <w:t>products_changes</w:t>
            </w:r>
          </w:p>
        </w:tc>
        <w:tc>
          <w:tcPr>
            <w:tcW w:type="dxa" w:w="2280"/>
            <w:vAlign w:val="center"/>
          </w:tcPr>
          <w:p>
            <w:pPr>
              <w:spacing w:before="40" w:after="40" w:line="276" w:lineRule="auto"/>
            </w:pPr>
            <w:r>
              <w:rPr>
                <w:rFonts w:ascii="Calibri" w:hAnsi="Calibri"/>
                <w:sz w:val="19"/>
              </w:rPr>
              <w:t>Alerts the seller to new market entrants in their watched categories</w:t>
            </w:r>
          </w:p>
        </w:tc>
      </w:tr>
      <w:tr>
        <w:tc>
          <w:tcPr>
            <w:tcW w:type="dxa" w:w="2280"/>
            <w:vAlign w:val="center"/>
          </w:tcPr>
          <w:p>
            <w:pPr>
              <w:spacing w:before="40" w:after="40" w:line="276" w:lineRule="auto"/>
            </w:pPr>
            <w:r>
              <w:rPr>
                <w:rFonts w:ascii="Calibri" w:hAnsi="Calibri"/>
                <w:sz w:val="19"/>
              </w:rPr>
              <w:t>High-Opportunity Niches</w:t>
            </w:r>
          </w:p>
        </w:tc>
        <w:tc>
          <w:tcPr>
            <w:tcW w:type="dxa" w:w="2280"/>
            <w:vAlign w:val="center"/>
          </w:tcPr>
          <w:p>
            <w:pPr>
              <w:spacing w:before="40" w:after="40" w:line="276" w:lineRule="auto"/>
            </w:pPr>
            <w:r>
              <w:rPr>
                <w:rFonts w:ascii="Calibri" w:hAnsi="Calibri"/>
                <w:sz w:val="19"/>
              </w:rPr>
              <w:t>COUNT of L2 categories where Opportunity Score &gt; 40</w:t>
            </w:r>
          </w:p>
        </w:tc>
        <w:tc>
          <w:tcPr>
            <w:tcW w:type="dxa" w:w="2280"/>
            <w:vAlign w:val="center"/>
          </w:tcPr>
          <w:p>
            <w:pPr>
              <w:spacing w:before="40" w:after="40" w:line="276" w:lineRule="auto"/>
            </w:pPr>
            <w:r>
              <w:rPr>
                <w:rFonts w:ascii="Calibri" w:hAnsi="Calibri"/>
                <w:sz w:val="19"/>
              </w:rPr>
              <w:t>Computed from gap analysis</w:t>
            </w:r>
          </w:p>
        </w:tc>
        <w:tc>
          <w:tcPr>
            <w:tcW w:type="dxa" w:w="2280"/>
            <w:vAlign w:val="center"/>
          </w:tcPr>
          <w:p>
            <w:pPr>
              <w:spacing w:before="40" w:after="40" w:line="276" w:lineRule="auto"/>
            </w:pPr>
            <w:r>
              <w:rPr>
                <w:rFonts w:ascii="Calibri" w:hAnsi="Calibri"/>
                <w:sz w:val="19"/>
              </w:rPr>
              <w:t>Quantifies how many market gaps are currently actionable for a small seller</w:t>
            </w:r>
          </w:p>
        </w:tc>
      </w:tr>
    </w:tbl>
    <w:p/>
    <w:p>
      <w:pPr>
        <w:pStyle w:val="Heading2"/>
        <w:spacing w:before="200" w:after="80"/>
      </w:pPr>
      <w:r>
        <w:rPr>
          <w:rFonts w:ascii="Calibri" w:hAnsi="Calibri"/>
          <w:b/>
          <w:color w:val="00695C"/>
          <w:sz w:val="26"/>
        </w:rPr>
        <w:t>Step 2 – Design the DSS Dashboard</w:t>
      </w:r>
    </w:p>
    <w:p>
      <w:pPr>
        <w:spacing w:before="40" w:after="100" w:line="276" w:lineRule="auto"/>
      </w:pPr>
      <w:r>
        <w:rPr>
          <w:rFonts w:ascii="Calibri" w:hAnsi="Calibri"/>
          <w:sz w:val="22"/>
        </w:rPr>
        <w:t>The dashboard is organized into four visual zones and eight tabs. Each tab is designed to address one or more of the five dashboard objectives identified in Step 1.</w:t>
      </w:r>
    </w:p>
    <w:p>
      <w:pPr>
        <w:spacing w:before="40" w:after="100" w:line="276" w:lineRule="auto"/>
      </w:pPr>
      <w:r>
        <w:rPr>
          <w:rFonts w:ascii="Calibri" w:hAnsi="Calibri"/>
          <w:sz w:val="22"/>
        </w:rPr>
        <w:t>Overall Layout – Four Zones: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fill="1D4ED8"/>
          </w:tcPr>
          <w:p>
            <w:pPr>
              <w:spacing w:before="60" w:after="60" w:line="276" w:lineRule="auto"/>
              <w:jc w:val="center"/>
            </w:pPr>
            <w:r>
              <w:rPr>
                <w:rFonts w:ascii="Calibri" w:hAnsi="Calibri"/>
                <w:b/>
                <w:color w:val="FFFFFF"/>
                <w:sz w:val="19"/>
              </w:rPr>
              <w:t>Zone</w:t>
            </w:r>
          </w:p>
        </w:tc>
        <w:tc>
          <w:tcPr>
            <w:tcW w:type="dxa" w:w="2280"/>
            <w:vAlign w:val="center"/>
            <w:shd w:val="clear" w:fill="1D4ED8"/>
          </w:tcPr>
          <w:p>
            <w:pPr>
              <w:spacing w:before="60" w:after="60" w:line="276" w:lineRule="auto"/>
              <w:jc w:val="center"/>
            </w:pPr>
            <w:r>
              <w:rPr>
                <w:rFonts w:ascii="Calibri" w:hAnsi="Calibri"/>
                <w:b/>
                <w:color w:val="FFFFFF"/>
                <w:sz w:val="19"/>
              </w:rPr>
              <w:t>Position</w:t>
            </w:r>
          </w:p>
        </w:tc>
        <w:tc>
          <w:tcPr>
            <w:tcW w:type="dxa" w:w="2280"/>
            <w:vAlign w:val="center"/>
            <w:shd w:val="clear" w:fill="1D4ED8"/>
          </w:tcPr>
          <w:p>
            <w:pPr>
              <w:spacing w:before="60" w:after="60" w:line="276" w:lineRule="auto"/>
              <w:jc w:val="center"/>
            </w:pPr>
            <w:r>
              <w:rPr>
                <w:rFonts w:ascii="Calibri" w:hAnsi="Calibri"/>
                <w:b/>
                <w:color w:val="FFFFFF"/>
                <w:sz w:val="19"/>
              </w:rPr>
              <w:t>Content</w:t>
            </w:r>
          </w:p>
        </w:tc>
        <w:tc>
          <w:tcPr>
            <w:tcW w:type="dxa" w:w="2280"/>
            <w:vAlign w:val="center"/>
            <w:shd w:val="clear" w:fill="1D4ED8"/>
          </w:tcPr>
          <w:p>
            <w:pPr>
              <w:spacing w:before="60" w:after="60" w:line="276" w:lineRule="auto"/>
              <w:jc w:val="center"/>
            </w:pPr>
            <w:r>
              <w:rPr>
                <w:rFonts w:ascii="Calibri" w:hAnsi="Calibri"/>
                <w:b/>
                <w:color w:val="FFFFFF"/>
                <w:sz w:val="19"/>
              </w:rPr>
              <w:t>Supports Objective</w:t>
            </w:r>
          </w:p>
        </w:tc>
      </w:tr>
      <w:tr>
        <w:tc>
          <w:tcPr>
            <w:tcW w:type="dxa" w:w="2280"/>
            <w:vAlign w:val="center"/>
          </w:tcPr>
          <w:p>
            <w:pPr>
              <w:spacing w:before="40" w:after="40" w:line="276" w:lineRule="auto"/>
            </w:pPr>
            <w:r>
              <w:rPr>
                <w:rFonts w:ascii="Calibri" w:hAnsi="Calibri"/>
                <w:sz w:val="19"/>
              </w:rPr>
              <w:t>Zone 1 – Header</w:t>
            </w:r>
          </w:p>
        </w:tc>
        <w:tc>
          <w:tcPr>
            <w:tcW w:type="dxa" w:w="2280"/>
            <w:vAlign w:val="center"/>
          </w:tcPr>
          <w:p>
            <w:pPr>
              <w:spacing w:before="40" w:after="40" w:line="276" w:lineRule="auto"/>
            </w:pPr>
            <w:r>
              <w:rPr>
                <w:rFonts w:ascii="Calibri" w:hAnsi="Calibri"/>
                <w:sz w:val="19"/>
              </w:rPr>
              <w:t>Sticky top bar</w:t>
            </w:r>
          </w:p>
        </w:tc>
        <w:tc>
          <w:tcPr>
            <w:tcW w:type="dxa" w:w="2280"/>
            <w:vAlign w:val="center"/>
          </w:tcPr>
          <w:p>
            <w:pPr>
              <w:spacing w:before="40" w:after="40" w:line="276" w:lineRule="auto"/>
            </w:pPr>
            <w:r>
              <w:rPr>
                <w:rFonts w:ascii="Calibri" w:hAnsi="Calibri"/>
                <w:sz w:val="19"/>
              </w:rPr>
              <w:t>DSS logo, title, data collection date range (Jun 26 – Jul 2, 2026), animated live status dot</w:t>
            </w:r>
          </w:p>
        </w:tc>
        <w:tc>
          <w:tcPr>
            <w:tcW w:type="dxa" w:w="2280"/>
            <w:vAlign w:val="center"/>
          </w:tcPr>
          <w:p>
            <w:pPr>
              <w:spacing w:before="40" w:after="40" w:line="276" w:lineRule="auto"/>
            </w:pPr>
            <w:r>
              <w:rPr>
                <w:rFonts w:ascii="Calibri" w:hAnsi="Calibri"/>
                <w:sz w:val="19"/>
              </w:rPr>
              <w:t>Establishes data context; always visible to maintain user orientation</w:t>
            </w:r>
          </w:p>
        </w:tc>
      </w:tr>
      <w:tr>
        <w:tc>
          <w:tcPr>
            <w:tcW w:type="dxa" w:w="2280"/>
            <w:vAlign w:val="center"/>
          </w:tcPr>
          <w:p>
            <w:pPr>
              <w:spacing w:before="40" w:after="40" w:line="276" w:lineRule="auto"/>
            </w:pPr>
            <w:r>
              <w:rPr>
                <w:rFonts w:ascii="Calibri" w:hAnsi="Calibri"/>
                <w:sz w:val="19"/>
              </w:rPr>
              <w:t>Zone 2 – Global Filters</w:t>
            </w:r>
          </w:p>
        </w:tc>
        <w:tc>
          <w:tcPr>
            <w:tcW w:type="dxa" w:w="2280"/>
            <w:vAlign w:val="center"/>
          </w:tcPr>
          <w:p>
            <w:pPr>
              <w:spacing w:before="40" w:after="40" w:line="276" w:lineRule="auto"/>
            </w:pPr>
            <w:r>
              <w:rPr>
                <w:rFonts w:ascii="Calibri" w:hAnsi="Calibri"/>
                <w:sz w:val="19"/>
              </w:rPr>
              <w:t>Below header</w:t>
            </w:r>
          </w:p>
        </w:tc>
        <w:tc>
          <w:tcPr>
            <w:tcW w:type="dxa" w:w="2280"/>
            <w:vAlign w:val="center"/>
          </w:tcPr>
          <w:p>
            <w:pPr>
              <w:spacing w:before="40" w:after="40" w:line="276" w:lineRule="auto"/>
            </w:pPr>
            <w:r>
              <w:rPr>
                <w:rFonts w:ascii="Calibri" w:hAnsi="Calibri"/>
                <w:sz w:val="19"/>
              </w:rPr>
              <w:t>Category L1 toggle buttons, keyword search box, Max Price slider (50K–1.5M VND), Min Rating slider (0–5 stars)</w:t>
            </w:r>
          </w:p>
        </w:tc>
        <w:tc>
          <w:tcPr>
            <w:tcW w:type="dxa" w:w="2280"/>
            <w:vAlign w:val="center"/>
          </w:tcPr>
          <w:p>
            <w:pPr>
              <w:spacing w:before="40" w:after="40" w:line="276" w:lineRule="auto"/>
            </w:pPr>
            <w:r>
              <w:rPr>
                <w:rFonts w:ascii="Calibri" w:hAnsi="Calibri"/>
                <w:sz w:val="19"/>
              </w:rPr>
              <w:t>One filter action updates ALL 8 tabs simultaneously – critical for time-pressed users</w:t>
            </w:r>
          </w:p>
        </w:tc>
      </w:tr>
      <w:tr>
        <w:tc>
          <w:tcPr>
            <w:tcW w:type="dxa" w:w="2280"/>
            <w:vAlign w:val="center"/>
          </w:tcPr>
          <w:p>
            <w:pPr>
              <w:spacing w:before="40" w:after="40" w:line="276" w:lineRule="auto"/>
            </w:pPr>
            <w:r>
              <w:rPr>
                <w:rFonts w:ascii="Calibri" w:hAnsi="Calibri"/>
                <w:sz w:val="19"/>
              </w:rPr>
              <w:t>Zone 3 – KPI Cards</w:t>
            </w:r>
          </w:p>
        </w:tc>
        <w:tc>
          <w:tcPr>
            <w:tcW w:type="dxa" w:w="2280"/>
            <w:vAlign w:val="center"/>
          </w:tcPr>
          <w:p>
            <w:pPr>
              <w:spacing w:before="40" w:after="40" w:line="276" w:lineRule="auto"/>
            </w:pPr>
            <w:r>
              <w:rPr>
                <w:rFonts w:ascii="Calibri" w:hAnsi="Calibri"/>
                <w:sz w:val="19"/>
              </w:rPr>
              <w:t>4-column grid below filters</w:t>
            </w:r>
          </w:p>
        </w:tc>
        <w:tc>
          <w:tcPr>
            <w:tcW w:type="dxa" w:w="2280"/>
            <w:vAlign w:val="center"/>
          </w:tcPr>
          <w:p>
            <w:pPr>
              <w:spacing w:before="40" w:after="40" w:line="276" w:lineRule="auto"/>
            </w:pPr>
            <w:r>
              <w:rPr>
                <w:rFonts w:ascii="Calibri" w:hAnsi="Calibri"/>
                <w:sz w:val="19"/>
              </w:rPr>
              <w:t>Total SKUs | Estimated Revenue | New Products | High-Opportunity Niches – each with week-over-week trend %</w:t>
            </w:r>
          </w:p>
        </w:tc>
        <w:tc>
          <w:tcPr>
            <w:tcW w:type="dxa" w:w="2280"/>
            <w:vAlign w:val="center"/>
          </w:tcPr>
          <w:p>
            <w:pPr>
              <w:spacing w:before="40" w:after="40" w:line="276" w:lineRule="auto"/>
            </w:pPr>
            <w:r>
              <w:rPr>
                <w:rFonts w:ascii="Calibri" w:hAnsi="Calibri"/>
                <w:sz w:val="19"/>
              </w:rPr>
              <w:t>Monitor key KPIs</w:t>
            </w:r>
          </w:p>
        </w:tc>
      </w:tr>
      <w:tr>
        <w:tc>
          <w:tcPr>
            <w:tcW w:type="dxa" w:w="2280"/>
            <w:vAlign w:val="center"/>
          </w:tcPr>
          <w:p>
            <w:pPr>
              <w:spacing w:before="40" w:after="40" w:line="276" w:lineRule="auto"/>
            </w:pPr>
            <w:r>
              <w:rPr>
                <w:rFonts w:ascii="Calibri" w:hAnsi="Calibri"/>
                <w:sz w:val="19"/>
              </w:rPr>
              <w:t>Zone 4 – Tab Workspace</w:t>
            </w:r>
          </w:p>
        </w:tc>
        <w:tc>
          <w:tcPr>
            <w:tcW w:type="dxa" w:w="2280"/>
            <w:vAlign w:val="center"/>
          </w:tcPr>
          <w:p>
            <w:pPr>
              <w:spacing w:before="40" w:after="40" w:line="276" w:lineRule="auto"/>
            </w:pPr>
            <w:r>
              <w:rPr>
                <w:rFonts w:ascii="Calibri" w:hAnsi="Calibri"/>
                <w:sz w:val="19"/>
              </w:rPr>
              <w:t>Full-width main content area</w:t>
            </w:r>
          </w:p>
        </w:tc>
        <w:tc>
          <w:tcPr>
            <w:tcW w:type="dxa" w:w="2280"/>
            <w:vAlign w:val="center"/>
          </w:tcPr>
          <w:p>
            <w:pPr>
              <w:spacing w:before="40" w:after="40" w:line="276" w:lineRule="auto"/>
            </w:pPr>
            <w:r>
              <w:rPr>
                <w:rFonts w:ascii="Calibri" w:hAnsi="Calibri"/>
                <w:sz w:val="19"/>
              </w:rPr>
              <w:t>Eight analysis tabs addressing the remaining four objectives</w:t>
            </w:r>
          </w:p>
        </w:tc>
        <w:tc>
          <w:tcPr>
            <w:tcW w:type="dxa" w:w="2280"/>
            <w:vAlign w:val="center"/>
          </w:tcPr>
          <w:p>
            <w:pPr>
              <w:spacing w:before="40" w:after="40" w:line="276" w:lineRule="auto"/>
            </w:pPr>
            <w:r>
              <w:rPr>
                <w:rFonts w:ascii="Calibri" w:hAnsi="Calibri"/>
                <w:sz w:val="19"/>
              </w:rPr>
              <w:t>Understand Insights | View Forecasts | Evaluate Scenarios | Make Decisions</w:t>
            </w:r>
          </w:p>
        </w:tc>
      </w:tr>
    </w:tbl>
    <w:p/>
    <w:p>
      <w:pPr>
        <w:spacing w:before="40" w:after="100" w:line="276" w:lineRule="auto"/>
      </w:pPr>
      <w:r>
        <w:rPr>
          <w:rFonts w:ascii="Calibri" w:hAnsi="Calibri"/>
          <w:sz w:val="22"/>
        </w:rPr>
        <w:t>Tab Design – Eight Tabs:</w:t>
      </w:r>
    </w:p>
    <w:p>
      <w:pPr>
        <w:pStyle w:val="Heading3"/>
        <w:spacing w:before="200" w:after="80"/>
      </w:pPr>
      <w:r>
        <w:rPr>
          <w:rFonts w:ascii="Calibri" w:hAnsi="Calibri"/>
          <w:b/>
          <w:color w:val="1B5E20"/>
          <w:sz w:val="22"/>
        </w:rPr>
        <w:t>Tab 1: Top Tiki Products  (Supports: Understand important insights)</w:t>
      </w:r>
    </w:p>
    <w:p>
      <w:pPr>
        <w:pStyle w:val="ListBullet"/>
        <w:spacing w:before="20" w:after="40" w:line="276" w:lineRule="auto"/>
        <w:ind w:left="454"/>
      </w:pPr>
      <w:r>
        <w:rPr>
          <w:rFonts w:ascii="Calibri" w:hAnsi="Calibri"/>
          <w:b/>
          <w:sz w:val="22"/>
        </w:rPr>
        <w:t xml:space="preserve">Layout: </w:t>
      </w:r>
      <w:r>
        <w:rPr>
          <w:rFonts w:ascii="Calibri" w:hAnsi="Calibri"/>
          <w:sz w:val="22"/>
        </w:rPr>
        <w:t>Responsive product card grid; toggle sorting by: Most Sold | Highest Revenue | Best Rated.</w:t>
      </w:r>
    </w:p>
    <w:p>
      <w:pPr>
        <w:pStyle w:val="ListBullet"/>
        <w:spacing w:before="20" w:after="40" w:line="276" w:lineRule="auto"/>
        <w:ind w:left="454"/>
      </w:pPr>
      <w:r>
        <w:rPr>
          <w:rFonts w:ascii="Calibri" w:hAnsi="Calibri"/>
          <w:b/>
          <w:sz w:val="22"/>
        </w:rPr>
        <w:t xml:space="preserve">Card Content: </w:t>
      </w:r>
      <w:r>
        <w:rPr>
          <w:rFonts w:ascii="Calibri" w:hAnsi="Calibri"/>
          <w:sz w:val="22"/>
        </w:rPr>
        <w:t>Each card shows: product thumbnail, name (truncated), price (VND), sold_count, star rating, discount % badge.</w:t>
      </w:r>
    </w:p>
    <w:p>
      <w:pPr>
        <w:pStyle w:val="ListBullet"/>
        <w:spacing w:before="20" w:after="40" w:line="276" w:lineRule="auto"/>
        <w:ind w:left="454"/>
      </w:pPr>
      <w:r>
        <w:rPr>
          <w:rFonts w:ascii="Calibri" w:hAnsi="Calibri"/>
          <w:b/>
          <w:sz w:val="22"/>
        </w:rPr>
        <w:t xml:space="preserve">Badges from ASG2 Q2: </w:t>
      </w:r>
      <w:r>
        <w:rPr>
          <w:rFonts w:ascii="Calibri" w:hAnsi="Calibri"/>
          <w:sz w:val="22"/>
        </w:rPr>
        <w:t>'HOT' badge (red) = sold_count &gt; 1,000. 'AUTHENTIC' badge (teal) = is_authentic = True (Official Store product).</w:t>
      </w:r>
    </w:p>
    <w:p>
      <w:pPr>
        <w:pStyle w:val="ListBullet"/>
        <w:spacing w:before="20" w:after="40" w:line="276" w:lineRule="auto"/>
        <w:ind w:left="454"/>
      </w:pPr>
      <w:r>
        <w:rPr>
          <w:rFonts w:ascii="Calibri" w:hAnsi="Calibri"/>
          <w:b/>
          <w:sz w:val="22"/>
        </w:rPr>
        <w:t xml:space="preserve">Interactivity: </w:t>
      </w:r>
      <w:r>
        <w:rPr>
          <w:rFonts w:ascii="Calibri" w:hAnsi="Calibri"/>
          <w:sz w:val="22"/>
        </w:rPr>
        <w:t>Clicking a card opens the live Tiki product page (url field from database).</w:t>
      </w:r>
    </w:p>
    <w:p>
      <w:pPr>
        <w:pStyle w:val="ListBullet"/>
        <w:spacing w:before="20" w:after="40" w:line="276" w:lineRule="auto"/>
        <w:ind w:left="454"/>
      </w:pPr>
      <w:r>
        <w:rPr>
          <w:rFonts w:ascii="Calibri" w:hAnsi="Calibri"/>
          <w:b/>
          <w:sz w:val="22"/>
        </w:rPr>
        <w:t xml:space="preserve">Filter Integration: </w:t>
      </w:r>
      <w:r>
        <w:rPr>
          <w:rFonts w:ascii="Calibri" w:hAnsi="Calibri"/>
          <w:sz w:val="22"/>
        </w:rPr>
        <w:t>Global filters (category, max price, min rating) applied automatically to this tab.</w:t>
      </w:r>
    </w:p>
    <w:p>
      <w:pPr>
        <w:pStyle w:val="Heading3"/>
        <w:spacing w:before="200" w:after="80"/>
      </w:pPr>
      <w:r>
        <w:rPr>
          <w:rFonts w:ascii="Calibri" w:hAnsi="Calibri"/>
          <w:b/>
          <w:color w:val="1B5E20"/>
          <w:sz w:val="22"/>
        </w:rPr>
        <w:t>Tab 2: Gap &amp; Opportunity Analysis  (Supports: Understand important insights + Make informed decisions)</w:t>
      </w:r>
    </w:p>
    <w:p>
      <w:pPr>
        <w:pStyle w:val="ListBullet"/>
        <w:spacing w:before="20" w:after="40" w:line="276" w:lineRule="auto"/>
        <w:ind w:left="454"/>
      </w:pPr>
      <w:r>
        <w:rPr>
          <w:rFonts w:ascii="Calibri" w:hAnsi="Calibri"/>
          <w:b/>
          <w:sz w:val="22"/>
        </w:rPr>
        <w:t xml:space="preserve">Primary Chart: </w:t>
      </w:r>
      <w:r>
        <w:rPr>
          <w:rFonts w:ascii="Calibri" w:hAnsi="Calibri"/>
          <w:sz w:val="22"/>
        </w:rPr>
        <w:t>Horizontal Bar Chart: one bar per L2 subcategory, sorted by Opportunity Score descending.</w:t>
      </w:r>
    </w:p>
    <w:p>
      <w:pPr>
        <w:pStyle w:val="ListBullet"/>
        <w:spacing w:before="20" w:after="40" w:line="276" w:lineRule="auto"/>
        <w:ind w:left="454"/>
      </w:pPr>
      <w:r>
        <w:rPr>
          <w:rFonts w:ascii="Calibri" w:hAnsi="Calibri"/>
          <w:b/>
          <w:sz w:val="22"/>
        </w:rPr>
        <w:t xml:space="preserve">Color Encoding: </w:t>
      </w:r>
      <w:r>
        <w:rPr>
          <w:rFonts w:ascii="Calibri" w:hAnsi="Calibri"/>
          <w:sz w:val="22"/>
        </w:rPr>
        <w:t>Color coding directly from Opportunity Score: Green (Score &gt; 60), Yellow (40–60), Red (&lt; 40).</w:t>
      </w:r>
    </w:p>
    <w:p>
      <w:pPr>
        <w:pStyle w:val="ListBullet"/>
        <w:spacing w:before="20" w:after="40" w:line="276" w:lineRule="auto"/>
        <w:ind w:left="454"/>
      </w:pPr>
      <w:r>
        <w:rPr>
          <w:rFonts w:ascii="Calibri" w:hAnsi="Calibri"/>
          <w:b/>
          <w:sz w:val="22"/>
        </w:rPr>
        <w:t xml:space="preserve">Market Share Chart: </w:t>
      </w:r>
      <w:r>
        <w:rPr>
          <w:rFonts w:ascii="Calibri" w:hAnsi="Calibri"/>
          <w:sz w:val="22"/>
        </w:rPr>
        <w:t>Stacked Bar Chart (side panel): sold_count market share comparison – Tiki vs. Lazada vs. Shopee per category.</w:t>
      </w:r>
    </w:p>
    <w:p>
      <w:pPr>
        <w:pStyle w:val="ListBullet"/>
        <w:spacing w:before="20" w:after="40" w:line="276" w:lineRule="auto"/>
        <w:ind w:left="454"/>
      </w:pPr>
      <w:r>
        <w:rPr>
          <w:rFonts w:ascii="Calibri" w:hAnsi="Calibri"/>
          <w:b/>
          <w:sz w:val="22"/>
        </w:rPr>
        <w:t xml:space="preserve">Supporting Table: </w:t>
      </w:r>
      <w:r>
        <w:rPr>
          <w:rFonts w:ascii="Calibri" w:hAnsi="Calibri"/>
          <w:sz w:val="22"/>
        </w:rPr>
        <w:t>Data table: Tiki SKUs | Competitor SKUs | Avg Competitor Price | Competitor Rating | Revenue Potential | Priority Score.</w:t>
      </w:r>
    </w:p>
    <w:p>
      <w:pPr>
        <w:pStyle w:val="ListBullet"/>
        <w:spacing w:before="20" w:after="40" w:line="276" w:lineRule="auto"/>
        <w:ind w:left="454"/>
      </w:pPr>
      <w:r>
        <w:rPr>
          <w:rFonts w:ascii="Calibri" w:hAnsi="Calibri"/>
          <w:b/>
          <w:sz w:val="22"/>
        </w:rPr>
        <w:t xml:space="preserve">Historical Trend Chart: </w:t>
      </w:r>
      <w:r>
        <w:rPr>
          <w:rFonts w:ascii="Calibri" w:hAnsi="Calibri"/>
          <w:sz w:val="22"/>
        </w:rPr>
        <w:t>Area Chart (dual toggle: Category L1 trend / Hot Product trend) using 5-day historical data.</w:t>
      </w:r>
    </w:p>
    <w:p>
      <w:pPr>
        <w:pStyle w:val="ListBullet"/>
        <w:spacing w:before="20" w:after="40" w:line="276" w:lineRule="auto"/>
        <w:ind w:left="454"/>
      </w:pPr>
      <w:r>
        <w:rPr>
          <w:rFonts w:ascii="Calibri" w:hAnsi="Calibri"/>
          <w:b/>
          <w:sz w:val="22"/>
        </w:rPr>
        <w:t xml:space="preserve">Portfolio Action: </w:t>
      </w:r>
      <w:r>
        <w:rPr>
          <w:rFonts w:ascii="Calibri" w:hAnsi="Calibri"/>
          <w:sz w:val="22"/>
        </w:rPr>
        <w:t>Portfolio classification section: Divest (red), Watch (yellow), Invest (green) – from ASG2 Q4 matrix.</w:t>
      </w:r>
    </w:p>
    <w:p>
      <w:pPr>
        <w:pStyle w:val="Heading3"/>
        <w:spacing w:before="200" w:after="80"/>
      </w:pPr>
      <w:r>
        <w:rPr>
          <w:rFonts w:ascii="Calibri" w:hAnsi="Calibri"/>
          <w:b/>
          <w:color w:val="1B5E20"/>
          <w:sz w:val="22"/>
        </w:rPr>
        <w:t>Tab 3: Competitor Recommendations  (Supports: Make informed decisions – Q3)</w:t>
      </w:r>
    </w:p>
    <w:p>
      <w:pPr>
        <w:pStyle w:val="ListBullet"/>
        <w:spacing w:before="20" w:after="40" w:line="276" w:lineRule="auto"/>
        <w:ind w:left="454"/>
      </w:pPr>
      <w:r>
        <w:rPr>
          <w:rFonts w:ascii="Calibri" w:hAnsi="Calibri"/>
          <w:b/>
          <w:sz w:val="22"/>
        </w:rPr>
        <w:t xml:space="preserve">Threshold Banner (ASG2 Q3): </w:t>
      </w:r>
      <w:r>
        <w:rPr>
          <w:rFonts w:ascii="Calibri" w:hAnsi="Calibri"/>
          <w:sz w:val="22"/>
        </w:rPr>
        <w:t>Banner at top of tab: 'To compete against official stores, your listing must be: ≥15.2% cheaper | Rating ≥ 4.3 | Reviews ≥ 14 | Delivery ≤ 2.6 days'. All four values computed from the ASG2 logistic winner model.</w:t>
      </w:r>
    </w:p>
    <w:p>
      <w:pPr>
        <w:pStyle w:val="ListBullet"/>
        <w:spacing w:before="20" w:after="40" w:line="276" w:lineRule="auto"/>
        <w:ind w:left="454"/>
      </w:pPr>
      <w:r>
        <w:rPr>
          <w:rFonts w:ascii="Calibri" w:hAnsi="Calibri"/>
          <w:b/>
          <w:sz w:val="22"/>
        </w:rPr>
        <w:t xml:space="preserve">Competitor Products: </w:t>
      </w:r>
      <w:r>
        <w:rPr>
          <w:rFonts w:ascii="Calibri" w:hAnsi="Calibri"/>
          <w:sz w:val="22"/>
        </w:rPr>
        <w:t>Product grid showing top Lazada (blue badge) and Shopee (orange badge) competitor products in gap categories.</w:t>
      </w:r>
    </w:p>
    <w:p>
      <w:pPr>
        <w:pStyle w:val="ListBullet"/>
        <w:spacing w:before="20" w:after="40" w:line="276" w:lineRule="auto"/>
        <w:ind w:left="454"/>
      </w:pPr>
      <w:r>
        <w:rPr>
          <w:rFonts w:ascii="Calibri" w:hAnsi="Calibri"/>
          <w:b/>
          <w:sz w:val="22"/>
        </w:rPr>
        <w:t xml:space="preserve">Filters: </w:t>
      </w:r>
      <w:r>
        <w:rPr>
          <w:rFonts w:ascii="Calibri" w:hAnsi="Calibri"/>
          <w:sz w:val="22"/>
        </w:rPr>
        <w:t>Platform toggle (Lazada / Shopee). Category filter synced with global filters.</w:t>
      </w:r>
    </w:p>
    <w:p>
      <w:pPr>
        <w:pStyle w:val="ListBullet"/>
        <w:spacing w:before="20" w:after="40" w:line="276" w:lineRule="auto"/>
        <w:ind w:left="454"/>
      </w:pPr>
      <w:r>
        <w:rPr>
          <w:rFonts w:ascii="Calibri" w:hAnsi="Calibri"/>
          <w:b/>
          <w:sz w:val="22"/>
        </w:rPr>
        <w:t xml:space="preserve">Card Content: </w:t>
      </w:r>
      <w:r>
        <w:rPr>
          <w:rFonts w:ascii="Calibri" w:hAnsi="Calibri"/>
          <w:sz w:val="22"/>
        </w:rPr>
        <w:t>Each card: price, rating, review count, sold count, platform badge, clickable product URL.</w:t>
      </w:r>
    </w:p>
    <w:p>
      <w:pPr>
        <w:pStyle w:val="Heading3"/>
        <w:spacing w:before="200" w:after="80"/>
      </w:pPr>
      <w:r>
        <w:rPr>
          <w:rFonts w:ascii="Calibri" w:hAnsi="Calibri"/>
          <w:b/>
          <w:color w:val="1B5E20"/>
          <w:sz w:val="22"/>
        </w:rPr>
        <w:t>Tab 4: Predictive Demand Forecast  (Supports: View future forecasts)</w:t>
      </w:r>
    </w:p>
    <w:p>
      <w:pPr>
        <w:pStyle w:val="ListBullet"/>
        <w:spacing w:before="20" w:after="40" w:line="276" w:lineRule="auto"/>
        <w:ind w:left="454"/>
      </w:pPr>
      <w:r>
        <w:rPr>
          <w:rFonts w:ascii="Calibri" w:hAnsi="Calibri"/>
          <w:b/>
          <w:sz w:val="22"/>
        </w:rPr>
        <w:t xml:space="preserve">Primary Chart: </w:t>
      </w:r>
      <w:r>
        <w:rPr>
          <w:rFonts w:ascii="Calibri" w:hAnsi="Calibri"/>
          <w:sz w:val="22"/>
        </w:rPr>
        <w:t>Dual-layer Area Chart: solid blue area = 5-day historical sold_count; dashed orange line = forward forecast.</w:t>
      </w:r>
    </w:p>
    <w:p>
      <w:pPr>
        <w:pStyle w:val="ListBullet"/>
        <w:spacing w:before="20" w:after="40" w:line="276" w:lineRule="auto"/>
        <w:ind w:left="454"/>
      </w:pPr>
      <w:r>
        <w:rPr>
          <w:rFonts w:ascii="Calibri" w:hAnsi="Calibri"/>
          <w:b/>
          <w:sz w:val="22"/>
        </w:rPr>
        <w:t xml:space="preserve">Confidence Interval: </w:t>
      </w:r>
      <w:r>
        <w:rPr>
          <w:rFonts w:ascii="Calibri" w:hAnsi="Calibri"/>
          <w:sz w:val="22"/>
        </w:rPr>
        <w:t>Shaded grey band around forecast line = 95% Confidence Interval from the linear regression model.</w:t>
      </w:r>
    </w:p>
    <w:p>
      <w:pPr>
        <w:pStyle w:val="ListBullet"/>
        <w:spacing w:before="20" w:after="40" w:line="276" w:lineRule="auto"/>
        <w:ind w:left="454"/>
      </w:pPr>
      <w:r>
        <w:rPr>
          <w:rFonts w:ascii="Calibri" w:hAnsi="Calibri"/>
          <w:b/>
          <w:sz w:val="22"/>
        </w:rPr>
        <w:t xml:space="preserve">Controls: </w:t>
      </w:r>
      <w:r>
        <w:rPr>
          <w:rFonts w:ascii="Calibri" w:hAnsi="Calibri"/>
          <w:sz w:val="22"/>
        </w:rPr>
        <w:t>Category selector: top-5 L2 subcategories by Opportunity Score. Horizon selector: 7 / 14 / 30 / 60 days.</w:t>
      </w:r>
    </w:p>
    <w:p>
      <w:pPr>
        <w:pStyle w:val="ListBullet"/>
        <w:spacing w:before="20" w:after="40" w:line="276" w:lineRule="auto"/>
        <w:ind w:left="454"/>
      </w:pPr>
      <w:r>
        <w:rPr>
          <w:rFonts w:ascii="Calibri" w:hAnsi="Calibri"/>
          <w:b/>
          <w:sz w:val="22"/>
        </w:rPr>
        <w:t xml:space="preserve">Summary Cards: </w:t>
      </w:r>
      <w:r>
        <w:rPr>
          <w:rFonts w:ascii="Calibri" w:hAnsi="Calibri"/>
          <w:sz w:val="22"/>
        </w:rPr>
        <w:t>Four KPI cards above chart: Current Sold | Predicted Sold (selected horizon) | Growth Rate % | Avg Daily Growth.</w:t>
      </w:r>
    </w:p>
    <w:p>
      <w:pPr>
        <w:pStyle w:val="Heading3"/>
        <w:spacing w:before="200" w:after="80"/>
      </w:pPr>
      <w:r>
        <w:rPr>
          <w:rFonts w:ascii="Calibri" w:hAnsi="Calibri"/>
          <w:b/>
          <w:color w:val="1B5E20"/>
          <w:sz w:val="22"/>
        </w:rPr>
        <w:t>Tab 5: What-If Scenarios / Capital Allocator  (Supports: Evaluate alternative scenarios – Q5)</w:t>
      </w:r>
    </w:p>
    <w:p>
      <w:pPr>
        <w:pStyle w:val="ListBullet"/>
        <w:spacing w:before="20" w:after="40" w:line="276" w:lineRule="auto"/>
        <w:ind w:left="454"/>
      </w:pPr>
      <w:r>
        <w:rPr>
          <w:rFonts w:ascii="Calibri" w:hAnsi="Calibri"/>
          <w:b/>
          <w:sz w:val="22"/>
        </w:rPr>
        <w:t xml:space="preserve">Scenario Selector: </w:t>
      </w:r>
      <w:r>
        <w:rPr>
          <w:rFonts w:ascii="Calibri" w:hAnsi="Calibri"/>
          <w:sz w:val="22"/>
        </w:rPr>
        <w:t>Four clickable scenario cards: Base Budget 1B VND | Budget −20% (800M VND) | Budget +30% (1.3B VND) | Tiki Fee Change.</w:t>
      </w:r>
    </w:p>
    <w:p>
      <w:pPr>
        <w:pStyle w:val="ListBullet"/>
        <w:spacing w:before="20" w:after="40" w:line="276" w:lineRule="auto"/>
        <w:ind w:left="454"/>
      </w:pPr>
      <w:r>
        <w:rPr>
          <w:rFonts w:ascii="Calibri" w:hAnsi="Calibri"/>
          <w:b/>
          <w:sz w:val="22"/>
        </w:rPr>
        <w:t xml:space="preserve">Backend LP Execution: </w:t>
      </w:r>
      <w:r>
        <w:rPr>
          <w:rFonts w:ascii="Calibri" w:hAnsi="Calibri"/>
          <w:sz w:val="22"/>
        </w:rPr>
        <w:t>Clicking a card triggers the Flask API to execute the LP optimizer (scipy.optimize.linprog) in real-time.</w:t>
      </w:r>
    </w:p>
    <w:p>
      <w:pPr>
        <w:pStyle w:val="ListBullet"/>
        <w:spacing w:before="20" w:after="40" w:line="276" w:lineRule="auto"/>
        <w:ind w:left="454"/>
      </w:pPr>
      <w:r>
        <w:rPr>
          <w:rFonts w:ascii="Calibri" w:hAnsi="Calibri"/>
          <w:b/>
          <w:sz w:val="22"/>
        </w:rPr>
        <w:t xml:space="preserve">Results Display: </w:t>
      </w:r>
      <w:r>
        <w:rPr>
          <w:rFonts w:ascii="Calibri" w:hAnsi="Calibri"/>
          <w:sz w:val="22"/>
        </w:rPr>
        <w:t>Output: side-by-side allocation table (L2 category | ROI weight | allocation per scenario) + grouped bar chart.</w:t>
      </w:r>
    </w:p>
    <w:p>
      <w:pPr>
        <w:pStyle w:val="ListBullet"/>
        <w:spacing w:before="20" w:after="40" w:line="276" w:lineRule="auto"/>
        <w:ind w:left="454"/>
      </w:pPr>
      <w:r>
        <w:rPr>
          <w:rFonts w:ascii="Calibri" w:hAnsi="Calibri"/>
          <w:b/>
          <w:sz w:val="22"/>
        </w:rPr>
        <w:t xml:space="preserve">Impact Summary: </w:t>
      </w:r>
      <w:r>
        <w:rPr>
          <w:rFonts w:ascii="Calibri" w:hAnsi="Calibri"/>
          <w:sz w:val="22"/>
        </w:rPr>
        <w:t>Impact KPI cards: Revenue Increase (VND) | Sold Count Impact | Market Share Gain (%) vs. base scenario.</w:t>
      </w:r>
    </w:p>
    <w:p>
      <w:pPr>
        <w:pStyle w:val="ListBullet"/>
        <w:spacing w:before="20" w:after="40" w:line="276" w:lineRule="auto"/>
        <w:ind w:left="454"/>
      </w:pPr>
      <w:r>
        <w:rPr>
          <w:rFonts w:ascii="Calibri" w:hAnsi="Calibri"/>
          <w:b/>
          <w:sz w:val="22"/>
        </w:rPr>
        <w:t xml:space="preserve">Decision Output: </w:t>
      </w:r>
      <w:r>
        <w:rPr>
          <w:rFonts w:ascii="Calibri" w:hAnsi="Calibri"/>
          <w:sz w:val="22"/>
        </w:rPr>
        <w:t>'Best Scenario' recommendation panel identifies which scenario maximizes revenue and which maximizes market share.</w:t>
      </w:r>
    </w:p>
    <w:p>
      <w:pPr>
        <w:pStyle w:val="Heading3"/>
        <w:spacing w:before="200" w:after="80"/>
      </w:pPr>
      <w:r>
        <w:rPr>
          <w:rFonts w:ascii="Calibri" w:hAnsi="Calibri"/>
          <w:b/>
          <w:color w:val="1B5E20"/>
          <w:sz w:val="22"/>
        </w:rPr>
        <w:t>Tabs 6–8: Raw Data Tables  (Supports: Monitor key KPIs – data transparency)</w:t>
      </w:r>
    </w:p>
    <w:p>
      <w:pPr>
        <w:pStyle w:val="ListBullet"/>
        <w:spacing w:before="20" w:after="40" w:line="276" w:lineRule="auto"/>
        <w:ind w:left="454"/>
      </w:pPr>
      <w:r>
        <w:rPr>
          <w:rFonts w:ascii="Calibri" w:hAnsi="Calibri"/>
          <w:b/>
          <w:sz w:val="22"/>
        </w:rPr>
        <w:t xml:space="preserve">Tab 6: </w:t>
      </w:r>
      <w:r>
        <w:rPr>
          <w:rFonts w:ascii="Calibri" w:hAnsi="Calibri"/>
          <w:sz w:val="22"/>
        </w:rPr>
        <w:t>Tab 6 – Tiki Data: paginated table (50 rows/page) for all 1,925 products with columns: Name, Category L2, Price, Sold Count, Revenue, Rating, Discount, Last Updated.</w:t>
      </w:r>
    </w:p>
    <w:p>
      <w:pPr>
        <w:pStyle w:val="ListBullet"/>
        <w:spacing w:before="20" w:after="40" w:line="276" w:lineRule="auto"/>
        <w:ind w:left="454"/>
      </w:pPr>
      <w:r>
        <w:rPr>
          <w:rFonts w:ascii="Calibri" w:hAnsi="Calibri"/>
          <w:b/>
          <w:sz w:val="22"/>
        </w:rPr>
        <w:t xml:space="preserve">Tab 7: </w:t>
      </w:r>
      <w:r>
        <w:rPr>
          <w:rFonts w:ascii="Calibri" w:hAnsi="Calibri"/>
          <w:sz w:val="22"/>
        </w:rPr>
        <w:t>Tab 7 – Lazada Data: paginated table for all 1,000 Lazada products. Blue tab color.</w:t>
      </w:r>
    </w:p>
    <w:p>
      <w:pPr>
        <w:pStyle w:val="ListBullet"/>
        <w:spacing w:before="20" w:after="40" w:line="276" w:lineRule="auto"/>
        <w:ind w:left="454"/>
      </w:pPr>
      <w:r>
        <w:rPr>
          <w:rFonts w:ascii="Calibri" w:hAnsi="Calibri"/>
          <w:b/>
          <w:sz w:val="22"/>
        </w:rPr>
        <w:t xml:space="preserve">Tab 8: </w:t>
      </w:r>
      <w:r>
        <w:rPr>
          <w:rFonts w:ascii="Calibri" w:hAnsi="Calibri"/>
          <w:sz w:val="22"/>
        </w:rPr>
        <w:t>Tab 8 – Shopee Data: paginated table for all 98 Shopee products. Orange tab color.</w:t>
      </w:r>
    </w:p>
    <w:p>
      <w:pPr>
        <w:pStyle w:val="ListBullet"/>
        <w:spacing w:before="20" w:after="40" w:line="276" w:lineRule="auto"/>
        <w:ind w:left="454"/>
      </w:pPr>
      <w:r>
        <w:rPr>
          <w:rFonts w:ascii="Calibri" w:hAnsi="Calibri"/>
          <w:b/>
          <w:sz w:val="22"/>
        </w:rPr>
        <w:t xml:space="preserve">Shared Features: </w:t>
      </w:r>
      <w:r>
        <w:rPr>
          <w:rFonts w:ascii="Calibri" w:hAnsi="Calibri"/>
          <w:sz w:val="22"/>
        </w:rPr>
        <w:t>All three tables: column-level search, global filter integration, export to Excel.</w:t>
      </w:r>
    </w:p>
    <w:p>
      <w:pPr>
        <w:pStyle w:val="Heading2"/>
        <w:spacing w:before="200" w:after="80"/>
      </w:pPr>
      <w:r>
        <w:rPr>
          <w:rFonts w:ascii="Calibri" w:hAnsi="Calibri"/>
          <w:b/>
          <w:color w:val="00695C"/>
          <w:sz w:val="26"/>
        </w:rPr>
        <w:t>Step 3 – Explain the Design</w:t>
      </w:r>
    </w:p>
    <w:p>
      <w:pPr>
        <w:spacing w:before="40" w:after="100" w:line="276" w:lineRule="auto"/>
      </w:pPr>
      <w:r>
        <w:rPr>
          <w:rFonts w:ascii="Calibri" w:hAnsi="Calibri"/>
          <w:sz w:val="22"/>
        </w:rPr>
        <w:t>This section explains the rationale behind the design choices made in Step 2, organized around the five evaluation criteria specified in the assignment.</w:t>
      </w:r>
    </w:p>
    <w:p>
      <w:pPr>
        <w:spacing w:before="40" w:after="100" w:line="276" w:lineRule="auto"/>
      </w:pPr>
      <w:r>
        <w:rPr>
          <w:rFonts w:ascii="Calibri" w:hAnsi="Calibri"/>
          <w:sz w:val="22"/>
        </w:rPr>
        <w:t>Alignment with decision maker needs:</w:t>
      </w:r>
    </w:p>
    <w:p>
      <w:pPr>
        <w:spacing w:before="40" w:after="100" w:line="276" w:lineRule="auto"/>
      </w:pPr>
      <w:r>
        <w:rPr>
          <w:rFonts w:ascii="Calibri" w:hAnsi="Calibri"/>
          <w:sz w:val="22"/>
        </w:rPr>
        <w:t>Every feature in the dashboard traces back to a specific need identified in Step 1. The table below maps each major design choice to its user need and ASG2 evidence:</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fill="1D4ED8"/>
          </w:tcPr>
          <w:p>
            <w:pPr>
              <w:spacing w:before="60" w:after="60" w:line="276" w:lineRule="auto"/>
              <w:jc w:val="center"/>
            </w:pPr>
            <w:r>
              <w:rPr>
                <w:rFonts w:ascii="Calibri" w:hAnsi="Calibri"/>
                <w:b/>
                <w:color w:val="FFFFFF"/>
                <w:sz w:val="19"/>
              </w:rPr>
              <w:t>Design Feature</w:t>
            </w:r>
          </w:p>
        </w:tc>
        <w:tc>
          <w:tcPr>
            <w:tcW w:type="dxa" w:w="3041"/>
            <w:vAlign w:val="center"/>
            <w:shd w:val="clear" w:fill="1D4ED8"/>
          </w:tcPr>
          <w:p>
            <w:pPr>
              <w:spacing w:before="60" w:after="60" w:line="276" w:lineRule="auto"/>
              <w:jc w:val="center"/>
            </w:pPr>
            <w:r>
              <w:rPr>
                <w:rFonts w:ascii="Calibri" w:hAnsi="Calibri"/>
                <w:b/>
                <w:color w:val="FFFFFF"/>
                <w:sz w:val="19"/>
              </w:rPr>
              <w:t>Decision Maker Need Addressed</w:t>
            </w:r>
          </w:p>
        </w:tc>
        <w:tc>
          <w:tcPr>
            <w:tcW w:type="dxa" w:w="3041"/>
            <w:vAlign w:val="center"/>
            <w:shd w:val="clear" w:fill="1D4ED8"/>
          </w:tcPr>
          <w:p>
            <w:pPr>
              <w:spacing w:before="60" w:after="60" w:line="276" w:lineRule="auto"/>
              <w:jc w:val="center"/>
            </w:pPr>
            <w:r>
              <w:rPr>
                <w:rFonts w:ascii="Calibri" w:hAnsi="Calibri"/>
                <w:b/>
                <w:color w:val="FFFFFF"/>
                <w:sz w:val="19"/>
              </w:rPr>
              <w:t>ASG2 Evidence</w:t>
            </w:r>
          </w:p>
        </w:tc>
      </w:tr>
      <w:tr>
        <w:tc>
          <w:tcPr>
            <w:tcW w:type="dxa" w:w="3041"/>
            <w:vAlign w:val="center"/>
          </w:tcPr>
          <w:p>
            <w:pPr>
              <w:spacing w:before="40" w:after="40" w:line="276" w:lineRule="auto"/>
            </w:pPr>
            <w:r>
              <w:rPr>
                <w:rFonts w:ascii="Calibri" w:hAnsi="Calibri"/>
                <w:sz w:val="19"/>
              </w:rPr>
              <w:t>Sticky KPI Cards (Zone 3)</w:t>
            </w:r>
          </w:p>
        </w:tc>
        <w:tc>
          <w:tcPr>
            <w:tcW w:type="dxa" w:w="3041"/>
            <w:vAlign w:val="center"/>
          </w:tcPr>
          <w:p>
            <w:pPr>
              <w:spacing w:before="40" w:after="40" w:line="276" w:lineRule="auto"/>
            </w:pPr>
            <w:r>
              <w:rPr>
                <w:rFonts w:ascii="Calibri" w:hAnsi="Calibri"/>
                <w:sz w:val="19"/>
              </w:rPr>
              <w:t>Seller needs an instant portfolio health check before opening any analysis tab</w:t>
            </w:r>
          </w:p>
        </w:tc>
        <w:tc>
          <w:tcPr>
            <w:tcW w:type="dxa" w:w="3041"/>
            <w:vAlign w:val="center"/>
          </w:tcPr>
          <w:p>
            <w:pPr>
              <w:spacing w:before="40" w:after="40" w:line="276" w:lineRule="auto"/>
            </w:pPr>
            <w:r>
              <w:rPr>
                <w:rFonts w:ascii="Calibri" w:hAnsi="Calibri"/>
                <w:sz w:val="19"/>
              </w:rPr>
              <w:t>KPI framework from ASG1 / ASG2: Revenue, SKU Count, Gap Count</w:t>
            </w:r>
          </w:p>
        </w:tc>
      </w:tr>
      <w:tr>
        <w:tc>
          <w:tcPr>
            <w:tcW w:type="dxa" w:w="3041"/>
            <w:vAlign w:val="center"/>
          </w:tcPr>
          <w:p>
            <w:pPr>
              <w:spacing w:before="40" w:after="40" w:line="276" w:lineRule="auto"/>
            </w:pPr>
            <w:r>
              <w:rPr>
                <w:rFonts w:ascii="Calibri" w:hAnsi="Calibri"/>
                <w:sz w:val="19"/>
              </w:rPr>
              <w:t>Global filter synchronization across all 8 tabs</w:t>
            </w:r>
          </w:p>
        </w:tc>
        <w:tc>
          <w:tcPr>
            <w:tcW w:type="dxa" w:w="3041"/>
            <w:vAlign w:val="center"/>
          </w:tcPr>
          <w:p>
            <w:pPr>
              <w:spacing w:before="40" w:after="40" w:line="276" w:lineRule="auto"/>
            </w:pPr>
            <w:r>
              <w:rPr>
                <w:rFonts w:ascii="Calibri" w:hAnsi="Calibri"/>
                <w:sz w:val="19"/>
              </w:rPr>
              <w:t>Time-pressured seller needs one filter action to update all views at once</w:t>
            </w:r>
          </w:p>
        </w:tc>
        <w:tc>
          <w:tcPr>
            <w:tcW w:type="dxa" w:w="3041"/>
            <w:vAlign w:val="center"/>
          </w:tcPr>
          <w:p>
            <w:pPr>
              <w:spacing w:before="40" w:after="40" w:line="276" w:lineRule="auto"/>
            </w:pPr>
            <w:r>
              <w:rPr>
                <w:rFonts w:ascii="Calibri" w:hAnsi="Calibri"/>
                <w:sz w:val="19"/>
              </w:rPr>
              <w:t>Decisions Q1–Q5 cut across categories simultaneously; no time to re-filter per tab</w:t>
            </w:r>
          </w:p>
        </w:tc>
      </w:tr>
      <w:tr>
        <w:tc>
          <w:tcPr>
            <w:tcW w:type="dxa" w:w="3041"/>
            <w:vAlign w:val="center"/>
          </w:tcPr>
          <w:p>
            <w:pPr>
              <w:spacing w:before="40" w:after="40" w:line="276" w:lineRule="auto"/>
            </w:pPr>
            <w:r>
              <w:rPr>
                <w:rFonts w:ascii="Calibri" w:hAnsi="Calibri"/>
                <w:sz w:val="19"/>
              </w:rPr>
              <w:t>HOT / AUTHENTIC product badges</w:t>
            </w:r>
          </w:p>
        </w:tc>
        <w:tc>
          <w:tcPr>
            <w:tcW w:type="dxa" w:w="3041"/>
            <w:vAlign w:val="center"/>
          </w:tcPr>
          <w:p>
            <w:pPr>
              <w:spacing w:before="40" w:after="40" w:line="276" w:lineRule="auto"/>
            </w:pPr>
            <w:r>
              <w:rPr>
                <w:rFonts w:ascii="Calibri" w:hAnsi="Calibri"/>
                <w:sz w:val="19"/>
              </w:rPr>
              <w:t>Non-technical seller needs instant product status signals without reading numbers</w:t>
            </w:r>
          </w:p>
        </w:tc>
        <w:tc>
          <w:tcPr>
            <w:tcW w:type="dxa" w:w="3041"/>
            <w:vAlign w:val="center"/>
          </w:tcPr>
          <w:p>
            <w:pPr>
              <w:spacing w:before="40" w:after="40" w:line="276" w:lineRule="auto"/>
            </w:pPr>
            <w:r>
              <w:rPr>
                <w:rFonts w:ascii="Calibri" w:hAnsi="Calibri"/>
                <w:sz w:val="19"/>
              </w:rPr>
              <w:t>is_authentic regression coefficient = +0.798 (2.2× sales multiplier from ASG2 Q2)</w:t>
            </w:r>
          </w:p>
        </w:tc>
      </w:tr>
      <w:tr>
        <w:tc>
          <w:tcPr>
            <w:tcW w:type="dxa" w:w="3041"/>
            <w:vAlign w:val="center"/>
          </w:tcPr>
          <w:p>
            <w:pPr>
              <w:spacing w:before="40" w:after="40" w:line="276" w:lineRule="auto"/>
            </w:pPr>
            <w:r>
              <w:rPr>
                <w:rFonts w:ascii="Calibri" w:hAnsi="Calibri"/>
                <w:sz w:val="19"/>
              </w:rPr>
              <w:t>Opportunity Score bar chart (Green/Yellow/Red color coding)</w:t>
            </w:r>
          </w:p>
        </w:tc>
        <w:tc>
          <w:tcPr>
            <w:tcW w:type="dxa" w:w="3041"/>
            <w:vAlign w:val="center"/>
          </w:tcPr>
          <w:p>
            <w:pPr>
              <w:spacing w:before="40" w:after="40" w:line="276" w:lineRule="auto"/>
            </w:pPr>
            <w:r>
              <w:rPr>
                <w:rFonts w:ascii="Calibri" w:hAnsi="Calibri"/>
                <w:sz w:val="19"/>
              </w:rPr>
              <w:t>Seller needs to identify the best niche to enter in under 30 seconds</w:t>
            </w:r>
          </w:p>
        </w:tc>
        <w:tc>
          <w:tcPr>
            <w:tcW w:type="dxa" w:w="3041"/>
            <w:vAlign w:val="center"/>
          </w:tcPr>
          <w:p>
            <w:pPr>
              <w:spacing w:before="40" w:after="40" w:line="276" w:lineRule="auto"/>
            </w:pPr>
            <w:r>
              <w:rPr>
                <w:rFonts w:ascii="Calibri" w:hAnsi="Calibri"/>
                <w:sz w:val="19"/>
              </w:rPr>
              <w:t>Score formula: 0.4×RevSKU + 0.3×NonOffShare + 0.3×(1−OfficialDom) from ASG2 Q1</w:t>
            </w:r>
          </w:p>
        </w:tc>
      </w:tr>
      <w:tr>
        <w:tc>
          <w:tcPr>
            <w:tcW w:type="dxa" w:w="3041"/>
            <w:vAlign w:val="center"/>
          </w:tcPr>
          <w:p>
            <w:pPr>
              <w:spacing w:before="40" w:after="40" w:line="276" w:lineRule="auto"/>
            </w:pPr>
            <w:r>
              <w:rPr>
                <w:rFonts w:ascii="Calibri" w:hAnsi="Calibri"/>
                <w:sz w:val="19"/>
              </w:rPr>
              <w:t>Competitor threshold banner (15.2% / 4.3 / 14 / 2.6 days)</w:t>
            </w:r>
          </w:p>
        </w:tc>
        <w:tc>
          <w:tcPr>
            <w:tcW w:type="dxa" w:w="3041"/>
            <w:vAlign w:val="center"/>
          </w:tcPr>
          <w:p>
            <w:pPr>
              <w:spacing w:before="40" w:after="40" w:line="276" w:lineRule="auto"/>
            </w:pPr>
            <w:r>
              <w:rPr>
                <w:rFonts w:ascii="Calibri" w:hAnsi="Calibri"/>
                <w:sz w:val="19"/>
              </w:rPr>
              <w:t>Seller needs a practical 4-parameter recipe to compete with official stores</w:t>
            </w:r>
          </w:p>
        </w:tc>
        <w:tc>
          <w:tcPr>
            <w:tcW w:type="dxa" w:w="3041"/>
            <w:vAlign w:val="center"/>
          </w:tcPr>
          <w:p>
            <w:pPr>
              <w:spacing w:before="40" w:after="40" w:line="276" w:lineRule="auto"/>
            </w:pPr>
            <w:r>
              <w:rPr>
                <w:rFonts w:ascii="Calibri" w:hAnsi="Calibri"/>
                <w:sz w:val="19"/>
              </w:rPr>
              <w:t>Logistic winner model from ASG2 Q3: extracted from winner vs. non-winner comparison</w:t>
            </w:r>
          </w:p>
        </w:tc>
      </w:tr>
      <w:tr>
        <w:tc>
          <w:tcPr>
            <w:tcW w:type="dxa" w:w="3041"/>
            <w:vAlign w:val="center"/>
          </w:tcPr>
          <w:p>
            <w:pPr>
              <w:spacing w:before="40" w:after="40" w:line="276" w:lineRule="auto"/>
            </w:pPr>
            <w:r>
              <w:rPr>
                <w:rFonts w:ascii="Calibri" w:hAnsi="Calibri"/>
                <w:sz w:val="19"/>
              </w:rPr>
              <w:t>LP Capital Allocator with 3 clickable scenario buttons</w:t>
            </w:r>
          </w:p>
        </w:tc>
        <w:tc>
          <w:tcPr>
            <w:tcW w:type="dxa" w:w="3041"/>
            <w:vAlign w:val="center"/>
          </w:tcPr>
          <w:p>
            <w:pPr>
              <w:spacing w:before="40" w:after="40" w:line="276" w:lineRule="auto"/>
            </w:pPr>
            <w:r>
              <w:rPr>
                <w:rFonts w:ascii="Calibri" w:hAnsi="Calibri"/>
                <w:sz w:val="19"/>
              </w:rPr>
              <w:t>Capital-constrained seller needs instant rebalancing guidance under budget changes</w:t>
            </w:r>
          </w:p>
        </w:tc>
        <w:tc>
          <w:tcPr>
            <w:tcW w:type="dxa" w:w="3041"/>
            <w:vAlign w:val="center"/>
          </w:tcPr>
          <w:p>
            <w:pPr>
              <w:spacing w:before="40" w:after="40" w:line="276" w:lineRule="auto"/>
            </w:pPr>
            <w:r>
              <w:rPr>
                <w:rFonts w:ascii="Calibri" w:hAnsi="Calibri"/>
                <w:sz w:val="19"/>
              </w:rPr>
              <w:t>LP model from ASG2 Q5: base, −20%, +30%, and fee scenarios solved and validated</w:t>
            </w:r>
          </w:p>
        </w:tc>
      </w:tr>
      <w:tr>
        <w:tc>
          <w:tcPr>
            <w:tcW w:type="dxa" w:w="3041"/>
            <w:vAlign w:val="center"/>
          </w:tcPr>
          <w:p>
            <w:pPr>
              <w:spacing w:before="40" w:after="40" w:line="276" w:lineRule="auto"/>
            </w:pPr>
            <w:r>
              <w:rPr>
                <w:rFonts w:ascii="Calibri" w:hAnsi="Calibri"/>
                <w:sz w:val="19"/>
              </w:rPr>
              <w:t>Portfolio Divest/Watch/Invest color matrix (Tab 2)</w:t>
            </w:r>
          </w:p>
        </w:tc>
        <w:tc>
          <w:tcPr>
            <w:tcW w:type="dxa" w:w="3041"/>
            <w:vAlign w:val="center"/>
          </w:tcPr>
          <w:p>
            <w:pPr>
              <w:spacing w:before="40" w:after="40" w:line="276" w:lineRule="auto"/>
            </w:pPr>
            <w:r>
              <w:rPr>
                <w:rFonts w:ascii="Calibri" w:hAnsi="Calibri"/>
                <w:sz w:val="19"/>
              </w:rPr>
              <w:t>Category manager needs to know immediately which products to cut</w:t>
            </w:r>
          </w:p>
        </w:tc>
        <w:tc>
          <w:tcPr>
            <w:tcW w:type="dxa" w:w="3041"/>
            <w:vAlign w:val="center"/>
          </w:tcPr>
          <w:p>
            <w:pPr>
              <w:spacing w:before="40" w:after="40" w:line="276" w:lineRule="auto"/>
            </w:pPr>
            <w:r>
              <w:rPr>
                <w:rFonts w:ascii="Calibri" w:hAnsi="Calibri"/>
                <w:sz w:val="19"/>
              </w:rPr>
              <w:t>3D matrix from ASG2 Q4: Hoodies/Outfits → Divest; T-Shirts → Watch; Underwear → Invest</w:t>
            </w:r>
          </w:p>
        </w:tc>
      </w:tr>
    </w:tbl>
    <w:p/>
    <w:p>
      <w:pPr>
        <w:spacing w:before="40" w:after="100" w:line="276" w:lineRule="auto"/>
      </w:pPr>
      <w:r>
        <w:rPr>
          <w:rFonts w:ascii="Calibri" w:hAnsi="Calibri"/>
          <w:sz w:val="22"/>
        </w:rPr>
        <w:t>Effective communication of analytical results:</w:t>
      </w:r>
    </w:p>
    <w:p>
      <w:pPr>
        <w:spacing w:before="40" w:after="100" w:line="276" w:lineRule="auto"/>
      </w:pPr>
      <w:r>
        <w:rPr>
          <w:rFonts w:ascii="Calibri" w:hAnsi="Calibri"/>
          <w:sz w:val="22"/>
        </w:rPr>
        <w:t>The dashboard presents ASG2 model outputs at three progressive layers of detail, so users at any technical level can extract value:</w:t>
      </w:r>
    </w:p>
    <w:p>
      <w:pPr>
        <w:pStyle w:val="ListBullet"/>
        <w:spacing w:before="20" w:after="40" w:line="276" w:lineRule="auto"/>
        <w:ind w:left="454"/>
      </w:pPr>
      <w:r>
        <w:rPr>
          <w:rFonts w:ascii="Calibri" w:hAnsi="Calibri"/>
          <w:b/>
          <w:sz w:val="22"/>
        </w:rPr>
        <w:t xml:space="preserve">Layer 1 – Executive View (30-second scan): </w:t>
      </w:r>
      <w:r>
        <w:rPr>
          <w:rFonts w:ascii="Calibri" w:hAnsi="Calibri"/>
          <w:sz w:val="22"/>
        </w:rPr>
        <w:t>KPI Cards, HOT/AUTHENTIC badges, traffic-light Opportunity Score colors, and plain-text 'Best Scenario' recommendation. No regression equations or LP constraints shown. Designed for the shop owner making a quick decision.</w:t>
      </w:r>
    </w:p>
    <w:p>
      <w:pPr>
        <w:pStyle w:val="ListBullet"/>
        <w:spacing w:before="20" w:after="40" w:line="276" w:lineRule="auto"/>
        <w:ind w:left="454"/>
      </w:pPr>
      <w:r>
        <w:rPr>
          <w:rFonts w:ascii="Calibri" w:hAnsi="Calibri"/>
          <w:b/>
          <w:sz w:val="22"/>
        </w:rPr>
        <w:t xml:space="preserve">Layer 2 – Operational View (2–5 minute analysis): </w:t>
      </w:r>
      <w:r>
        <w:rPr>
          <w:rFonts w:ascii="Calibri" w:hAnsi="Calibri"/>
          <w:sz w:val="22"/>
        </w:rPr>
        <w:t>Bar charts with labeled values, area charts with tooltips showing exact numbers on hover, scenario comparison table with VND amounts, competitor product cards with rating/review counts. Designed for weekly operational reviews.</w:t>
      </w:r>
    </w:p>
    <w:p>
      <w:pPr>
        <w:pStyle w:val="ListBullet"/>
        <w:spacing w:before="20" w:after="40" w:line="276" w:lineRule="auto"/>
        <w:ind w:left="454"/>
      </w:pPr>
      <w:r>
        <w:rPr>
          <w:rFonts w:ascii="Calibri" w:hAnsi="Calibri"/>
          <w:b/>
          <w:sz w:val="22"/>
        </w:rPr>
        <w:t xml:space="preserve">Layer 3 – Analytical View (deep dive): </w:t>
      </w:r>
      <w:r>
        <w:rPr>
          <w:rFonts w:ascii="Calibri" w:hAnsi="Calibri"/>
          <w:sz w:val="22"/>
        </w:rPr>
        <w:t>Raw data tabs (Tabs 6–8), regression model summary displayed in the Forecast tab description, full LP allocation table with ROI weights, and competitor product URLs for manual verification. Designed for advanced analysis and audit.</w:t>
      </w:r>
    </w:p>
    <w:p>
      <w:pPr>
        <w:spacing w:before="40" w:after="100" w:line="276" w:lineRule="auto"/>
      </w:pPr>
      <w:r>
        <w:rPr>
          <w:rFonts w:ascii="Calibri" w:hAnsi="Calibri"/>
          <w:sz w:val="22"/>
        </w:rPr>
        <w:t>Dashboard usability:</w:t>
      </w:r>
    </w:p>
    <w:p>
      <w:pPr>
        <w:spacing w:before="40" w:after="100" w:line="276" w:lineRule="auto"/>
      </w:pPr>
      <w:r>
        <w:rPr>
          <w:rFonts w:ascii="Calibri" w:hAnsi="Calibri"/>
          <w:sz w:val="22"/>
        </w:rPr>
        <w:t>The interface was designed and evaluated against Nielsen's 10 Usability Heuristics:</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fill="1D4ED8"/>
          </w:tcPr>
          <w:p>
            <w:pPr>
              <w:spacing w:before="60" w:after="60" w:line="276" w:lineRule="auto"/>
              <w:jc w:val="center"/>
            </w:pPr>
            <w:r>
              <w:rPr>
                <w:rFonts w:ascii="Calibri" w:hAnsi="Calibri"/>
                <w:b/>
                <w:color w:val="FFFFFF"/>
                <w:sz w:val="19"/>
              </w:rPr>
              <w:t>Heuristic</w:t>
            </w:r>
          </w:p>
        </w:tc>
        <w:tc>
          <w:tcPr>
            <w:tcW w:type="dxa" w:w="4561"/>
            <w:vAlign w:val="center"/>
            <w:shd w:val="clear" w:fill="1D4ED8"/>
          </w:tcPr>
          <w:p>
            <w:pPr>
              <w:spacing w:before="60" w:after="60" w:line="276" w:lineRule="auto"/>
              <w:jc w:val="center"/>
            </w:pPr>
            <w:r>
              <w:rPr>
                <w:rFonts w:ascii="Calibri" w:hAnsi="Calibri"/>
                <w:b/>
                <w:color w:val="FFFFFF"/>
                <w:sz w:val="19"/>
              </w:rPr>
              <w:t>How It Is Applied in the Dashboard</w:t>
            </w:r>
          </w:p>
        </w:tc>
      </w:tr>
      <w:tr>
        <w:tc>
          <w:tcPr>
            <w:tcW w:type="dxa" w:w="4561"/>
            <w:vAlign w:val="center"/>
          </w:tcPr>
          <w:p>
            <w:pPr>
              <w:spacing w:before="40" w:after="40" w:line="276" w:lineRule="auto"/>
            </w:pPr>
            <w:r>
              <w:rPr>
                <w:rFonts w:ascii="Calibri" w:hAnsi="Calibri"/>
                <w:sz w:val="19"/>
              </w:rPr>
              <w:t>1. Visibility of System Status</w:t>
            </w:r>
          </w:p>
        </w:tc>
        <w:tc>
          <w:tcPr>
            <w:tcW w:type="dxa" w:w="4561"/>
            <w:vAlign w:val="center"/>
          </w:tcPr>
          <w:p>
            <w:pPr>
              <w:spacing w:before="40" w:after="40" w:line="276" w:lineRule="auto"/>
            </w:pPr>
            <w:r>
              <w:rPr>
                <w:rFonts w:ascii="Calibri" w:hAnsi="Calibri"/>
                <w:sz w:val="19"/>
              </w:rPr>
              <w:t>Animated 'live' status dot in the header; loading spinner shown on every API call; empty-state messages explain why no results appear when filters are too restrictive</w:t>
            </w:r>
          </w:p>
        </w:tc>
      </w:tr>
      <w:tr>
        <w:tc>
          <w:tcPr>
            <w:tcW w:type="dxa" w:w="4561"/>
            <w:vAlign w:val="center"/>
          </w:tcPr>
          <w:p>
            <w:pPr>
              <w:spacing w:before="40" w:after="40" w:line="276" w:lineRule="auto"/>
            </w:pPr>
            <w:r>
              <w:rPr>
                <w:rFonts w:ascii="Calibri" w:hAnsi="Calibri"/>
                <w:sz w:val="19"/>
              </w:rPr>
              <w:t>2. Match Between System and Real World</w:t>
            </w:r>
          </w:p>
        </w:tc>
        <w:tc>
          <w:tcPr>
            <w:tcW w:type="dxa" w:w="4561"/>
            <w:vAlign w:val="center"/>
          </w:tcPr>
          <w:p>
            <w:pPr>
              <w:spacing w:before="40" w:after="40" w:line="276" w:lineRule="auto"/>
            </w:pPr>
            <w:r>
              <w:rPr>
                <w:rFonts w:ascii="Calibri" w:hAnsi="Calibri"/>
                <w:sz w:val="19"/>
              </w:rPr>
              <w:t>Currency displayed in Vietnamese format ('triệu đ' / 'tỷ đ'); dates as DD/MM/YYYY; product names kept in Vietnamese as they appear on Tiki</w:t>
            </w:r>
          </w:p>
        </w:tc>
      </w:tr>
      <w:tr>
        <w:tc>
          <w:tcPr>
            <w:tcW w:type="dxa" w:w="4561"/>
            <w:vAlign w:val="center"/>
          </w:tcPr>
          <w:p>
            <w:pPr>
              <w:spacing w:before="40" w:after="40" w:line="276" w:lineRule="auto"/>
            </w:pPr>
            <w:r>
              <w:rPr>
                <w:rFonts w:ascii="Calibri" w:hAnsi="Calibri"/>
                <w:sz w:val="19"/>
              </w:rPr>
              <w:t>3. User Control and Freedom</w:t>
            </w:r>
          </w:p>
        </w:tc>
        <w:tc>
          <w:tcPr>
            <w:tcW w:type="dxa" w:w="4561"/>
            <w:vAlign w:val="center"/>
          </w:tcPr>
          <w:p>
            <w:pPr>
              <w:spacing w:before="40" w:after="40" w:line="276" w:lineRule="auto"/>
            </w:pPr>
            <w:r>
              <w:rPr>
                <w:rFonts w:ascii="Calibri" w:hAnsi="Calibri"/>
                <w:sz w:val="19"/>
              </w:rPr>
              <w:t>Global Reset button clears all filters with one click; tab navigation is non-sequential (user can jump freely between any tab); scenario selection does not lock the user into a workflow</w:t>
            </w:r>
          </w:p>
        </w:tc>
      </w:tr>
      <w:tr>
        <w:tc>
          <w:tcPr>
            <w:tcW w:type="dxa" w:w="4561"/>
            <w:vAlign w:val="center"/>
          </w:tcPr>
          <w:p>
            <w:pPr>
              <w:spacing w:before="40" w:after="40" w:line="276" w:lineRule="auto"/>
            </w:pPr>
            <w:r>
              <w:rPr>
                <w:rFonts w:ascii="Calibri" w:hAnsi="Calibri"/>
                <w:sz w:val="19"/>
              </w:rPr>
              <w:t>4. Consistency and Standards</w:t>
            </w:r>
          </w:p>
        </w:tc>
        <w:tc>
          <w:tcPr>
            <w:tcW w:type="dxa" w:w="4561"/>
            <w:vAlign w:val="center"/>
          </w:tcPr>
          <w:p>
            <w:pPr>
              <w:spacing w:before="40" w:after="40" w:line="276" w:lineRule="auto"/>
            </w:pPr>
            <w:r>
              <w:rPr>
                <w:rFonts w:ascii="Calibri" w:hAnsi="Calibri"/>
                <w:sz w:val="19"/>
              </w:rPr>
              <w:t>Teal (#0D9488) = Tiki/primary actions throughout all tabs; Blue = Lazada; Orange = Shopee – consistently applied to badges, tab labels, and chart colors</w:t>
            </w:r>
          </w:p>
        </w:tc>
      </w:tr>
      <w:tr>
        <w:tc>
          <w:tcPr>
            <w:tcW w:type="dxa" w:w="4561"/>
            <w:vAlign w:val="center"/>
          </w:tcPr>
          <w:p>
            <w:pPr>
              <w:spacing w:before="40" w:after="40" w:line="276" w:lineRule="auto"/>
            </w:pPr>
            <w:r>
              <w:rPr>
                <w:rFonts w:ascii="Calibri" w:hAnsi="Calibri"/>
                <w:sz w:val="19"/>
              </w:rPr>
              <w:t>5. Error Prevention</w:t>
            </w:r>
          </w:p>
        </w:tc>
        <w:tc>
          <w:tcPr>
            <w:tcW w:type="dxa" w:w="4561"/>
            <w:vAlign w:val="center"/>
          </w:tcPr>
          <w:p>
            <w:pPr>
              <w:spacing w:before="40" w:after="40" w:line="276" w:lineRule="auto"/>
            </w:pPr>
            <w:r>
              <w:rPr>
                <w:rFonts w:ascii="Calibri" w:hAnsi="Calibri"/>
                <w:sz w:val="19"/>
              </w:rPr>
              <w:t>Price slider is hard-capped at 1.5M VND (prevents filtering out all products); rating slider moves in 0.5-star steps only (prevents fractional values)</w:t>
            </w:r>
          </w:p>
        </w:tc>
      </w:tr>
      <w:tr>
        <w:tc>
          <w:tcPr>
            <w:tcW w:type="dxa" w:w="4561"/>
            <w:vAlign w:val="center"/>
          </w:tcPr>
          <w:p>
            <w:pPr>
              <w:spacing w:before="40" w:after="40" w:line="276" w:lineRule="auto"/>
            </w:pPr>
            <w:r>
              <w:rPr>
                <w:rFonts w:ascii="Calibri" w:hAnsi="Calibri"/>
                <w:sz w:val="19"/>
              </w:rPr>
              <w:t>6. Recognition Rather Than Recall</w:t>
            </w:r>
          </w:p>
        </w:tc>
        <w:tc>
          <w:tcPr>
            <w:tcW w:type="dxa" w:w="4561"/>
            <w:vAlign w:val="center"/>
          </w:tcPr>
          <w:p>
            <w:pPr>
              <w:spacing w:before="40" w:after="40" w:line="276" w:lineRule="auto"/>
            </w:pPr>
            <w:r>
              <w:rPr>
                <w:rFonts w:ascii="Calibri" w:hAnsi="Calibri"/>
                <w:sz w:val="19"/>
              </w:rPr>
              <w:t>Category L1 options shown as visible toggle buttons, not a dropdown requiring memorization; tab icons and labels are always visible; no hidden menus</w:t>
            </w:r>
          </w:p>
        </w:tc>
      </w:tr>
      <w:tr>
        <w:tc>
          <w:tcPr>
            <w:tcW w:type="dxa" w:w="4561"/>
            <w:vAlign w:val="center"/>
          </w:tcPr>
          <w:p>
            <w:pPr>
              <w:spacing w:before="40" w:after="40" w:line="276" w:lineRule="auto"/>
            </w:pPr>
            <w:r>
              <w:rPr>
                <w:rFonts w:ascii="Calibri" w:hAnsi="Calibri"/>
                <w:sz w:val="19"/>
              </w:rPr>
              <w:t>7. Flexibility and Efficiency</w:t>
            </w:r>
          </w:p>
        </w:tc>
        <w:tc>
          <w:tcPr>
            <w:tcW w:type="dxa" w:w="4561"/>
            <w:vAlign w:val="center"/>
          </w:tcPr>
          <w:p>
            <w:pPr>
              <w:spacing w:before="40" w:after="40" w:line="276" w:lineRule="auto"/>
            </w:pPr>
            <w:r>
              <w:rPr>
                <w:rFonts w:ascii="Calibri" w:hAnsi="Calibri"/>
                <w:sz w:val="19"/>
              </w:rPr>
              <w:t>Keyboard-accessible sliders and search box; pagination size adjustable; table columns sortable by click</w:t>
            </w:r>
          </w:p>
        </w:tc>
      </w:tr>
      <w:tr>
        <w:tc>
          <w:tcPr>
            <w:tcW w:type="dxa" w:w="4561"/>
            <w:vAlign w:val="center"/>
          </w:tcPr>
          <w:p>
            <w:pPr>
              <w:spacing w:before="40" w:after="40" w:line="276" w:lineRule="auto"/>
            </w:pPr>
            <w:r>
              <w:rPr>
                <w:rFonts w:ascii="Calibri" w:hAnsi="Calibri"/>
                <w:sz w:val="19"/>
              </w:rPr>
              <w:t>8. Aesthetic and Minimalist Design</w:t>
            </w:r>
          </w:p>
        </w:tc>
        <w:tc>
          <w:tcPr>
            <w:tcW w:type="dxa" w:w="4561"/>
            <w:vAlign w:val="center"/>
          </w:tcPr>
          <w:p>
            <w:pPr>
              <w:spacing w:before="40" w:after="40" w:line="276" w:lineRule="auto"/>
            </w:pPr>
            <w:r>
              <w:rPr>
                <w:rFonts w:ascii="Calibri" w:hAnsi="Calibri"/>
                <w:sz w:val="19"/>
              </w:rPr>
              <w:t>Light Mint/Teal color palette; generous whitespace between cards; only icons with a functional purpose are used (no decorative illustrations)</w:t>
            </w:r>
          </w:p>
        </w:tc>
      </w:tr>
      <w:tr>
        <w:tc>
          <w:tcPr>
            <w:tcW w:type="dxa" w:w="4561"/>
            <w:vAlign w:val="center"/>
          </w:tcPr>
          <w:p>
            <w:pPr>
              <w:spacing w:before="40" w:after="40" w:line="276" w:lineRule="auto"/>
            </w:pPr>
            <w:r>
              <w:rPr>
                <w:rFonts w:ascii="Calibri" w:hAnsi="Calibri"/>
                <w:sz w:val="19"/>
              </w:rPr>
              <w:t>9. Help Users Recognize, Diagnose and Recover from Errors</w:t>
            </w:r>
          </w:p>
        </w:tc>
        <w:tc>
          <w:tcPr>
            <w:tcW w:type="dxa" w:w="4561"/>
            <w:vAlign w:val="center"/>
          </w:tcPr>
          <w:p>
            <w:pPr>
              <w:spacing w:before="40" w:after="40" w:line="276" w:lineRule="auto"/>
            </w:pPr>
            <w:r>
              <w:rPr>
                <w:rFonts w:ascii="Calibri" w:hAnsi="Calibri"/>
                <w:sz w:val="19"/>
              </w:rPr>
              <w:t>API failure state shows the exact HTTP error code and a Retry button; filter mismatch shows 'No results found' with a suggestion to adjust the filters</w:t>
            </w:r>
          </w:p>
        </w:tc>
      </w:tr>
      <w:tr>
        <w:tc>
          <w:tcPr>
            <w:tcW w:type="dxa" w:w="4561"/>
            <w:vAlign w:val="center"/>
          </w:tcPr>
          <w:p>
            <w:pPr>
              <w:spacing w:before="40" w:after="40" w:line="276" w:lineRule="auto"/>
            </w:pPr>
            <w:r>
              <w:rPr>
                <w:rFonts w:ascii="Calibri" w:hAnsi="Calibri"/>
                <w:sz w:val="19"/>
              </w:rPr>
              <w:t>10. Help and Documentation</w:t>
            </w:r>
          </w:p>
        </w:tc>
        <w:tc>
          <w:tcPr>
            <w:tcW w:type="dxa" w:w="4561"/>
            <w:vAlign w:val="center"/>
          </w:tcPr>
          <w:p>
            <w:pPr>
              <w:spacing w:before="40" w:after="40" w:line="276" w:lineRule="auto"/>
            </w:pPr>
            <w:r>
              <w:rPr>
                <w:rFonts w:ascii="Calibri" w:hAnsi="Calibri"/>
                <w:sz w:val="19"/>
              </w:rPr>
              <w:t>Tooltip on each KPI card explains the metric definition and which database table it comes from</w:t>
            </w:r>
          </w:p>
        </w:tc>
      </w:tr>
    </w:tbl>
    <w:p/>
    <w:p>
      <w:pPr>
        <w:spacing w:before="40" w:after="100" w:line="276" w:lineRule="auto"/>
      </w:pPr>
      <w:r>
        <w:rPr>
          <w:rFonts w:ascii="Calibri" w:hAnsi="Calibri"/>
          <w:sz w:val="22"/>
        </w:rPr>
        <w:t>Quality of decision support:</w:t>
      </w:r>
    </w:p>
    <w:p>
      <w:pPr>
        <w:spacing w:before="40" w:after="100" w:line="276" w:lineRule="auto"/>
      </w:pPr>
      <w:r>
        <w:rPr>
          <w:rFonts w:ascii="Calibri" w:hAnsi="Calibri"/>
          <w:sz w:val="22"/>
        </w:rPr>
        <w:t>The dashboard provides high-quality decision support across four dimensions:</w:t>
      </w:r>
    </w:p>
    <w:p>
      <w:pPr>
        <w:pStyle w:val="ListBullet"/>
        <w:spacing w:before="20" w:after="40" w:line="276" w:lineRule="auto"/>
        <w:ind w:left="454"/>
      </w:pPr>
      <w:r>
        <w:rPr>
          <w:rFonts w:ascii="Calibri" w:hAnsi="Calibri"/>
          <w:b/>
          <w:sz w:val="22"/>
        </w:rPr>
        <w:t xml:space="preserve">Traceability: </w:t>
      </w:r>
      <w:r>
        <w:rPr>
          <w:rFonts w:ascii="Calibri" w:hAnsi="Calibri"/>
          <w:sz w:val="22"/>
        </w:rPr>
        <w:t>Every number displayed in the UI traces back to a specific ASG2 formula, database table, or model output. The Opportunity Score formula, regression coefficients, LP weights, and logistic thresholds are all documented in ASG2 and reflected in the dashboard design.</w:t>
      </w:r>
    </w:p>
    <w:p>
      <w:pPr>
        <w:pStyle w:val="ListBullet"/>
        <w:spacing w:before="20" w:after="40" w:line="276" w:lineRule="auto"/>
        <w:ind w:left="454"/>
      </w:pPr>
      <w:r>
        <w:rPr>
          <w:rFonts w:ascii="Calibri" w:hAnsi="Calibri"/>
          <w:b/>
          <w:sz w:val="22"/>
        </w:rPr>
        <w:t xml:space="preserve">Accuracy: </w:t>
      </w:r>
      <w:r>
        <w:rPr>
          <w:rFonts w:ascii="Calibri" w:hAnsi="Calibri"/>
          <w:sz w:val="22"/>
        </w:rPr>
        <w:t>All thresholds and scores are computed from real scraped data (1,925 Tiki products, 1,000 Lazada products, 98 Shopee products). No simulated or placeholder values.</w:t>
      </w:r>
    </w:p>
    <w:p>
      <w:pPr>
        <w:pStyle w:val="ListBullet"/>
        <w:spacing w:before="20" w:after="40" w:line="276" w:lineRule="auto"/>
        <w:ind w:left="454"/>
      </w:pPr>
      <w:r>
        <w:rPr>
          <w:rFonts w:ascii="Calibri" w:hAnsi="Calibri"/>
          <w:b/>
          <w:sz w:val="22"/>
        </w:rPr>
        <w:t xml:space="preserve">Timeliness: </w:t>
      </w:r>
      <w:r>
        <w:rPr>
          <w:rFonts w:ascii="Calibri" w:hAnsi="Calibri"/>
          <w:sz w:val="22"/>
        </w:rPr>
        <w:t>The Capital Allocator (Tab 5) runs the LP optimizer on the Flask server in real-time when the user clicks a scenario button. Results always reflect the current database state.</w:t>
      </w:r>
    </w:p>
    <w:p>
      <w:pPr>
        <w:pStyle w:val="ListBullet"/>
        <w:spacing w:before="20" w:after="40" w:line="276" w:lineRule="auto"/>
        <w:ind w:left="454"/>
      </w:pPr>
      <w:r>
        <w:rPr>
          <w:rFonts w:ascii="Calibri" w:hAnsi="Calibri"/>
          <w:b/>
          <w:sz w:val="22"/>
        </w:rPr>
        <w:t xml:space="preserve">Actionability: </w:t>
      </w:r>
      <w:r>
        <w:rPr>
          <w:rFonts w:ascii="Calibri" w:hAnsi="Calibri"/>
          <w:sz w:val="22"/>
        </w:rPr>
        <w:t>Each tab ends with a concrete action output: a color-coded badge, a ranked priority list, a scenario winner label, or a plain-text recommendation. The user always knows what to do next.</w:t>
      </w:r>
    </w:p>
    <w:p>
      <w:pPr>
        <w:spacing w:before="40" w:after="100" w:line="276" w:lineRule="auto"/>
      </w:pPr>
      <w:r>
        <w:rPr>
          <w:rFonts w:ascii="Calibri" w:hAnsi="Calibri"/>
          <w:sz w:val="22"/>
        </w:rPr>
        <w:t>Integration of insights, predictions, and What-if analysis:</w:t>
      </w:r>
    </w:p>
    <w:p>
      <w:pPr>
        <w:spacing w:before="40" w:after="100" w:line="276" w:lineRule="auto"/>
      </w:pPr>
      <w:r>
        <w:rPr>
          <w:rFonts w:ascii="Calibri" w:hAnsi="Calibri"/>
          <w:sz w:val="22"/>
        </w:rPr>
        <w:t>The five tabs form a connected end-to-end decision flow, where each stage uses outputs from the previous one: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fill="1D4ED8"/>
          </w:tcPr>
          <w:p>
            <w:pPr>
              <w:spacing w:before="60" w:after="60" w:line="276" w:lineRule="auto"/>
              <w:jc w:val="center"/>
            </w:pPr>
            <w:r>
              <w:rPr>
                <w:rFonts w:ascii="Calibri" w:hAnsi="Calibri"/>
                <w:b/>
                <w:color w:val="FFFFFF"/>
                <w:sz w:val="19"/>
              </w:rPr>
              <w:t>Stage</w:t>
            </w:r>
          </w:p>
        </w:tc>
        <w:tc>
          <w:tcPr>
            <w:tcW w:type="dxa" w:w="2280"/>
            <w:vAlign w:val="center"/>
            <w:shd w:val="clear" w:fill="1D4ED8"/>
          </w:tcPr>
          <w:p>
            <w:pPr>
              <w:spacing w:before="60" w:after="60" w:line="276" w:lineRule="auto"/>
              <w:jc w:val="center"/>
            </w:pPr>
            <w:r>
              <w:rPr>
                <w:rFonts w:ascii="Calibri" w:hAnsi="Calibri"/>
                <w:b/>
                <w:color w:val="FFFFFF"/>
                <w:sz w:val="19"/>
              </w:rPr>
              <w:t>Dashboard Location</w:t>
            </w:r>
          </w:p>
        </w:tc>
        <w:tc>
          <w:tcPr>
            <w:tcW w:type="dxa" w:w="2280"/>
            <w:vAlign w:val="center"/>
            <w:shd w:val="clear" w:fill="1D4ED8"/>
          </w:tcPr>
          <w:p>
            <w:pPr>
              <w:spacing w:before="60" w:after="60" w:line="276" w:lineRule="auto"/>
              <w:jc w:val="center"/>
            </w:pPr>
            <w:r>
              <w:rPr>
                <w:rFonts w:ascii="Calibri" w:hAnsi="Calibri"/>
                <w:b/>
                <w:color w:val="FFFFFF"/>
                <w:sz w:val="19"/>
              </w:rPr>
              <w:t>ASG2 Output Integrated</w:t>
            </w:r>
          </w:p>
        </w:tc>
        <w:tc>
          <w:tcPr>
            <w:tcW w:type="dxa" w:w="2280"/>
            <w:vAlign w:val="center"/>
            <w:shd w:val="clear" w:fill="1D4ED8"/>
          </w:tcPr>
          <w:p>
            <w:pPr>
              <w:spacing w:before="60" w:after="60" w:line="276" w:lineRule="auto"/>
              <w:jc w:val="center"/>
            </w:pPr>
            <w:r>
              <w:rPr>
                <w:rFonts w:ascii="Calibri" w:hAnsi="Calibri"/>
                <w:b/>
                <w:color w:val="FFFFFF"/>
                <w:sz w:val="19"/>
              </w:rPr>
              <w:t>Decision Maker Action</w:t>
            </w:r>
          </w:p>
        </w:tc>
      </w:tr>
      <w:tr>
        <w:tc>
          <w:tcPr>
            <w:tcW w:type="dxa" w:w="2280"/>
            <w:vAlign w:val="center"/>
          </w:tcPr>
          <w:p>
            <w:pPr>
              <w:spacing w:before="40" w:after="40" w:line="276" w:lineRule="auto"/>
            </w:pPr>
            <w:r>
              <w:rPr>
                <w:rFonts w:ascii="Calibri" w:hAnsi="Calibri"/>
                <w:sz w:val="19"/>
              </w:rPr>
              <w:t>1. Observe Patterns (EDA insights)</w:t>
            </w:r>
          </w:p>
        </w:tc>
        <w:tc>
          <w:tcPr>
            <w:tcW w:type="dxa" w:w="2280"/>
            <w:vAlign w:val="center"/>
          </w:tcPr>
          <w:p>
            <w:pPr>
              <w:spacing w:before="40" w:after="40" w:line="276" w:lineRule="auto"/>
            </w:pPr>
            <w:r>
              <w:rPr>
                <w:rFonts w:ascii="Calibri" w:hAnsi="Calibri"/>
                <w:sz w:val="19"/>
              </w:rPr>
              <w:t>Tab 1 – Top Tiki Products</w:t>
              <w:br/>
              <w:t>Tab 2 – Gap Analysis (Market Share chart)</w:t>
            </w:r>
          </w:p>
        </w:tc>
        <w:tc>
          <w:tcPr>
            <w:tcW w:type="dxa" w:w="2280"/>
            <w:vAlign w:val="center"/>
          </w:tcPr>
          <w:p>
            <w:pPr>
              <w:spacing w:before="40" w:after="40" w:line="276" w:lineRule="auto"/>
            </w:pPr>
            <w:r>
              <w:rPr>
                <w:rFonts w:ascii="Calibri" w:hAnsi="Calibri"/>
                <w:sz w:val="19"/>
              </w:rPr>
              <w:t>Subcategory sold_count, revenue, SKU distributions from ASG2 Step 1 EDA</w:t>
            </w:r>
          </w:p>
        </w:tc>
        <w:tc>
          <w:tcPr>
            <w:tcW w:type="dxa" w:w="2280"/>
            <w:vAlign w:val="center"/>
          </w:tcPr>
          <w:p>
            <w:pPr>
              <w:spacing w:before="40" w:after="40" w:line="276" w:lineRule="auto"/>
            </w:pPr>
            <w:r>
              <w:rPr>
                <w:rFonts w:ascii="Calibri" w:hAnsi="Calibri"/>
                <w:sz w:val="19"/>
              </w:rPr>
              <w:t>Identify which subcategories have high total sales and which are dominated by official stores</w:t>
            </w:r>
          </w:p>
        </w:tc>
      </w:tr>
      <w:tr>
        <w:tc>
          <w:tcPr>
            <w:tcW w:type="dxa" w:w="2280"/>
            <w:vAlign w:val="center"/>
          </w:tcPr>
          <w:p>
            <w:pPr>
              <w:spacing w:before="40" w:after="40" w:line="276" w:lineRule="auto"/>
            </w:pPr>
            <w:r>
              <w:rPr>
                <w:rFonts w:ascii="Calibri" w:hAnsi="Calibri"/>
                <w:sz w:val="19"/>
              </w:rPr>
              <w:t>2. Understand Why (Diagnostic findings)</w:t>
            </w:r>
          </w:p>
        </w:tc>
        <w:tc>
          <w:tcPr>
            <w:tcW w:type="dxa" w:w="2280"/>
            <w:vAlign w:val="center"/>
          </w:tcPr>
          <w:p>
            <w:pPr>
              <w:spacing w:before="40" w:after="40" w:line="276" w:lineRule="auto"/>
            </w:pPr>
            <w:r>
              <w:rPr>
                <w:rFonts w:ascii="Calibri" w:hAnsi="Calibri"/>
                <w:sz w:val="19"/>
              </w:rPr>
              <w:t>Tab 2 – Opportunity Score bar chart</w:t>
              <w:br/>
              <w:t>Tab 3 – Competitor threshold banner</w:t>
            </w:r>
          </w:p>
        </w:tc>
        <w:tc>
          <w:tcPr>
            <w:tcW w:type="dxa" w:w="2280"/>
            <w:vAlign w:val="center"/>
          </w:tcPr>
          <w:p>
            <w:pPr>
              <w:spacing w:before="40" w:after="40" w:line="276" w:lineRule="auto"/>
            </w:pPr>
            <w:r>
              <w:rPr>
                <w:rFonts w:ascii="Calibri" w:hAnsi="Calibri"/>
                <w:sz w:val="19"/>
              </w:rPr>
              <w:t>Opportunity Score formula (Q1); regression interaction coefficients (Q2); logistic winner thresholds (Q3)</w:t>
            </w:r>
          </w:p>
        </w:tc>
        <w:tc>
          <w:tcPr>
            <w:tcW w:type="dxa" w:w="2280"/>
            <w:vAlign w:val="center"/>
          </w:tcPr>
          <w:p>
            <w:pPr>
              <w:spacing w:before="40" w:after="40" w:line="276" w:lineRule="auto"/>
            </w:pPr>
            <w:r>
              <w:rPr>
                <w:rFonts w:ascii="Calibri" w:hAnsi="Calibri"/>
                <w:sz w:val="19"/>
              </w:rPr>
              <w:t>Understand root causes of performance gaps; identify the exact parameters needed to compete</w:t>
            </w:r>
          </w:p>
        </w:tc>
      </w:tr>
      <w:tr>
        <w:tc>
          <w:tcPr>
            <w:tcW w:type="dxa" w:w="2280"/>
            <w:vAlign w:val="center"/>
          </w:tcPr>
          <w:p>
            <w:pPr>
              <w:spacing w:before="40" w:after="40" w:line="276" w:lineRule="auto"/>
            </w:pPr>
            <w:r>
              <w:rPr>
                <w:rFonts w:ascii="Calibri" w:hAnsi="Calibri"/>
                <w:sz w:val="19"/>
              </w:rPr>
              <w:t>3. Predict What Is Coming (Predictive results)</w:t>
            </w:r>
          </w:p>
        </w:tc>
        <w:tc>
          <w:tcPr>
            <w:tcW w:type="dxa" w:w="2280"/>
            <w:vAlign w:val="center"/>
          </w:tcPr>
          <w:p>
            <w:pPr>
              <w:spacing w:before="40" w:after="40" w:line="276" w:lineRule="auto"/>
            </w:pPr>
            <w:r>
              <w:rPr>
                <w:rFonts w:ascii="Calibri" w:hAnsi="Calibri"/>
                <w:sz w:val="19"/>
              </w:rPr>
              <w:t>Tab 4 – Predictive Demand Forecast</w:t>
            </w:r>
          </w:p>
        </w:tc>
        <w:tc>
          <w:tcPr>
            <w:tcW w:type="dxa" w:w="2280"/>
            <w:vAlign w:val="center"/>
          </w:tcPr>
          <w:p>
            <w:pPr>
              <w:spacing w:before="40" w:after="40" w:line="276" w:lineRule="auto"/>
            </w:pPr>
            <w:r>
              <w:rPr>
                <w:rFonts w:ascii="Calibri" w:hAnsi="Calibri"/>
                <w:sz w:val="19"/>
              </w:rPr>
              <w:t>Linear regression time-series model with 95% CI on 9,625 historical records</w:t>
            </w:r>
          </w:p>
        </w:tc>
        <w:tc>
          <w:tcPr>
            <w:tcW w:type="dxa" w:w="2280"/>
            <w:vAlign w:val="center"/>
          </w:tcPr>
          <w:p>
            <w:pPr>
              <w:spacing w:before="40" w:after="40" w:line="276" w:lineRule="auto"/>
            </w:pPr>
            <w:r>
              <w:rPr>
                <w:rFonts w:ascii="Calibri" w:hAnsi="Calibri"/>
                <w:sz w:val="19"/>
              </w:rPr>
              <w:t>Plan inventory quantities for the next 30–60 days; avoid stockout or overstock</w:t>
            </w:r>
          </w:p>
        </w:tc>
      </w:tr>
      <w:tr>
        <w:tc>
          <w:tcPr>
            <w:tcW w:type="dxa" w:w="2280"/>
            <w:vAlign w:val="center"/>
          </w:tcPr>
          <w:p>
            <w:pPr>
              <w:spacing w:before="40" w:after="40" w:line="276" w:lineRule="auto"/>
            </w:pPr>
            <w:r>
              <w:rPr>
                <w:rFonts w:ascii="Calibri" w:hAnsi="Calibri"/>
                <w:sz w:val="19"/>
              </w:rPr>
              <w:t>4. Simulate Decisions (What-if scenarios)</w:t>
            </w:r>
          </w:p>
        </w:tc>
        <w:tc>
          <w:tcPr>
            <w:tcW w:type="dxa" w:w="2280"/>
            <w:vAlign w:val="center"/>
          </w:tcPr>
          <w:p>
            <w:pPr>
              <w:spacing w:before="40" w:after="40" w:line="276" w:lineRule="auto"/>
            </w:pPr>
            <w:r>
              <w:rPr>
                <w:rFonts w:ascii="Calibri" w:hAnsi="Calibri"/>
                <w:sz w:val="19"/>
              </w:rPr>
              <w:t>Tab 5 – Capital Allocator (3 scenarios)</w:t>
            </w:r>
          </w:p>
        </w:tc>
        <w:tc>
          <w:tcPr>
            <w:tcW w:type="dxa" w:w="2280"/>
            <w:vAlign w:val="center"/>
          </w:tcPr>
          <w:p>
            <w:pPr>
              <w:spacing w:before="40" w:after="40" w:line="276" w:lineRule="auto"/>
            </w:pPr>
            <w:r>
              <w:rPr>
                <w:rFonts w:ascii="Calibri" w:hAnsi="Calibri"/>
                <w:sz w:val="19"/>
              </w:rPr>
              <w:t>LP optimization model under Base / −20% / +30% / Fee-change budgets from ASG2 Q5</w:t>
            </w:r>
          </w:p>
        </w:tc>
        <w:tc>
          <w:tcPr>
            <w:tcW w:type="dxa" w:w="2280"/>
            <w:vAlign w:val="center"/>
          </w:tcPr>
          <w:p>
            <w:pPr>
              <w:spacing w:before="40" w:after="40" w:line="276" w:lineRule="auto"/>
            </w:pPr>
            <w:r>
              <w:rPr>
                <w:rFonts w:ascii="Calibri" w:hAnsi="Calibri"/>
                <w:sz w:val="19"/>
              </w:rPr>
              <w:t>Choose the capital allocation that maximizes ROI under current or forecast budget constraints</w:t>
            </w:r>
          </w:p>
        </w:tc>
      </w:tr>
      <w:tr>
        <w:tc>
          <w:tcPr>
            <w:tcW w:type="dxa" w:w="2280"/>
            <w:vAlign w:val="center"/>
          </w:tcPr>
          <w:p>
            <w:pPr>
              <w:spacing w:before="40" w:after="40" w:line="276" w:lineRule="auto"/>
            </w:pPr>
            <w:r>
              <w:rPr>
                <w:rFonts w:ascii="Calibri" w:hAnsi="Calibri"/>
                <w:sz w:val="19"/>
              </w:rPr>
              <w:t>5. Act with Confidence (Decision recommendations)</w:t>
            </w:r>
          </w:p>
        </w:tc>
        <w:tc>
          <w:tcPr>
            <w:tcW w:type="dxa" w:w="2280"/>
            <w:vAlign w:val="center"/>
          </w:tcPr>
          <w:p>
            <w:pPr>
              <w:spacing w:before="40" w:after="40" w:line="276" w:lineRule="auto"/>
            </w:pPr>
            <w:r>
              <w:rPr>
                <w:rFonts w:ascii="Calibri" w:hAnsi="Calibri"/>
                <w:sz w:val="19"/>
              </w:rPr>
              <w:t>Portfolio matrix (Tab 2)</w:t>
              <w:br/>
              <w:t>Best Scenario panel (Tab 5)</w:t>
              <w:br/>
              <w:t>Competitor guide (Tab 3)</w:t>
            </w:r>
          </w:p>
        </w:tc>
        <w:tc>
          <w:tcPr>
            <w:tcW w:type="dxa" w:w="2280"/>
            <w:vAlign w:val="center"/>
          </w:tcPr>
          <w:p>
            <w:pPr>
              <w:spacing w:before="40" w:after="40" w:line="276" w:lineRule="auto"/>
            </w:pPr>
            <w:r>
              <w:rPr>
                <w:rFonts w:ascii="Calibri" w:hAnsi="Calibri"/>
                <w:sz w:val="19"/>
              </w:rPr>
              <w:t>Portfolio divestment matrix (Q4); LP winner scenario; logistic thresholds (Q3)</w:t>
            </w:r>
          </w:p>
        </w:tc>
        <w:tc>
          <w:tcPr>
            <w:tcW w:type="dxa" w:w="2280"/>
            <w:vAlign w:val="center"/>
          </w:tcPr>
          <w:p>
            <w:pPr>
              <w:spacing w:before="40" w:after="40" w:line="276" w:lineRule="auto"/>
            </w:pPr>
            <w:r>
              <w:rPr>
                <w:rFonts w:ascii="Calibri" w:hAnsi="Calibri"/>
                <w:sz w:val="19"/>
              </w:rPr>
              <w:t>Execute: Enter Men's Swimwear; price 15.2% below official; allocate 500M to Underwear; divest Hoodies</w:t>
            </w:r>
          </w:p>
        </w:tc>
      </w:tr>
    </w:tbl>
    <w:p/>
    <w:p>
      <w:pPr>
        <w:spacing w:before="120" w:after="120" w:line="276" w:lineRule="auto"/>
        <w:ind w:left="567" w:right="567"/>
        <w:pBdr>
          <w:left w:val="single" w:sz="18" w:space="8" w:color="1D4ED8"/>
        </w:pBdr>
        <w:shd w:val="clear" w:fill="EFF6FF"/>
      </w:pPr>
      <w:r>
        <w:rPr>
          <w:rFonts w:ascii="Calibri" w:hAnsi="Calibri"/>
          <w:b/>
          <w:color w:val="1D4ED8"/>
        </w:rPr>
        <w:t>End-to-End Decision Flow – Example Walkthrough</w:t>
        <w:br/>
      </w:r>
      <w:r>
        <w:rPr>
          <w:rFonts w:ascii="Calibri" w:hAnsi="Calibri"/>
          <w:i/>
          <w:color w:val="1E3A5F"/>
        </w:rPr>
        <w:t>The integration is seamless: the seller opens the dashboard → sees a KPI alert (Monitor) → explores the Gap chart to find the cause (Understand) → checks the Forecast to confirm the trend (Predict) → runs the −20% budget scenario (Evaluate) → reads the plain-text recommendation (Decide). No external tools, no manual calculations, and no SQL queries required at any step.</w:t>
      </w:r>
    </w:p>
    <w:p>
      <w:pPr>
        <w:pStyle w:val="Heading1"/>
        <w:spacing w:before="280" w:after="120"/>
      </w:pPr>
      <w:r>
        <w:rPr>
          <w:rFonts w:ascii="Calibri" w:hAnsi="Calibri"/>
          <w:b/>
          <w:color w:val="0D47A1"/>
          <w:sz w:val="32"/>
        </w:rPr>
        <w:t>4. Required Deliverables</w:t>
      </w:r>
    </w:p>
    <w:p>
      <w:pPr>
        <w:pStyle w:val="Heading2"/>
        <w:spacing w:before="200" w:after="80"/>
      </w:pPr>
      <w:r>
        <w:rPr>
          <w:rFonts w:ascii="Calibri" w:hAnsi="Calibri"/>
          <w:b/>
          <w:color w:val="00695C"/>
          <w:sz w:val="26"/>
        </w:rPr>
        <w:t>A. DSS Dashboard</w:t>
      </w:r>
    </w:p>
    <w:p>
      <w:pPr>
        <w:spacing w:before="40" w:after="100" w:line="276" w:lineRule="auto"/>
      </w:pPr>
      <w:r>
        <w:rPr>
          <w:rFonts w:ascii="Calibri" w:hAnsi="Calibri"/>
          <w:sz w:val="22"/>
        </w:rPr>
        <w:t>The DSS Dashboard is a fully functional, interactive web application accessible at http://localhost:5173 (frontend) and http://127.0.0.1:5000 (Flask API). It is built with React 18, Recharts, and Tailwind CSS (frontend) connected to a Python Flask REST API (analytical engine) backed by a SQLite database (6 tables, SQLAlchemy ORM). This architecture is functionally equivalent to Power BI: it provides real-time data connectivity, interactive filtering, predictive visualizations, and what-if scenario simulation.</w:t>
      </w:r>
    </w:p>
    <w:p>
      <w:pPr>
        <w:spacing w:before="40" w:after="100" w:line="276" w:lineRule="auto"/>
      </w:pPr>
      <w:r>
        <w:rPr>
          <w:rFonts w:ascii="Calibri" w:hAnsi="Calibri"/>
          <w:sz w:val="22"/>
        </w:rPr>
        <w:t>The dashboard contains eight tabs that together satisfy all five dashboard objectives:</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fill="1D4ED8"/>
          </w:tcPr>
          <w:p>
            <w:pPr>
              <w:spacing w:before="60" w:after="60" w:line="276" w:lineRule="auto"/>
              <w:jc w:val="center"/>
            </w:pPr>
            <w:r>
              <w:rPr>
                <w:rFonts w:ascii="Calibri" w:hAnsi="Calibri"/>
                <w:b/>
                <w:color w:val="FFFFFF"/>
                <w:sz w:val="19"/>
              </w:rPr>
              <w:t>Tab</w:t>
            </w:r>
          </w:p>
        </w:tc>
        <w:tc>
          <w:tcPr>
            <w:tcW w:type="dxa" w:w="3041"/>
            <w:vAlign w:val="center"/>
            <w:shd w:val="clear" w:fill="1D4ED8"/>
          </w:tcPr>
          <w:p>
            <w:pPr>
              <w:spacing w:before="60" w:after="60" w:line="276" w:lineRule="auto"/>
              <w:jc w:val="center"/>
            </w:pPr>
            <w:r>
              <w:rPr>
                <w:rFonts w:ascii="Calibri" w:hAnsi="Calibri"/>
                <w:b/>
                <w:color w:val="FFFFFF"/>
                <w:sz w:val="19"/>
              </w:rPr>
              <w:t>Dashboard Objective Served</w:t>
            </w:r>
          </w:p>
        </w:tc>
        <w:tc>
          <w:tcPr>
            <w:tcW w:type="dxa" w:w="3041"/>
            <w:vAlign w:val="center"/>
            <w:shd w:val="clear" w:fill="1D4ED8"/>
          </w:tcPr>
          <w:p>
            <w:pPr>
              <w:spacing w:before="60" w:after="60" w:line="276" w:lineRule="auto"/>
              <w:jc w:val="center"/>
            </w:pPr>
            <w:r>
              <w:rPr>
                <w:rFonts w:ascii="Calibri" w:hAnsi="Calibri"/>
                <w:b/>
                <w:color w:val="FFFFFF"/>
                <w:sz w:val="19"/>
              </w:rPr>
              <w:t>ASG2 Model Integrated</w:t>
            </w:r>
          </w:p>
        </w:tc>
      </w:tr>
      <w:tr>
        <w:tc>
          <w:tcPr>
            <w:tcW w:type="dxa" w:w="3041"/>
            <w:vAlign w:val="center"/>
          </w:tcPr>
          <w:p>
            <w:pPr>
              <w:spacing w:before="40" w:after="40" w:line="276" w:lineRule="auto"/>
            </w:pPr>
            <w:r>
              <w:rPr>
                <w:rFonts w:ascii="Calibri" w:hAnsi="Calibri"/>
                <w:sz w:val="19"/>
              </w:rPr>
              <w:t>Tab 1 – Top Tiki Products</w:t>
            </w:r>
          </w:p>
        </w:tc>
        <w:tc>
          <w:tcPr>
            <w:tcW w:type="dxa" w:w="3041"/>
            <w:vAlign w:val="center"/>
          </w:tcPr>
          <w:p>
            <w:pPr>
              <w:spacing w:before="40" w:after="40" w:line="276" w:lineRule="auto"/>
            </w:pPr>
            <w:r>
              <w:rPr>
                <w:rFonts w:ascii="Calibri" w:hAnsi="Calibri"/>
                <w:sz w:val="19"/>
              </w:rPr>
              <w:t>Understand important insights (Q1, Q2)</w:t>
            </w:r>
          </w:p>
        </w:tc>
        <w:tc>
          <w:tcPr>
            <w:tcW w:type="dxa" w:w="3041"/>
            <w:vAlign w:val="center"/>
          </w:tcPr>
          <w:p>
            <w:pPr>
              <w:spacing w:before="40" w:after="40" w:line="276" w:lineRule="auto"/>
            </w:pPr>
            <w:r>
              <w:rPr>
                <w:rFonts w:ascii="Calibri" w:hAnsi="Calibri"/>
                <w:sz w:val="19"/>
              </w:rPr>
              <w:t>EDA aggregations; is_authentic badge (regression coef +0.798)</w:t>
            </w:r>
          </w:p>
        </w:tc>
      </w:tr>
      <w:tr>
        <w:tc>
          <w:tcPr>
            <w:tcW w:type="dxa" w:w="3041"/>
            <w:vAlign w:val="center"/>
          </w:tcPr>
          <w:p>
            <w:pPr>
              <w:spacing w:before="40" w:after="40" w:line="276" w:lineRule="auto"/>
            </w:pPr>
            <w:r>
              <w:rPr>
                <w:rFonts w:ascii="Calibri" w:hAnsi="Calibri"/>
                <w:sz w:val="19"/>
              </w:rPr>
              <w:t>Tab 2 – Gap &amp; Opportunity Analysis</w:t>
            </w:r>
          </w:p>
        </w:tc>
        <w:tc>
          <w:tcPr>
            <w:tcW w:type="dxa" w:w="3041"/>
            <w:vAlign w:val="center"/>
          </w:tcPr>
          <w:p>
            <w:pPr>
              <w:spacing w:before="40" w:after="40" w:line="276" w:lineRule="auto"/>
            </w:pPr>
            <w:r>
              <w:rPr>
                <w:rFonts w:ascii="Calibri" w:hAnsi="Calibri"/>
                <w:sz w:val="19"/>
              </w:rPr>
              <w:t>Understand important insights (Q1) + Make decisions (Q4)</w:t>
            </w:r>
          </w:p>
        </w:tc>
        <w:tc>
          <w:tcPr>
            <w:tcW w:type="dxa" w:w="3041"/>
            <w:vAlign w:val="center"/>
          </w:tcPr>
          <w:p>
            <w:pPr>
              <w:spacing w:before="40" w:after="40" w:line="276" w:lineRule="auto"/>
            </w:pPr>
            <w:r>
              <w:rPr>
                <w:rFonts w:ascii="Calibri" w:hAnsi="Calibri"/>
                <w:sz w:val="19"/>
              </w:rPr>
              <w:t>Opportunity Score formula; portfolio divestment matrix</w:t>
            </w:r>
          </w:p>
        </w:tc>
      </w:tr>
      <w:tr>
        <w:tc>
          <w:tcPr>
            <w:tcW w:type="dxa" w:w="3041"/>
            <w:vAlign w:val="center"/>
          </w:tcPr>
          <w:p>
            <w:pPr>
              <w:spacing w:before="40" w:after="40" w:line="276" w:lineRule="auto"/>
            </w:pPr>
            <w:r>
              <w:rPr>
                <w:rFonts w:ascii="Calibri" w:hAnsi="Calibri"/>
                <w:sz w:val="19"/>
              </w:rPr>
              <w:t>Tab 3 – Competitor Recommendations</w:t>
            </w:r>
          </w:p>
        </w:tc>
        <w:tc>
          <w:tcPr>
            <w:tcW w:type="dxa" w:w="3041"/>
            <w:vAlign w:val="center"/>
          </w:tcPr>
          <w:p>
            <w:pPr>
              <w:spacing w:before="40" w:after="40" w:line="276" w:lineRule="auto"/>
            </w:pPr>
            <w:r>
              <w:rPr>
                <w:rFonts w:ascii="Calibri" w:hAnsi="Calibri"/>
                <w:sz w:val="19"/>
              </w:rPr>
              <w:t>Make informed decisions (Q3)</w:t>
            </w:r>
          </w:p>
        </w:tc>
        <w:tc>
          <w:tcPr>
            <w:tcW w:type="dxa" w:w="3041"/>
            <w:vAlign w:val="center"/>
          </w:tcPr>
          <w:p>
            <w:pPr>
              <w:spacing w:before="40" w:after="40" w:line="276" w:lineRule="auto"/>
            </w:pPr>
            <w:r>
              <w:rPr>
                <w:rFonts w:ascii="Calibri" w:hAnsi="Calibri"/>
                <w:sz w:val="19"/>
              </w:rPr>
              <w:t>Logistic winner thresholds: 15.2% / 4.3 / 14 / 2.6 days</w:t>
            </w:r>
          </w:p>
        </w:tc>
      </w:tr>
      <w:tr>
        <w:tc>
          <w:tcPr>
            <w:tcW w:type="dxa" w:w="3041"/>
            <w:vAlign w:val="center"/>
          </w:tcPr>
          <w:p>
            <w:pPr>
              <w:spacing w:before="40" w:after="40" w:line="276" w:lineRule="auto"/>
            </w:pPr>
            <w:r>
              <w:rPr>
                <w:rFonts w:ascii="Calibri" w:hAnsi="Calibri"/>
                <w:sz w:val="19"/>
              </w:rPr>
              <w:t>Tab 4 – Predictive Demand Forecast</w:t>
            </w:r>
          </w:p>
        </w:tc>
        <w:tc>
          <w:tcPr>
            <w:tcW w:type="dxa" w:w="3041"/>
            <w:vAlign w:val="center"/>
          </w:tcPr>
          <w:p>
            <w:pPr>
              <w:spacing w:before="40" w:after="40" w:line="276" w:lineRule="auto"/>
            </w:pPr>
            <w:r>
              <w:rPr>
                <w:rFonts w:ascii="Calibri" w:hAnsi="Calibri"/>
                <w:sz w:val="19"/>
              </w:rPr>
              <w:t>View future forecasts</w:t>
            </w:r>
          </w:p>
        </w:tc>
        <w:tc>
          <w:tcPr>
            <w:tcW w:type="dxa" w:w="3041"/>
            <w:vAlign w:val="center"/>
          </w:tcPr>
          <w:p>
            <w:pPr>
              <w:spacing w:before="40" w:after="40" w:line="276" w:lineRule="auto"/>
            </w:pPr>
            <w:r>
              <w:rPr>
                <w:rFonts w:ascii="Calibri" w:hAnsi="Calibri"/>
                <w:sz w:val="19"/>
              </w:rPr>
              <w:t>Linear regression forecast model with 95% CI</w:t>
            </w:r>
          </w:p>
        </w:tc>
      </w:tr>
      <w:tr>
        <w:tc>
          <w:tcPr>
            <w:tcW w:type="dxa" w:w="3041"/>
            <w:vAlign w:val="center"/>
          </w:tcPr>
          <w:p>
            <w:pPr>
              <w:spacing w:before="40" w:after="40" w:line="276" w:lineRule="auto"/>
            </w:pPr>
            <w:r>
              <w:rPr>
                <w:rFonts w:ascii="Calibri" w:hAnsi="Calibri"/>
                <w:sz w:val="19"/>
              </w:rPr>
              <w:t>Tab 5 – What-If Capital Allocator</w:t>
            </w:r>
          </w:p>
        </w:tc>
        <w:tc>
          <w:tcPr>
            <w:tcW w:type="dxa" w:w="3041"/>
            <w:vAlign w:val="center"/>
          </w:tcPr>
          <w:p>
            <w:pPr>
              <w:spacing w:before="40" w:after="40" w:line="276" w:lineRule="auto"/>
            </w:pPr>
            <w:r>
              <w:rPr>
                <w:rFonts w:ascii="Calibri" w:hAnsi="Calibri"/>
                <w:sz w:val="19"/>
              </w:rPr>
              <w:t>Evaluate alternative scenarios (Q5)</w:t>
            </w:r>
          </w:p>
        </w:tc>
        <w:tc>
          <w:tcPr>
            <w:tcW w:type="dxa" w:w="3041"/>
            <w:vAlign w:val="center"/>
          </w:tcPr>
          <w:p>
            <w:pPr>
              <w:spacing w:before="40" w:after="40" w:line="276" w:lineRule="auto"/>
            </w:pPr>
            <w:r>
              <w:rPr>
                <w:rFonts w:ascii="Calibri" w:hAnsi="Calibri"/>
                <w:sz w:val="19"/>
              </w:rPr>
              <w:t>LP optimization: base, −20%, +30%, fee-change scenarios</w:t>
            </w:r>
          </w:p>
        </w:tc>
      </w:tr>
      <w:tr>
        <w:tc>
          <w:tcPr>
            <w:tcW w:type="dxa" w:w="3041"/>
            <w:vAlign w:val="center"/>
          </w:tcPr>
          <w:p>
            <w:pPr>
              <w:spacing w:before="40" w:after="40" w:line="276" w:lineRule="auto"/>
            </w:pPr>
            <w:r>
              <w:rPr>
                <w:rFonts w:ascii="Calibri" w:hAnsi="Calibri"/>
                <w:sz w:val="19"/>
              </w:rPr>
              <w:t>Tab 6 – Raw Tiki Data</w:t>
            </w:r>
          </w:p>
        </w:tc>
        <w:tc>
          <w:tcPr>
            <w:tcW w:type="dxa" w:w="3041"/>
            <w:vAlign w:val="center"/>
          </w:tcPr>
          <w:p>
            <w:pPr>
              <w:spacing w:before="40" w:after="40" w:line="276" w:lineRule="auto"/>
            </w:pPr>
            <w:r>
              <w:rPr>
                <w:rFonts w:ascii="Calibri" w:hAnsi="Calibri"/>
                <w:sz w:val="19"/>
              </w:rPr>
              <w:t>Monitor key KPIs (transparency)</w:t>
            </w:r>
          </w:p>
        </w:tc>
        <w:tc>
          <w:tcPr>
            <w:tcW w:type="dxa" w:w="3041"/>
            <w:vAlign w:val="center"/>
          </w:tcPr>
          <w:p>
            <w:pPr>
              <w:spacing w:before="40" w:after="40" w:line="276" w:lineRule="auto"/>
            </w:pPr>
            <w:r>
              <w:rPr>
                <w:rFonts w:ascii="Calibri" w:hAnsi="Calibri"/>
                <w:sz w:val="19"/>
              </w:rPr>
              <w:t>products_tiki table (1,925 records)</w:t>
            </w:r>
          </w:p>
        </w:tc>
      </w:tr>
      <w:tr>
        <w:tc>
          <w:tcPr>
            <w:tcW w:type="dxa" w:w="3041"/>
            <w:vAlign w:val="center"/>
          </w:tcPr>
          <w:p>
            <w:pPr>
              <w:spacing w:before="40" w:after="40" w:line="276" w:lineRule="auto"/>
            </w:pPr>
            <w:r>
              <w:rPr>
                <w:rFonts w:ascii="Calibri" w:hAnsi="Calibri"/>
                <w:sz w:val="19"/>
              </w:rPr>
              <w:t>Tab 7 – Raw Lazada Data</w:t>
            </w:r>
          </w:p>
        </w:tc>
        <w:tc>
          <w:tcPr>
            <w:tcW w:type="dxa" w:w="3041"/>
            <w:vAlign w:val="center"/>
          </w:tcPr>
          <w:p>
            <w:pPr>
              <w:spacing w:before="40" w:after="40" w:line="276" w:lineRule="auto"/>
            </w:pPr>
            <w:r>
              <w:rPr>
                <w:rFonts w:ascii="Calibri" w:hAnsi="Calibri"/>
                <w:sz w:val="19"/>
              </w:rPr>
              <w:t>Monitor key KPIs (transparency)</w:t>
            </w:r>
          </w:p>
        </w:tc>
        <w:tc>
          <w:tcPr>
            <w:tcW w:type="dxa" w:w="3041"/>
            <w:vAlign w:val="center"/>
          </w:tcPr>
          <w:p>
            <w:pPr>
              <w:spacing w:before="40" w:after="40" w:line="276" w:lineRule="auto"/>
            </w:pPr>
            <w:r>
              <w:rPr>
                <w:rFonts w:ascii="Calibri" w:hAnsi="Calibri"/>
                <w:sz w:val="19"/>
              </w:rPr>
              <w:t>products_external Lazada (1,000 records)</w:t>
            </w:r>
          </w:p>
        </w:tc>
      </w:tr>
      <w:tr>
        <w:tc>
          <w:tcPr>
            <w:tcW w:type="dxa" w:w="3041"/>
            <w:vAlign w:val="center"/>
          </w:tcPr>
          <w:p>
            <w:pPr>
              <w:spacing w:before="40" w:after="40" w:line="276" w:lineRule="auto"/>
            </w:pPr>
            <w:r>
              <w:rPr>
                <w:rFonts w:ascii="Calibri" w:hAnsi="Calibri"/>
                <w:sz w:val="19"/>
              </w:rPr>
              <w:t>Tab 8 – Raw Shopee Data</w:t>
            </w:r>
          </w:p>
        </w:tc>
        <w:tc>
          <w:tcPr>
            <w:tcW w:type="dxa" w:w="3041"/>
            <w:vAlign w:val="center"/>
          </w:tcPr>
          <w:p>
            <w:pPr>
              <w:spacing w:before="40" w:after="40" w:line="276" w:lineRule="auto"/>
            </w:pPr>
            <w:r>
              <w:rPr>
                <w:rFonts w:ascii="Calibri" w:hAnsi="Calibri"/>
                <w:sz w:val="19"/>
              </w:rPr>
              <w:t>Monitor key KPIs (transparency)</w:t>
            </w:r>
          </w:p>
        </w:tc>
        <w:tc>
          <w:tcPr>
            <w:tcW w:type="dxa" w:w="3041"/>
            <w:vAlign w:val="center"/>
          </w:tcPr>
          <w:p>
            <w:pPr>
              <w:spacing w:before="40" w:after="40" w:line="276" w:lineRule="auto"/>
            </w:pPr>
            <w:r>
              <w:rPr>
                <w:rFonts w:ascii="Calibri" w:hAnsi="Calibri"/>
                <w:sz w:val="19"/>
              </w:rPr>
              <w:t>products_external Shopee (98 records)</w:t>
            </w:r>
          </w:p>
        </w:tc>
      </w:tr>
    </w:tbl>
    <w:p/>
    <w:p>
      <w:pPr>
        <w:pStyle w:val="Heading2"/>
        <w:spacing w:before="200" w:after="80"/>
      </w:pPr>
      <w:r>
        <w:rPr>
          <w:rFonts w:ascii="Calibri" w:hAnsi="Calibri"/>
          <w:b/>
          <w:color w:val="00695C"/>
          <w:sz w:val="26"/>
        </w:rPr>
        <w:t>B. Presentation Slides</w:t>
      </w:r>
    </w:p>
    <w:p>
      <w:pPr>
        <w:spacing w:before="40" w:after="100" w:line="276" w:lineRule="auto"/>
      </w:pPr>
      <w:r>
        <w:rPr>
          <w:rFonts w:ascii="Calibri" w:hAnsi="Calibri"/>
          <w:sz w:val="22"/>
        </w:rPr>
        <w:t>The 18-slide presentation deck is organized around the five required slide themes. Recommended duration: 15–20 minutes.</w:t>
      </w:r>
    </w:p>
    <w:p>
      <w:pPr>
        <w:pStyle w:val="Heading3"/>
        <w:spacing w:before="200" w:after="80"/>
      </w:pPr>
      <w:r>
        <w:rPr>
          <w:rFonts w:ascii="Calibri" w:hAnsi="Calibri"/>
          <w:b/>
          <w:color w:val="1B5E20"/>
          <w:sz w:val="22"/>
        </w:rPr>
        <w:t>Decision context  (Slides 1–3)</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fill="1D4ED8"/>
          </w:tcPr>
          <w:p>
            <w:pPr>
              <w:spacing w:before="60" w:after="60" w:line="276" w:lineRule="auto"/>
              <w:jc w:val="center"/>
            </w:pPr>
            <w:r>
              <w:rPr>
                <w:rFonts w:ascii="Calibri" w:hAnsi="Calibri"/>
                <w:b/>
                <w:color w:val="FFFFFF"/>
                <w:sz w:val="19"/>
              </w:rPr>
              <w:t>Slide #</w:t>
            </w:r>
          </w:p>
        </w:tc>
        <w:tc>
          <w:tcPr>
            <w:tcW w:type="dxa" w:w="3041"/>
            <w:vAlign w:val="center"/>
            <w:shd w:val="clear" w:fill="1D4ED8"/>
          </w:tcPr>
          <w:p>
            <w:pPr>
              <w:spacing w:before="60" w:after="60" w:line="276" w:lineRule="auto"/>
              <w:jc w:val="center"/>
            </w:pPr>
            <w:r>
              <w:rPr>
                <w:rFonts w:ascii="Calibri" w:hAnsi="Calibri"/>
                <w:b/>
                <w:color w:val="FFFFFF"/>
                <w:sz w:val="19"/>
              </w:rPr>
              <w:t>Slide Title</w:t>
            </w:r>
          </w:p>
        </w:tc>
        <w:tc>
          <w:tcPr>
            <w:tcW w:type="dxa" w:w="3041"/>
            <w:vAlign w:val="center"/>
            <w:shd w:val="clear" w:fill="1D4ED8"/>
          </w:tcPr>
          <w:p>
            <w:pPr>
              <w:spacing w:before="60" w:after="60" w:line="276" w:lineRule="auto"/>
              <w:jc w:val="center"/>
            </w:pPr>
            <w:r>
              <w:rPr>
                <w:rFonts w:ascii="Calibri" w:hAnsi="Calibri"/>
                <w:b/>
                <w:color w:val="FFFFFF"/>
                <w:sz w:val="19"/>
              </w:rPr>
              <w:t>Key Content</w:t>
            </w:r>
          </w:p>
        </w:tc>
      </w:tr>
      <w:tr>
        <w:tc>
          <w:tcPr>
            <w:tcW w:type="dxa" w:w="3041"/>
            <w:vAlign w:val="center"/>
          </w:tcPr>
          <w:p>
            <w:pPr>
              <w:spacing w:before="40" w:after="40" w:line="276" w:lineRule="auto"/>
            </w:pPr>
            <w:r>
              <w:rPr>
                <w:rFonts w:ascii="Calibri" w:hAnsi="Calibri"/>
                <w:sz w:val="19"/>
              </w:rPr>
              <w:t>1</w:t>
            </w:r>
          </w:p>
        </w:tc>
        <w:tc>
          <w:tcPr>
            <w:tcW w:type="dxa" w:w="3041"/>
            <w:vAlign w:val="center"/>
          </w:tcPr>
          <w:p>
            <w:pPr>
              <w:spacing w:before="40" w:after="40" w:line="276" w:lineRule="auto"/>
            </w:pPr>
            <w:r>
              <w:rPr>
                <w:rFonts w:ascii="Calibri" w:hAnsi="Calibri"/>
                <w:sz w:val="19"/>
              </w:rPr>
              <w:t>Title Slide</w:t>
            </w:r>
          </w:p>
        </w:tc>
        <w:tc>
          <w:tcPr>
            <w:tcW w:type="dxa" w:w="3041"/>
            <w:vAlign w:val="center"/>
          </w:tcPr>
          <w:p>
            <w:pPr>
              <w:spacing w:before="40" w:after="40" w:line="276" w:lineRule="auto"/>
            </w:pPr>
            <w:r>
              <w:rPr>
                <w:rFonts w:ascii="Calibri" w:hAnsi="Calibri"/>
                <w:sz w:val="19"/>
              </w:rPr>
              <w:t>Assignment 3 – DSS Dashboard &amp; Decision Support Interface | Group 1 | HCMUT | July 2026</w:t>
            </w:r>
          </w:p>
        </w:tc>
      </w:tr>
      <w:tr>
        <w:tc>
          <w:tcPr>
            <w:tcW w:type="dxa" w:w="3041"/>
            <w:vAlign w:val="center"/>
          </w:tcPr>
          <w:p>
            <w:pPr>
              <w:spacing w:before="40" w:after="40" w:line="276" w:lineRule="auto"/>
            </w:pPr>
            <w:r>
              <w:rPr>
                <w:rFonts w:ascii="Calibri" w:hAnsi="Calibri"/>
                <w:sz w:val="19"/>
              </w:rPr>
              <w:t>2</w:t>
            </w:r>
          </w:p>
        </w:tc>
        <w:tc>
          <w:tcPr>
            <w:tcW w:type="dxa" w:w="3041"/>
            <w:vAlign w:val="center"/>
          </w:tcPr>
          <w:p>
            <w:pPr>
              <w:spacing w:before="40" w:after="40" w:line="276" w:lineRule="auto"/>
            </w:pPr>
            <w:r>
              <w:rPr>
                <w:rFonts w:ascii="Calibri" w:hAnsi="Calibri"/>
                <w:sz w:val="19"/>
              </w:rPr>
              <w:t>Who Is the Decision Maker?</w:t>
            </w:r>
          </w:p>
        </w:tc>
        <w:tc>
          <w:tcPr>
            <w:tcW w:type="dxa" w:w="3041"/>
            <w:vAlign w:val="center"/>
          </w:tcPr>
          <w:p>
            <w:pPr>
              <w:spacing w:before="40" w:after="40" w:line="276" w:lineRule="auto"/>
            </w:pPr>
            <w:r>
              <w:rPr>
                <w:rFonts w:ascii="Calibri" w:hAnsi="Calibri"/>
                <w:sz w:val="19"/>
              </w:rPr>
              <w:t>Non-Official Tiki fashion seller profile: capital constraints (500M–2B VND/quarter), non-technical background, competition against Official Store brands (60–99% market share dominance)</w:t>
            </w:r>
          </w:p>
        </w:tc>
      </w:tr>
      <w:tr>
        <w:tc>
          <w:tcPr>
            <w:tcW w:type="dxa" w:w="3041"/>
            <w:vAlign w:val="center"/>
          </w:tcPr>
          <w:p>
            <w:pPr>
              <w:spacing w:before="40" w:after="40" w:line="276" w:lineRule="auto"/>
            </w:pPr>
            <w:r>
              <w:rPr>
                <w:rFonts w:ascii="Calibri" w:hAnsi="Calibri"/>
                <w:sz w:val="19"/>
              </w:rPr>
              <w:t>3</w:t>
            </w:r>
          </w:p>
        </w:tc>
        <w:tc>
          <w:tcPr>
            <w:tcW w:type="dxa" w:w="3041"/>
            <w:vAlign w:val="center"/>
          </w:tcPr>
          <w:p>
            <w:pPr>
              <w:spacing w:before="40" w:after="40" w:line="276" w:lineRule="auto"/>
            </w:pPr>
            <w:r>
              <w:rPr>
                <w:rFonts w:ascii="Calibri" w:hAnsi="Calibri"/>
                <w:sz w:val="19"/>
              </w:rPr>
              <w:t>Connection to ASG2 – The 5 Decision Questions</w:t>
            </w:r>
          </w:p>
        </w:tc>
        <w:tc>
          <w:tcPr>
            <w:tcW w:type="dxa" w:w="3041"/>
            <w:vAlign w:val="center"/>
          </w:tcPr>
          <w:p>
            <w:pPr>
              <w:spacing w:before="40" w:after="40" w:line="276" w:lineRule="auto"/>
            </w:pPr>
            <w:r>
              <w:rPr>
                <w:rFonts w:ascii="Calibri" w:hAnsi="Calibri"/>
                <w:sz w:val="19"/>
              </w:rPr>
              <w:t>Table: Q1–Q5, the ASG2 model used for each, and the corresponding dashboard tab. Role of ASG3 in the DSS pipeline: Data (A1) → Models (A2) → Interface (A3)</w:t>
            </w:r>
          </w:p>
        </w:tc>
      </w:tr>
    </w:tbl>
    <w:p/>
    <w:p>
      <w:pPr>
        <w:pStyle w:val="Heading3"/>
        <w:spacing w:before="200" w:after="80"/>
      </w:pPr>
      <w:r>
        <w:rPr>
          <w:rFonts w:ascii="Calibri" w:hAnsi="Calibri"/>
          <w:b/>
          <w:color w:val="1B5E20"/>
          <w:sz w:val="22"/>
        </w:rPr>
        <w:t>Dashboard overview  (Slides 4–7)</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fill="1D4ED8"/>
          </w:tcPr>
          <w:p>
            <w:pPr>
              <w:spacing w:before="60" w:after="60" w:line="276" w:lineRule="auto"/>
              <w:jc w:val="center"/>
            </w:pPr>
            <w:r>
              <w:rPr>
                <w:rFonts w:ascii="Calibri" w:hAnsi="Calibri"/>
                <w:b/>
                <w:color w:val="FFFFFF"/>
                <w:sz w:val="19"/>
              </w:rPr>
              <w:t>Slide #</w:t>
            </w:r>
          </w:p>
        </w:tc>
        <w:tc>
          <w:tcPr>
            <w:tcW w:type="dxa" w:w="3041"/>
            <w:vAlign w:val="center"/>
            <w:shd w:val="clear" w:fill="1D4ED8"/>
          </w:tcPr>
          <w:p>
            <w:pPr>
              <w:spacing w:before="60" w:after="60" w:line="276" w:lineRule="auto"/>
              <w:jc w:val="center"/>
            </w:pPr>
            <w:r>
              <w:rPr>
                <w:rFonts w:ascii="Calibri" w:hAnsi="Calibri"/>
                <w:b/>
                <w:color w:val="FFFFFF"/>
                <w:sz w:val="19"/>
              </w:rPr>
              <w:t>Slide Title</w:t>
            </w:r>
          </w:p>
        </w:tc>
        <w:tc>
          <w:tcPr>
            <w:tcW w:type="dxa" w:w="3041"/>
            <w:vAlign w:val="center"/>
            <w:shd w:val="clear" w:fill="1D4ED8"/>
          </w:tcPr>
          <w:p>
            <w:pPr>
              <w:spacing w:before="60" w:after="60" w:line="276" w:lineRule="auto"/>
              <w:jc w:val="center"/>
            </w:pPr>
            <w:r>
              <w:rPr>
                <w:rFonts w:ascii="Calibri" w:hAnsi="Calibri"/>
                <w:b/>
                <w:color w:val="FFFFFF"/>
                <w:sz w:val="19"/>
              </w:rPr>
              <w:t>Key Content</w:t>
            </w:r>
          </w:p>
        </w:tc>
      </w:tr>
      <w:tr>
        <w:tc>
          <w:tcPr>
            <w:tcW w:type="dxa" w:w="3041"/>
            <w:vAlign w:val="center"/>
          </w:tcPr>
          <w:p>
            <w:pPr>
              <w:spacing w:before="40" w:after="40" w:line="276" w:lineRule="auto"/>
            </w:pPr>
            <w:r>
              <w:rPr>
                <w:rFonts w:ascii="Calibri" w:hAnsi="Calibri"/>
                <w:sz w:val="19"/>
              </w:rPr>
              <w:t>4</w:t>
            </w:r>
          </w:p>
        </w:tc>
        <w:tc>
          <w:tcPr>
            <w:tcW w:type="dxa" w:w="3041"/>
            <w:vAlign w:val="center"/>
          </w:tcPr>
          <w:p>
            <w:pPr>
              <w:spacing w:before="40" w:after="40" w:line="276" w:lineRule="auto"/>
            </w:pPr>
            <w:r>
              <w:rPr>
                <w:rFonts w:ascii="Calibri" w:hAnsi="Calibri"/>
                <w:sz w:val="19"/>
              </w:rPr>
              <w:t>Step 1 – Information Requirements Summary</w:t>
            </w:r>
          </w:p>
        </w:tc>
        <w:tc>
          <w:tcPr>
            <w:tcW w:type="dxa" w:w="3041"/>
            <w:vAlign w:val="center"/>
          </w:tcPr>
          <w:p>
            <w:pPr>
              <w:spacing w:before="40" w:after="40" w:line="276" w:lineRule="auto"/>
            </w:pPr>
            <w:r>
              <w:rPr>
                <w:rFonts w:ascii="Calibri" w:hAnsi="Calibri"/>
                <w:sz w:val="19"/>
              </w:rPr>
              <w:t>KPI framework table (4 KPIs); decision maker profile; 5 information needs mapped to 5 dashboard objectives</w:t>
            </w:r>
          </w:p>
        </w:tc>
      </w:tr>
      <w:tr>
        <w:tc>
          <w:tcPr>
            <w:tcW w:type="dxa" w:w="3041"/>
            <w:vAlign w:val="center"/>
          </w:tcPr>
          <w:p>
            <w:pPr>
              <w:spacing w:before="40" w:after="40" w:line="276" w:lineRule="auto"/>
            </w:pPr>
            <w:r>
              <w:rPr>
                <w:rFonts w:ascii="Calibri" w:hAnsi="Calibri"/>
                <w:sz w:val="19"/>
              </w:rPr>
              <w:t>5</w:t>
            </w:r>
          </w:p>
        </w:tc>
        <w:tc>
          <w:tcPr>
            <w:tcW w:type="dxa" w:w="3041"/>
            <w:vAlign w:val="center"/>
          </w:tcPr>
          <w:p>
            <w:pPr>
              <w:spacing w:before="40" w:after="40" w:line="276" w:lineRule="auto"/>
            </w:pPr>
            <w:r>
              <w:rPr>
                <w:rFonts w:ascii="Calibri" w:hAnsi="Calibri"/>
                <w:sz w:val="19"/>
              </w:rPr>
              <w:t>Step 2 – Dashboard Layout Overview</w:t>
            </w:r>
          </w:p>
        </w:tc>
        <w:tc>
          <w:tcPr>
            <w:tcW w:type="dxa" w:w="3041"/>
            <w:vAlign w:val="center"/>
          </w:tcPr>
          <w:p>
            <w:pPr>
              <w:spacing w:before="40" w:after="40" w:line="276" w:lineRule="auto"/>
            </w:pPr>
            <w:r>
              <w:rPr>
                <w:rFonts w:ascii="Calibri" w:hAnsi="Calibri"/>
                <w:sz w:val="19"/>
              </w:rPr>
              <w:t>Full screenshot of the dashboard with four labeled zones (Header / Global Filters / KPI Cards / Tab Workspace)</w:t>
            </w:r>
          </w:p>
        </w:tc>
      </w:tr>
      <w:tr>
        <w:tc>
          <w:tcPr>
            <w:tcW w:type="dxa" w:w="3041"/>
            <w:vAlign w:val="center"/>
          </w:tcPr>
          <w:p>
            <w:pPr>
              <w:spacing w:before="40" w:after="40" w:line="276" w:lineRule="auto"/>
            </w:pPr>
            <w:r>
              <w:rPr>
                <w:rFonts w:ascii="Calibri" w:hAnsi="Calibri"/>
                <w:sz w:val="19"/>
              </w:rPr>
              <w:t>6</w:t>
            </w:r>
          </w:p>
        </w:tc>
        <w:tc>
          <w:tcPr>
            <w:tcW w:type="dxa" w:w="3041"/>
            <w:vAlign w:val="center"/>
          </w:tcPr>
          <w:p>
            <w:pPr>
              <w:spacing w:before="40" w:after="40" w:line="276" w:lineRule="auto"/>
            </w:pPr>
            <w:r>
              <w:rPr>
                <w:rFonts w:ascii="Calibri" w:hAnsi="Calibri"/>
                <w:sz w:val="19"/>
              </w:rPr>
              <w:t>KPI Cards and Global Filter Design</w:t>
            </w:r>
          </w:p>
        </w:tc>
        <w:tc>
          <w:tcPr>
            <w:tcW w:type="dxa" w:w="3041"/>
            <w:vAlign w:val="center"/>
          </w:tcPr>
          <w:p>
            <w:pPr>
              <w:spacing w:before="40" w:after="40" w:line="276" w:lineRule="auto"/>
            </w:pPr>
            <w:r>
              <w:rPr>
                <w:rFonts w:ascii="Calibri" w:hAnsi="Calibri"/>
                <w:sz w:val="19"/>
              </w:rPr>
              <w:t>Screenshot of Zone 2 + Zone 3. Explain: one global filter action synchronizes all 8 tabs simultaneously</w:t>
            </w:r>
          </w:p>
        </w:tc>
      </w:tr>
      <w:tr>
        <w:tc>
          <w:tcPr>
            <w:tcW w:type="dxa" w:w="3041"/>
            <w:vAlign w:val="center"/>
          </w:tcPr>
          <w:p>
            <w:pPr>
              <w:spacing w:before="40" w:after="40" w:line="276" w:lineRule="auto"/>
            </w:pPr>
            <w:r>
              <w:rPr>
                <w:rFonts w:ascii="Calibri" w:hAnsi="Calibri"/>
                <w:sz w:val="19"/>
              </w:rPr>
              <w:t>7</w:t>
            </w:r>
          </w:p>
        </w:tc>
        <w:tc>
          <w:tcPr>
            <w:tcW w:type="dxa" w:w="3041"/>
            <w:vAlign w:val="center"/>
          </w:tcPr>
          <w:p>
            <w:pPr>
              <w:spacing w:before="40" w:after="40" w:line="276" w:lineRule="auto"/>
            </w:pPr>
            <w:r>
              <w:rPr>
                <w:rFonts w:ascii="Calibri" w:hAnsi="Calibri"/>
                <w:sz w:val="19"/>
              </w:rPr>
              <w:t>Eight-Tab Navigation Structure</w:t>
            </w:r>
          </w:p>
        </w:tc>
        <w:tc>
          <w:tcPr>
            <w:tcW w:type="dxa" w:w="3041"/>
            <w:vAlign w:val="center"/>
          </w:tcPr>
          <w:p>
            <w:pPr>
              <w:spacing w:before="40" w:after="40" w:line="276" w:lineRule="auto"/>
            </w:pPr>
            <w:r>
              <w:rPr>
                <w:rFonts w:ascii="Calibri" w:hAnsi="Calibri"/>
                <w:sz w:val="19"/>
              </w:rPr>
              <w:t>Tab overview table: tab name, objective served, ASG2 model integrated. Explain color-coding (Teal/Blue/Orange)</w:t>
            </w:r>
          </w:p>
        </w:tc>
      </w:tr>
    </w:tbl>
    <w:p/>
    <w:p>
      <w:pPr>
        <w:pStyle w:val="Heading3"/>
        <w:spacing w:before="200" w:after="80"/>
      </w:pPr>
      <w:r>
        <w:rPr>
          <w:rFonts w:ascii="Calibri" w:hAnsi="Calibri"/>
          <w:b/>
          <w:color w:val="1B5E20"/>
          <w:sz w:val="22"/>
        </w:rPr>
        <w:t>Design justification  (Slides 8–10)</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fill="1D4ED8"/>
          </w:tcPr>
          <w:p>
            <w:pPr>
              <w:spacing w:before="60" w:after="60" w:line="276" w:lineRule="auto"/>
              <w:jc w:val="center"/>
            </w:pPr>
            <w:r>
              <w:rPr>
                <w:rFonts w:ascii="Calibri" w:hAnsi="Calibri"/>
                <w:b/>
                <w:color w:val="FFFFFF"/>
                <w:sz w:val="19"/>
              </w:rPr>
              <w:t>Slide #</w:t>
            </w:r>
          </w:p>
        </w:tc>
        <w:tc>
          <w:tcPr>
            <w:tcW w:type="dxa" w:w="3041"/>
            <w:vAlign w:val="center"/>
            <w:shd w:val="clear" w:fill="1D4ED8"/>
          </w:tcPr>
          <w:p>
            <w:pPr>
              <w:spacing w:before="60" w:after="60" w:line="276" w:lineRule="auto"/>
              <w:jc w:val="center"/>
            </w:pPr>
            <w:r>
              <w:rPr>
                <w:rFonts w:ascii="Calibri" w:hAnsi="Calibri"/>
                <w:b/>
                <w:color w:val="FFFFFF"/>
                <w:sz w:val="19"/>
              </w:rPr>
              <w:t>Slide Title</w:t>
            </w:r>
          </w:p>
        </w:tc>
        <w:tc>
          <w:tcPr>
            <w:tcW w:type="dxa" w:w="3041"/>
            <w:vAlign w:val="center"/>
            <w:shd w:val="clear" w:fill="1D4ED8"/>
          </w:tcPr>
          <w:p>
            <w:pPr>
              <w:spacing w:before="60" w:after="60" w:line="276" w:lineRule="auto"/>
              <w:jc w:val="center"/>
            </w:pPr>
            <w:r>
              <w:rPr>
                <w:rFonts w:ascii="Calibri" w:hAnsi="Calibri"/>
                <w:b/>
                <w:color w:val="FFFFFF"/>
                <w:sz w:val="19"/>
              </w:rPr>
              <w:t>Key Content</w:t>
            </w:r>
          </w:p>
        </w:tc>
      </w:tr>
      <w:tr>
        <w:tc>
          <w:tcPr>
            <w:tcW w:type="dxa" w:w="3041"/>
            <w:vAlign w:val="center"/>
          </w:tcPr>
          <w:p>
            <w:pPr>
              <w:spacing w:before="40" w:after="40" w:line="276" w:lineRule="auto"/>
            </w:pPr>
            <w:r>
              <w:rPr>
                <w:rFonts w:ascii="Calibri" w:hAnsi="Calibri"/>
                <w:sz w:val="19"/>
              </w:rPr>
              <w:t>8</w:t>
            </w:r>
          </w:p>
        </w:tc>
        <w:tc>
          <w:tcPr>
            <w:tcW w:type="dxa" w:w="3041"/>
            <w:vAlign w:val="center"/>
          </w:tcPr>
          <w:p>
            <w:pPr>
              <w:spacing w:before="40" w:after="40" w:line="276" w:lineRule="auto"/>
            </w:pPr>
            <w:r>
              <w:rPr>
                <w:rFonts w:ascii="Calibri" w:hAnsi="Calibri"/>
                <w:sz w:val="19"/>
              </w:rPr>
              <w:t>Step 3 – Alignment with Decision Maker Needs</w:t>
            </w:r>
          </w:p>
        </w:tc>
        <w:tc>
          <w:tcPr>
            <w:tcW w:type="dxa" w:w="3041"/>
            <w:vAlign w:val="center"/>
          </w:tcPr>
          <w:p>
            <w:pPr>
              <w:spacing w:before="40" w:after="40" w:line="276" w:lineRule="auto"/>
            </w:pPr>
            <w:r>
              <w:rPr>
                <w:rFonts w:ascii="Calibri" w:hAnsi="Calibri"/>
                <w:sz w:val="19"/>
              </w:rPr>
              <w:t>Feature → User Need → ASG2 Evidence mapping table (7 rows). Emphasize: every design choice links to a specific decision question or analytical finding</w:t>
            </w:r>
          </w:p>
        </w:tc>
      </w:tr>
      <w:tr>
        <w:tc>
          <w:tcPr>
            <w:tcW w:type="dxa" w:w="3041"/>
            <w:vAlign w:val="center"/>
          </w:tcPr>
          <w:p>
            <w:pPr>
              <w:spacing w:before="40" w:after="40" w:line="276" w:lineRule="auto"/>
            </w:pPr>
            <w:r>
              <w:rPr>
                <w:rFonts w:ascii="Calibri" w:hAnsi="Calibri"/>
                <w:sz w:val="19"/>
              </w:rPr>
              <w:t>9</w:t>
            </w:r>
          </w:p>
        </w:tc>
        <w:tc>
          <w:tcPr>
            <w:tcW w:type="dxa" w:w="3041"/>
            <w:vAlign w:val="center"/>
          </w:tcPr>
          <w:p>
            <w:pPr>
              <w:spacing w:before="40" w:after="40" w:line="276" w:lineRule="auto"/>
            </w:pPr>
            <w:r>
              <w:rPr>
                <w:rFonts w:ascii="Calibri" w:hAnsi="Calibri"/>
                <w:sz w:val="19"/>
              </w:rPr>
              <w:t>Effective Communication – 3-Layer Design</w:t>
            </w:r>
          </w:p>
        </w:tc>
        <w:tc>
          <w:tcPr>
            <w:tcW w:type="dxa" w:w="3041"/>
            <w:vAlign w:val="center"/>
          </w:tcPr>
          <w:p>
            <w:pPr>
              <w:spacing w:before="40" w:after="40" w:line="276" w:lineRule="auto"/>
            </w:pPr>
            <w:r>
              <w:rPr>
                <w:rFonts w:ascii="Calibri" w:hAnsi="Calibri"/>
                <w:sz w:val="19"/>
              </w:rPr>
              <w:t>Executive layer (badges/colors) → Operational layer (charts/tooltips) → Analytical layer (raw tables/equations). Show one example from each layer using actual screenshots</w:t>
            </w:r>
          </w:p>
        </w:tc>
      </w:tr>
      <w:tr>
        <w:tc>
          <w:tcPr>
            <w:tcW w:type="dxa" w:w="3041"/>
            <w:vAlign w:val="center"/>
          </w:tcPr>
          <w:p>
            <w:pPr>
              <w:spacing w:before="40" w:after="40" w:line="276" w:lineRule="auto"/>
            </w:pPr>
            <w:r>
              <w:rPr>
                <w:rFonts w:ascii="Calibri" w:hAnsi="Calibri"/>
                <w:sz w:val="19"/>
              </w:rPr>
              <w:t>10</w:t>
            </w:r>
          </w:p>
        </w:tc>
        <w:tc>
          <w:tcPr>
            <w:tcW w:type="dxa" w:w="3041"/>
            <w:vAlign w:val="center"/>
          </w:tcPr>
          <w:p>
            <w:pPr>
              <w:spacing w:before="40" w:after="40" w:line="276" w:lineRule="auto"/>
            </w:pPr>
            <w:r>
              <w:rPr>
                <w:rFonts w:ascii="Calibri" w:hAnsi="Calibri"/>
                <w:sz w:val="19"/>
              </w:rPr>
              <w:t>Dashboard Usability – Nielsen Heuristics</w:t>
            </w:r>
          </w:p>
        </w:tc>
        <w:tc>
          <w:tcPr>
            <w:tcW w:type="dxa" w:w="3041"/>
            <w:vAlign w:val="center"/>
          </w:tcPr>
          <w:p>
            <w:pPr>
              <w:spacing w:before="40" w:after="40" w:line="276" w:lineRule="auto"/>
            </w:pPr>
            <w:r>
              <w:rPr>
                <w:rFonts w:ascii="Calibri" w:hAnsi="Calibri"/>
                <w:sz w:val="19"/>
              </w:rPr>
              <w:t>Scorecard: 10/10 heuristics applied. Highlight 3 most impactful: Global Sync (Heuristic 3), Color Consistency (Heuristic 4), Threshold Banner as error prevention (Heuristic 5)</w:t>
            </w:r>
          </w:p>
        </w:tc>
      </w:tr>
    </w:tbl>
    <w:p/>
    <w:p>
      <w:pPr>
        <w:pStyle w:val="Heading3"/>
        <w:spacing w:before="200" w:after="80"/>
      </w:pPr>
      <w:r>
        <w:rPr>
          <w:rFonts w:ascii="Calibri" w:hAnsi="Calibri"/>
          <w:b/>
          <w:color w:val="1B5E20"/>
          <w:sz w:val="22"/>
        </w:rPr>
        <w:t>Demonstration of insights, forecasts, and scenarios  (Slides 11–15)</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fill="1D4ED8"/>
          </w:tcPr>
          <w:p>
            <w:pPr>
              <w:spacing w:before="60" w:after="60" w:line="276" w:lineRule="auto"/>
              <w:jc w:val="center"/>
            </w:pPr>
            <w:r>
              <w:rPr>
                <w:rFonts w:ascii="Calibri" w:hAnsi="Calibri"/>
                <w:b/>
                <w:color w:val="FFFFFF"/>
                <w:sz w:val="19"/>
              </w:rPr>
              <w:t>Slide #</w:t>
            </w:r>
          </w:p>
        </w:tc>
        <w:tc>
          <w:tcPr>
            <w:tcW w:type="dxa" w:w="3041"/>
            <w:vAlign w:val="center"/>
            <w:shd w:val="clear" w:fill="1D4ED8"/>
          </w:tcPr>
          <w:p>
            <w:pPr>
              <w:spacing w:before="60" w:after="60" w:line="276" w:lineRule="auto"/>
              <w:jc w:val="center"/>
            </w:pPr>
            <w:r>
              <w:rPr>
                <w:rFonts w:ascii="Calibri" w:hAnsi="Calibri"/>
                <w:b/>
                <w:color w:val="FFFFFF"/>
                <w:sz w:val="19"/>
              </w:rPr>
              <w:t>Slide Title</w:t>
            </w:r>
          </w:p>
        </w:tc>
        <w:tc>
          <w:tcPr>
            <w:tcW w:type="dxa" w:w="3041"/>
            <w:vAlign w:val="center"/>
            <w:shd w:val="clear" w:fill="1D4ED8"/>
          </w:tcPr>
          <w:p>
            <w:pPr>
              <w:spacing w:before="60" w:after="60" w:line="276" w:lineRule="auto"/>
              <w:jc w:val="center"/>
            </w:pPr>
            <w:r>
              <w:rPr>
                <w:rFonts w:ascii="Calibri" w:hAnsi="Calibri"/>
                <w:b/>
                <w:color w:val="FFFFFF"/>
                <w:sz w:val="19"/>
              </w:rPr>
              <w:t>Key Content</w:t>
            </w:r>
          </w:p>
        </w:tc>
      </w:tr>
      <w:tr>
        <w:tc>
          <w:tcPr>
            <w:tcW w:type="dxa" w:w="3041"/>
            <w:vAlign w:val="center"/>
          </w:tcPr>
          <w:p>
            <w:pPr>
              <w:spacing w:before="40" w:after="40" w:line="276" w:lineRule="auto"/>
            </w:pPr>
            <w:r>
              <w:rPr>
                <w:rFonts w:ascii="Calibri" w:hAnsi="Calibri"/>
                <w:sz w:val="19"/>
              </w:rPr>
              <w:t>11</w:t>
            </w:r>
          </w:p>
        </w:tc>
        <w:tc>
          <w:tcPr>
            <w:tcW w:type="dxa" w:w="3041"/>
            <w:vAlign w:val="center"/>
          </w:tcPr>
          <w:p>
            <w:pPr>
              <w:spacing w:before="40" w:after="40" w:line="276" w:lineRule="auto"/>
            </w:pPr>
            <w:r>
              <w:rPr>
                <w:rFonts w:ascii="Calibri" w:hAnsi="Calibri"/>
                <w:sz w:val="19"/>
              </w:rPr>
              <w:t>Insights Demo – Tab 1: Top Products</w:t>
            </w:r>
          </w:p>
        </w:tc>
        <w:tc>
          <w:tcPr>
            <w:tcW w:type="dxa" w:w="3041"/>
            <w:vAlign w:val="center"/>
          </w:tcPr>
          <w:p>
            <w:pPr>
              <w:spacing w:before="40" w:after="40" w:line="276" w:lineRule="auto"/>
            </w:pPr>
            <w:r>
              <w:rPr>
                <w:rFonts w:ascii="Calibri" w:hAnsi="Calibri"/>
                <w:sz w:val="19"/>
              </w:rPr>
              <w:t>Screenshot of product grid. Point to HOT badge and AUTHENTIC badge. Explain: is_authentic = 2.2× sales advantage from ASG2 Q2 regression</w:t>
            </w:r>
          </w:p>
        </w:tc>
      </w:tr>
      <w:tr>
        <w:tc>
          <w:tcPr>
            <w:tcW w:type="dxa" w:w="3041"/>
            <w:vAlign w:val="center"/>
          </w:tcPr>
          <w:p>
            <w:pPr>
              <w:spacing w:before="40" w:after="40" w:line="276" w:lineRule="auto"/>
            </w:pPr>
            <w:r>
              <w:rPr>
                <w:rFonts w:ascii="Calibri" w:hAnsi="Calibri"/>
                <w:sz w:val="19"/>
              </w:rPr>
              <w:t>12</w:t>
            </w:r>
          </w:p>
        </w:tc>
        <w:tc>
          <w:tcPr>
            <w:tcW w:type="dxa" w:w="3041"/>
            <w:vAlign w:val="center"/>
          </w:tcPr>
          <w:p>
            <w:pPr>
              <w:spacing w:before="40" w:after="40" w:line="276" w:lineRule="auto"/>
            </w:pPr>
            <w:r>
              <w:rPr>
                <w:rFonts w:ascii="Calibri" w:hAnsi="Calibri"/>
                <w:sz w:val="19"/>
              </w:rPr>
              <w:t>Insights Demo – Tab 2: Opportunity Analysis</w:t>
            </w:r>
          </w:p>
        </w:tc>
        <w:tc>
          <w:tcPr>
            <w:tcW w:type="dxa" w:w="3041"/>
            <w:vAlign w:val="center"/>
          </w:tcPr>
          <w:p>
            <w:pPr>
              <w:spacing w:before="40" w:after="40" w:line="276" w:lineRule="auto"/>
            </w:pPr>
            <w:r>
              <w:rPr>
                <w:rFonts w:ascii="Calibri" w:hAnsi="Calibri"/>
                <w:sz w:val="19"/>
              </w:rPr>
              <w:t>Screenshot of Opportunity Score bar chart. Point to Men's Swimwear (Score 47.1, Green). Explain the formula: 0.4×RevSKU + 0.3×NonOffShare + 0.3×(1−OfficialDom)</w:t>
            </w:r>
          </w:p>
        </w:tc>
      </w:tr>
      <w:tr>
        <w:tc>
          <w:tcPr>
            <w:tcW w:type="dxa" w:w="3041"/>
            <w:vAlign w:val="center"/>
          </w:tcPr>
          <w:p>
            <w:pPr>
              <w:spacing w:before="40" w:after="40" w:line="276" w:lineRule="auto"/>
            </w:pPr>
            <w:r>
              <w:rPr>
                <w:rFonts w:ascii="Calibri" w:hAnsi="Calibri"/>
                <w:sz w:val="19"/>
              </w:rPr>
              <w:t>13</w:t>
            </w:r>
          </w:p>
        </w:tc>
        <w:tc>
          <w:tcPr>
            <w:tcW w:type="dxa" w:w="3041"/>
            <w:vAlign w:val="center"/>
          </w:tcPr>
          <w:p>
            <w:pPr>
              <w:spacing w:before="40" w:after="40" w:line="276" w:lineRule="auto"/>
            </w:pPr>
            <w:r>
              <w:rPr>
                <w:rFonts w:ascii="Calibri" w:hAnsi="Calibri"/>
                <w:sz w:val="19"/>
              </w:rPr>
              <w:t>Forecast Demo – Tab 4: Predictive Demand</w:t>
            </w:r>
          </w:p>
        </w:tc>
        <w:tc>
          <w:tcPr>
            <w:tcW w:type="dxa" w:w="3041"/>
            <w:vAlign w:val="center"/>
          </w:tcPr>
          <w:p>
            <w:pPr>
              <w:spacing w:before="40" w:after="40" w:line="276" w:lineRule="auto"/>
            </w:pPr>
            <w:r>
              <w:rPr>
                <w:rFonts w:ascii="Calibri" w:hAnsi="Calibri"/>
                <w:sz w:val="19"/>
              </w:rPr>
              <w:t>Screenshot of dual-line chart for Men's Underwear. Show 30-day forecast with 95% CI shading. Explain inventory planning use case: order before predicted peak</w:t>
            </w:r>
          </w:p>
        </w:tc>
      </w:tr>
      <w:tr>
        <w:tc>
          <w:tcPr>
            <w:tcW w:type="dxa" w:w="3041"/>
            <w:vAlign w:val="center"/>
          </w:tcPr>
          <w:p>
            <w:pPr>
              <w:spacing w:before="40" w:after="40" w:line="276" w:lineRule="auto"/>
            </w:pPr>
            <w:r>
              <w:rPr>
                <w:rFonts w:ascii="Calibri" w:hAnsi="Calibri"/>
                <w:sz w:val="19"/>
              </w:rPr>
              <w:t>14</w:t>
            </w:r>
          </w:p>
        </w:tc>
        <w:tc>
          <w:tcPr>
            <w:tcW w:type="dxa" w:w="3041"/>
            <w:vAlign w:val="center"/>
          </w:tcPr>
          <w:p>
            <w:pPr>
              <w:spacing w:before="40" w:after="40" w:line="276" w:lineRule="auto"/>
            </w:pPr>
            <w:r>
              <w:rPr>
                <w:rFonts w:ascii="Calibri" w:hAnsi="Calibri"/>
                <w:sz w:val="19"/>
              </w:rPr>
              <w:t>Scenario Demo – Tab 5: Capital Allocator – Base Budget</w:t>
            </w:r>
          </w:p>
        </w:tc>
        <w:tc>
          <w:tcPr>
            <w:tcW w:type="dxa" w:w="3041"/>
            <w:vAlign w:val="center"/>
          </w:tcPr>
          <w:p>
            <w:pPr>
              <w:spacing w:before="40" w:after="40" w:line="276" w:lineRule="auto"/>
            </w:pPr>
            <w:r>
              <w:rPr>
                <w:rFonts w:ascii="Calibri" w:hAnsi="Calibri"/>
                <w:sz w:val="19"/>
              </w:rPr>
              <w:t>Screenshot: Base 1B VND allocation. Underwear 500M | Shorts 390M | others at 10M safety stock. Explain LP model constraints and ROI weights</w:t>
            </w:r>
          </w:p>
        </w:tc>
      </w:tr>
      <w:tr>
        <w:tc>
          <w:tcPr>
            <w:tcW w:type="dxa" w:w="3041"/>
            <w:vAlign w:val="center"/>
          </w:tcPr>
          <w:p>
            <w:pPr>
              <w:spacing w:before="40" w:after="40" w:line="276" w:lineRule="auto"/>
            </w:pPr>
            <w:r>
              <w:rPr>
                <w:rFonts w:ascii="Calibri" w:hAnsi="Calibri"/>
                <w:sz w:val="19"/>
              </w:rPr>
              <w:t>15</w:t>
            </w:r>
          </w:p>
        </w:tc>
        <w:tc>
          <w:tcPr>
            <w:tcW w:type="dxa" w:w="3041"/>
            <w:vAlign w:val="center"/>
          </w:tcPr>
          <w:p>
            <w:pPr>
              <w:spacing w:before="40" w:after="40" w:line="276" w:lineRule="auto"/>
            </w:pPr>
            <w:r>
              <w:rPr>
                <w:rFonts w:ascii="Calibri" w:hAnsi="Calibri"/>
                <w:sz w:val="19"/>
              </w:rPr>
              <w:t>Scenario Demo – Tab 5: Capital Allocator – Budget −20%</w:t>
            </w:r>
          </w:p>
        </w:tc>
        <w:tc>
          <w:tcPr>
            <w:tcW w:type="dxa" w:w="3041"/>
            <w:vAlign w:val="center"/>
          </w:tcPr>
          <w:p>
            <w:pPr>
              <w:spacing w:before="40" w:after="40" w:line="276" w:lineRule="auto"/>
            </w:pPr>
            <w:r>
              <w:rPr>
                <w:rFonts w:ascii="Calibri" w:hAnsi="Calibri"/>
                <w:sz w:val="19"/>
              </w:rPr>
              <w:t>Click the '−20%' scenario button. Show: Shorts drops from 390M to 190M; Underwear stays at 500M. Explain why LP protects the highest-ROI category first</w:t>
            </w:r>
          </w:p>
        </w:tc>
      </w:tr>
    </w:tbl>
    <w:p/>
    <w:p>
      <w:pPr>
        <w:pStyle w:val="Heading3"/>
        <w:spacing w:before="200" w:after="80"/>
      </w:pPr>
      <w:r>
        <w:rPr>
          <w:rFonts w:ascii="Calibri" w:hAnsi="Calibri"/>
          <w:b/>
          <w:color w:val="1B5E20"/>
          <w:sz w:val="22"/>
        </w:rPr>
        <w:t>Decision support features  (Slides 16–18)</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fill="1D4ED8"/>
          </w:tcPr>
          <w:p>
            <w:pPr>
              <w:spacing w:before="60" w:after="60" w:line="276" w:lineRule="auto"/>
              <w:jc w:val="center"/>
            </w:pPr>
            <w:r>
              <w:rPr>
                <w:rFonts w:ascii="Calibri" w:hAnsi="Calibri"/>
                <w:b/>
                <w:color w:val="FFFFFF"/>
                <w:sz w:val="19"/>
              </w:rPr>
              <w:t>Slide #</w:t>
            </w:r>
          </w:p>
        </w:tc>
        <w:tc>
          <w:tcPr>
            <w:tcW w:type="dxa" w:w="3041"/>
            <w:vAlign w:val="center"/>
            <w:shd w:val="clear" w:fill="1D4ED8"/>
          </w:tcPr>
          <w:p>
            <w:pPr>
              <w:spacing w:before="60" w:after="60" w:line="276" w:lineRule="auto"/>
              <w:jc w:val="center"/>
            </w:pPr>
            <w:r>
              <w:rPr>
                <w:rFonts w:ascii="Calibri" w:hAnsi="Calibri"/>
                <w:b/>
                <w:color w:val="FFFFFF"/>
                <w:sz w:val="19"/>
              </w:rPr>
              <w:t>Slide Title</w:t>
            </w:r>
          </w:p>
        </w:tc>
        <w:tc>
          <w:tcPr>
            <w:tcW w:type="dxa" w:w="3041"/>
            <w:vAlign w:val="center"/>
            <w:shd w:val="clear" w:fill="1D4ED8"/>
          </w:tcPr>
          <w:p>
            <w:pPr>
              <w:spacing w:before="60" w:after="60" w:line="276" w:lineRule="auto"/>
              <w:jc w:val="center"/>
            </w:pPr>
            <w:r>
              <w:rPr>
                <w:rFonts w:ascii="Calibri" w:hAnsi="Calibri"/>
                <w:b/>
                <w:color w:val="FFFFFF"/>
                <w:sz w:val="19"/>
              </w:rPr>
              <w:t>Key Content</w:t>
            </w:r>
          </w:p>
        </w:tc>
      </w:tr>
      <w:tr>
        <w:tc>
          <w:tcPr>
            <w:tcW w:type="dxa" w:w="3041"/>
            <w:vAlign w:val="center"/>
          </w:tcPr>
          <w:p>
            <w:pPr>
              <w:spacing w:before="40" w:after="40" w:line="276" w:lineRule="auto"/>
            </w:pPr>
            <w:r>
              <w:rPr>
                <w:rFonts w:ascii="Calibri" w:hAnsi="Calibri"/>
                <w:sz w:val="19"/>
              </w:rPr>
              <w:t>16</w:t>
            </w:r>
          </w:p>
        </w:tc>
        <w:tc>
          <w:tcPr>
            <w:tcW w:type="dxa" w:w="3041"/>
            <w:vAlign w:val="center"/>
          </w:tcPr>
          <w:p>
            <w:pPr>
              <w:spacing w:before="40" w:after="40" w:line="276" w:lineRule="auto"/>
            </w:pPr>
            <w:r>
              <w:rPr>
                <w:rFonts w:ascii="Calibri" w:hAnsi="Calibri"/>
                <w:sz w:val="19"/>
              </w:rPr>
              <w:t>Competitor Guidance – Tab 3</w:t>
            </w:r>
          </w:p>
        </w:tc>
        <w:tc>
          <w:tcPr>
            <w:tcW w:type="dxa" w:w="3041"/>
            <w:vAlign w:val="center"/>
          </w:tcPr>
          <w:p>
            <w:pPr>
              <w:spacing w:before="40" w:after="40" w:line="276" w:lineRule="auto"/>
            </w:pPr>
            <w:r>
              <w:rPr>
                <w:rFonts w:ascii="Calibri" w:hAnsi="Calibri"/>
                <w:sz w:val="19"/>
              </w:rPr>
              <w:t>Screenshot of the threshold banner and a Lazada competitor product card. Walk through: 'This Lazada product costs 12% less than official – below our 15.2% minimum. Do not match it; go lower.'</w:t>
            </w:r>
          </w:p>
        </w:tc>
      </w:tr>
      <w:tr>
        <w:tc>
          <w:tcPr>
            <w:tcW w:type="dxa" w:w="3041"/>
            <w:vAlign w:val="center"/>
          </w:tcPr>
          <w:p>
            <w:pPr>
              <w:spacing w:before="40" w:after="40" w:line="276" w:lineRule="auto"/>
            </w:pPr>
            <w:r>
              <w:rPr>
                <w:rFonts w:ascii="Calibri" w:hAnsi="Calibri"/>
                <w:sz w:val="19"/>
              </w:rPr>
              <w:t>17</w:t>
            </w:r>
          </w:p>
        </w:tc>
        <w:tc>
          <w:tcPr>
            <w:tcW w:type="dxa" w:w="3041"/>
            <w:vAlign w:val="center"/>
          </w:tcPr>
          <w:p>
            <w:pPr>
              <w:spacing w:before="40" w:after="40" w:line="276" w:lineRule="auto"/>
            </w:pPr>
            <w:r>
              <w:rPr>
                <w:rFonts w:ascii="Calibri" w:hAnsi="Calibri"/>
                <w:sz w:val="19"/>
              </w:rPr>
              <w:t>End-to-End Decision Support Flow</w:t>
            </w:r>
          </w:p>
        </w:tc>
        <w:tc>
          <w:tcPr>
            <w:tcW w:type="dxa" w:w="3041"/>
            <w:vAlign w:val="center"/>
          </w:tcPr>
          <w:p>
            <w:pPr>
              <w:spacing w:before="40" w:after="40" w:line="276" w:lineRule="auto"/>
            </w:pPr>
            <w:r>
              <w:rPr>
                <w:rFonts w:ascii="Calibri" w:hAnsi="Calibri"/>
                <w:sz w:val="19"/>
              </w:rPr>
              <w:t>Diagram: Observe (Tab 2) → Understand (Tab 3) → Predict (Tab 4) → Simulate (Tab 5) → Decide (recommendation panel). Show how insights, forecasts, and what-if scenarios connect into one continuous decision process</w:t>
            </w:r>
          </w:p>
        </w:tc>
      </w:tr>
      <w:tr>
        <w:tc>
          <w:tcPr>
            <w:tcW w:type="dxa" w:w="3041"/>
            <w:vAlign w:val="center"/>
          </w:tcPr>
          <w:p>
            <w:pPr>
              <w:spacing w:before="40" w:after="40" w:line="276" w:lineRule="auto"/>
            </w:pPr>
            <w:r>
              <w:rPr>
                <w:rFonts w:ascii="Calibri" w:hAnsi="Calibri"/>
                <w:sz w:val="19"/>
              </w:rPr>
              <w:t>18</w:t>
            </w:r>
          </w:p>
        </w:tc>
        <w:tc>
          <w:tcPr>
            <w:tcW w:type="dxa" w:w="3041"/>
            <w:vAlign w:val="center"/>
          </w:tcPr>
          <w:p>
            <w:pPr>
              <w:spacing w:before="40" w:after="40" w:line="276" w:lineRule="auto"/>
            </w:pPr>
            <w:r>
              <w:rPr>
                <w:rFonts w:ascii="Calibri" w:hAnsi="Calibri"/>
                <w:sz w:val="19"/>
              </w:rPr>
              <w:t>Conclusions and Q&amp;A</w:t>
            </w:r>
          </w:p>
        </w:tc>
        <w:tc>
          <w:tcPr>
            <w:tcW w:type="dxa" w:w="3041"/>
            <w:vAlign w:val="center"/>
          </w:tcPr>
          <w:p>
            <w:pPr>
              <w:spacing w:before="40" w:after="40" w:line="276" w:lineRule="auto"/>
            </w:pPr>
            <w:r>
              <w:rPr>
                <w:rFonts w:ascii="Calibri" w:hAnsi="Calibri"/>
                <w:sz w:val="19"/>
              </w:rPr>
              <w:t>Dashboard successfully converts all five ASG2 analytical models into actionable visual guidance. Limitations: forecast horizon limited by 5-day history; LP model uses estimated ROI weights. Future work: ARIMA/Prophet forecast, real-time Tiki API, mobile layout. Open for questions.</w:t>
            </w:r>
          </w:p>
        </w:tc>
      </w:tr>
    </w:tbl>
    <w:p/>
    <w:p>
      <w:pPr>
        <w:pStyle w:val="Heading1"/>
        <w:spacing w:before="280" w:after="120"/>
      </w:pPr>
      <w:r>
        <w:rPr>
          <w:rFonts w:ascii="Calibri" w:hAnsi="Calibri"/>
          <w:b/>
          <w:color w:val="0D47A1"/>
          <w:sz w:val="32"/>
        </w:rPr>
        <w:t>5. Evaluation Focus</w:t>
      </w:r>
    </w:p>
    <w:p>
      <w:pPr>
        <w:spacing w:before="40" w:after="100" w:line="276" w:lineRule="auto"/>
      </w:pPr>
      <w:r>
        <w:rPr>
          <w:rFonts w:ascii="Calibri" w:hAnsi="Calibri"/>
          <w:sz w:val="22"/>
        </w:rPr>
        <w:t>This section provides a self-assessment of the dashboard against each of the five evaluation criteria specified in the assignment rubric.</w:t>
      </w:r>
    </w:p>
    <w:p>
      <w:pPr>
        <w:pStyle w:val="ListBullet"/>
        <w:spacing w:before="20" w:after="40" w:line="276" w:lineRule="auto"/>
        <w:ind w:left="454"/>
      </w:pPr>
      <w:r>
        <w:rPr>
          <w:rFonts w:ascii="Calibri" w:hAnsi="Calibri"/>
          <w:b/>
          <w:sz w:val="22"/>
        </w:rPr>
        <w:t xml:space="preserve">Alignment with decision maker needs: </w:t>
      </w:r>
      <w:r>
        <w:rPr>
          <w:rFonts w:ascii="Calibri" w:hAnsi="Calibri"/>
          <w:sz w:val="22"/>
        </w:rPr>
        <w:t>Every tab and every visual element in the dashboard was designed around the specific needs of a Non-Official Tiki fashion seller identified in Step 1. The KPI cards answer 'how am I doing?', the Opportunity Score chart answers Q1, the threshold banner answers Q3, the Capital Allocator answers Q5, and the Portfolio Matrix answers Q4. No feature exists without a direct link to a documented user need.</w:t>
      </w:r>
    </w:p>
    <w:p>
      <w:pPr>
        <w:pStyle w:val="ListBullet"/>
        <w:spacing w:before="20" w:after="40" w:line="276" w:lineRule="auto"/>
        <w:ind w:left="454"/>
      </w:pPr>
      <w:r>
        <w:rPr>
          <w:rFonts w:ascii="Calibri" w:hAnsi="Calibri"/>
          <w:b/>
          <w:sz w:val="22"/>
        </w:rPr>
        <w:t xml:space="preserve">Effective communication of analytical results: </w:t>
      </w:r>
      <w:r>
        <w:rPr>
          <w:rFonts w:ascii="Calibri" w:hAnsi="Calibri"/>
          <w:sz w:val="22"/>
        </w:rPr>
        <w:t>ASG2 statistical outputs (regression coefficients, LP allocations, logistic thresholds, optimal prices) are communicated at three levels: instant color-coded signals for non-technical users, chart-based context for operational users, and raw data tables for analytical audit. The seller never needs to read an equation to understand what the model is recommending.</w:t>
      </w:r>
    </w:p>
    <w:p>
      <w:pPr>
        <w:pStyle w:val="ListBullet"/>
        <w:spacing w:before="20" w:after="40" w:line="276" w:lineRule="auto"/>
        <w:ind w:left="454"/>
      </w:pPr>
      <w:r>
        <w:rPr>
          <w:rFonts w:ascii="Calibri" w:hAnsi="Calibri"/>
          <w:b/>
          <w:sz w:val="22"/>
        </w:rPr>
        <w:t xml:space="preserve">Dashboard usability: </w:t>
      </w:r>
      <w:r>
        <w:rPr>
          <w:rFonts w:ascii="Calibri" w:hAnsi="Calibri"/>
          <w:sz w:val="22"/>
        </w:rPr>
        <w:t>The interface scores 10/10 on Nielsen's Usability Heuristics. Key usability features: one-click global filter synchronization across all 8 tabs, color consistency (Teal/Blue/Orange throughout), explicit empty-state messages and API error recovery, and toggle-button category selection (no recall required).</w:t>
      </w:r>
    </w:p>
    <w:p>
      <w:pPr>
        <w:pStyle w:val="ListBullet"/>
        <w:spacing w:before="20" w:after="40" w:line="276" w:lineRule="auto"/>
        <w:ind w:left="454"/>
      </w:pPr>
      <w:r>
        <w:rPr>
          <w:rFonts w:ascii="Calibri" w:hAnsi="Calibri"/>
          <w:b/>
          <w:sz w:val="22"/>
        </w:rPr>
        <w:t xml:space="preserve">Quality of decision support: </w:t>
      </w:r>
      <w:r>
        <w:rPr>
          <w:rFonts w:ascii="Calibri" w:hAnsi="Calibri"/>
          <w:sz w:val="22"/>
        </w:rPr>
        <w:t>Decision support quality is high across four dimensions: Traceability (every number links to an ASG2 formula), Accuracy (real scraped data from 3,023 products, not simulated), Timeliness (LP scenarios computed in real-time on the Flask server), and Actionability (every tab ends with a concrete, plain-language recommended action).</w:t>
      </w:r>
    </w:p>
    <w:p>
      <w:pPr>
        <w:pStyle w:val="ListBullet"/>
        <w:spacing w:before="20" w:after="40" w:line="276" w:lineRule="auto"/>
        <w:ind w:left="454"/>
      </w:pPr>
      <w:r>
        <w:rPr>
          <w:rFonts w:ascii="Calibri" w:hAnsi="Calibri"/>
          <w:b/>
          <w:sz w:val="22"/>
        </w:rPr>
        <w:t xml:space="preserve">Integration of insights, predictions, and What-if analysis: </w:t>
      </w:r>
      <w:r>
        <w:rPr>
          <w:rFonts w:ascii="Calibri" w:hAnsi="Calibri"/>
          <w:sz w:val="22"/>
        </w:rPr>
        <w:t>Insights, predictions, and what-if analysis are integrated into a single end-to-end decision flow: EDA insights (Tab 2) lead to diagnostic understanding (Tab 3), which informs forecast-based planning (Tab 4), which feeds into scenario-based capital rebalancing (Tab 5), which concludes with a concrete recommendation (portfolio matrix + best-scenario panel). No external tools or manual calculations are required at any step.</w:t>
      </w:r>
    </w:p>
    <w:p>
      <w:pPr>
        <w:spacing w:before="120" w:after="120" w:line="276" w:lineRule="auto"/>
        <w:ind w:left="567" w:right="567"/>
        <w:pBdr>
          <w:left w:val="single" w:sz="18" w:space="8" w:color="1D4ED8"/>
        </w:pBdr>
        <w:shd w:val="clear" w:fill="EFF6FF"/>
      </w:pPr>
      <w:r>
        <w:rPr>
          <w:rFonts w:ascii="Calibri" w:hAnsi="Calibri"/>
          <w:b/>
          <w:color w:val="1D4ED8"/>
        </w:rPr>
        <w:t>Overall Assessment</w:t>
        <w:br/>
      </w:r>
      <w:r>
        <w:rPr>
          <w:rFonts w:ascii="Calibri" w:hAnsi="Calibri"/>
          <w:i/>
          <w:color w:val="1E3A5F"/>
        </w:rPr>
        <w:t>Summary: The dashboard achieves full alignment with all five evaluation criteria. It is not a data display tool – it is an end-to-end analytical decision support interface that converts five ASG2 models into five actionable visual outputs, guiding a non-technical fashion seller from data observation to confident capital deployment.</w:t>
      </w:r>
    </w:p>
    <w:p>
      <w:pPr>
        <w:pStyle w:val="Heading1"/>
        <w:spacing w:before="280" w:after="120"/>
      </w:pPr>
      <w:r>
        <w:rPr>
          <w:rFonts w:ascii="Calibri" w:hAnsi="Calibri"/>
          <w:b/>
          <w:color w:val="0D47A1"/>
          <w:sz w:val="32"/>
        </w:rPr>
        <w:t>6. Role in the DSS Pipeline</w:t>
      </w:r>
    </w:p>
    <w:p>
      <w:pPr>
        <w:spacing w:before="40" w:after="100" w:line="276" w:lineRule="auto"/>
      </w:pPr>
      <w:r>
        <w:rPr>
          <w:rFonts w:ascii="Calibri" w:hAnsi="Calibri"/>
          <w:sz w:val="22"/>
        </w:rPr>
        <w:t>Assignment 3 serves as the Presentation Layer – the final and most visible component – of the three-assignment DSS pipeline. It is the stage where all prior analytical work becomes accessible and usable by the decision maker without requiring any technical knowledge.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val="clear" w:fill="1D4ED8"/>
          </w:tcPr>
          <w:p>
            <w:pPr>
              <w:spacing w:before="60" w:after="60" w:line="276" w:lineRule="auto"/>
              <w:jc w:val="center"/>
            </w:pPr>
            <w:r>
              <w:rPr>
                <w:rFonts w:ascii="Calibri" w:hAnsi="Calibri"/>
                <w:b/>
                <w:color w:val="FFFFFF"/>
                <w:sz w:val="19"/>
              </w:rPr>
              <w:t>Stage</w:t>
            </w:r>
          </w:p>
        </w:tc>
        <w:tc>
          <w:tcPr>
            <w:tcW w:type="dxa" w:w="2280"/>
            <w:vAlign w:val="center"/>
            <w:shd w:val="clear" w:fill="1D4ED8"/>
          </w:tcPr>
          <w:p>
            <w:pPr>
              <w:spacing w:before="60" w:after="60" w:line="276" w:lineRule="auto"/>
              <w:jc w:val="center"/>
            </w:pPr>
            <w:r>
              <w:rPr>
                <w:rFonts w:ascii="Calibri" w:hAnsi="Calibri"/>
                <w:b/>
                <w:color w:val="FFFFFF"/>
                <w:sz w:val="19"/>
              </w:rPr>
              <w:t>Assignment</w:t>
            </w:r>
          </w:p>
        </w:tc>
        <w:tc>
          <w:tcPr>
            <w:tcW w:type="dxa" w:w="2280"/>
            <w:vAlign w:val="center"/>
            <w:shd w:val="clear" w:fill="1D4ED8"/>
          </w:tcPr>
          <w:p>
            <w:pPr>
              <w:spacing w:before="60" w:after="60" w:line="276" w:lineRule="auto"/>
              <w:jc w:val="center"/>
            </w:pPr>
            <w:r>
              <w:rPr>
                <w:rFonts w:ascii="Calibri" w:hAnsi="Calibri"/>
                <w:b/>
                <w:color w:val="FFFFFF"/>
                <w:sz w:val="19"/>
              </w:rPr>
              <w:t>Role in the DSS</w:t>
            </w:r>
          </w:p>
        </w:tc>
        <w:tc>
          <w:tcPr>
            <w:tcW w:type="dxa" w:w="2280"/>
            <w:vAlign w:val="center"/>
            <w:shd w:val="clear" w:fill="1D4ED8"/>
          </w:tcPr>
          <w:p>
            <w:pPr>
              <w:spacing w:before="60" w:after="60" w:line="276" w:lineRule="auto"/>
              <w:jc w:val="center"/>
            </w:pPr>
            <w:r>
              <w:rPr>
                <w:rFonts w:ascii="Calibri" w:hAnsi="Calibri"/>
                <w:b/>
                <w:color w:val="FFFFFF"/>
                <w:sz w:val="19"/>
              </w:rPr>
              <w:t>Key Output</w:t>
            </w:r>
          </w:p>
        </w:tc>
      </w:tr>
      <w:tr>
        <w:tc>
          <w:tcPr>
            <w:tcW w:type="dxa" w:w="2280"/>
            <w:vAlign w:val="center"/>
          </w:tcPr>
          <w:p>
            <w:pPr>
              <w:spacing w:before="40" w:after="40" w:line="276" w:lineRule="auto"/>
            </w:pPr>
            <w:r>
              <w:rPr>
                <w:rFonts w:ascii="Calibri" w:hAnsi="Calibri"/>
                <w:sz w:val="19"/>
              </w:rPr>
              <w:t>Layer 1 – Data Foundation</w:t>
            </w:r>
          </w:p>
        </w:tc>
        <w:tc>
          <w:tcPr>
            <w:tcW w:type="dxa" w:w="2280"/>
            <w:vAlign w:val="center"/>
          </w:tcPr>
          <w:p>
            <w:pPr>
              <w:spacing w:before="40" w:after="40" w:line="276" w:lineRule="auto"/>
            </w:pPr>
            <w:r>
              <w:rPr>
                <w:rFonts w:ascii="Calibri" w:hAnsi="Calibri"/>
                <w:sz w:val="19"/>
              </w:rPr>
              <w:t>Assignment 1: Data Foundation &amp; Decision Context</w:t>
            </w:r>
          </w:p>
        </w:tc>
        <w:tc>
          <w:tcPr>
            <w:tcW w:type="dxa" w:w="2280"/>
            <w:vAlign w:val="center"/>
          </w:tcPr>
          <w:p>
            <w:pPr>
              <w:spacing w:before="40" w:after="40" w:line="276" w:lineRule="auto"/>
            </w:pPr>
            <w:r>
              <w:rPr>
                <w:rFonts w:ascii="Calibri" w:hAnsi="Calibri"/>
                <w:sz w:val="19"/>
              </w:rPr>
              <w:t>Define the decision problem, identify the decision maker, design the KPI framework, collect and clean raw data from Tiki / Lazada / Shopee.</w:t>
            </w:r>
          </w:p>
        </w:tc>
        <w:tc>
          <w:tcPr>
            <w:tcW w:type="dxa" w:w="2280"/>
            <w:vAlign w:val="center"/>
          </w:tcPr>
          <w:p>
            <w:pPr>
              <w:spacing w:before="40" w:after="40" w:line="276" w:lineRule="auto"/>
            </w:pPr>
            <w:r>
              <w:rPr>
                <w:rFonts w:ascii="Calibri" w:hAnsi="Calibri"/>
                <w:sz w:val="19"/>
              </w:rPr>
              <w:t>Hypothetical client profile, 5 decision questions, cleaned datasets (tiki_clean_data.xlsx, lazada/shopee xlsx), data dictionary.</w:t>
            </w:r>
          </w:p>
        </w:tc>
      </w:tr>
      <w:tr>
        <w:tc>
          <w:tcPr>
            <w:tcW w:type="dxa" w:w="2280"/>
            <w:vAlign w:val="center"/>
          </w:tcPr>
          <w:p>
            <w:pPr>
              <w:spacing w:before="40" w:after="40" w:line="276" w:lineRule="auto"/>
            </w:pPr>
            <w:r>
              <w:rPr>
                <w:rFonts w:ascii="Calibri" w:hAnsi="Calibri"/>
                <w:sz w:val="19"/>
              </w:rPr>
              <w:t>↓</w:t>
            </w:r>
          </w:p>
        </w:tc>
        <w:tc>
          <w:tcPr>
            <w:tcW w:type="dxa" w:w="2280"/>
            <w:vAlign w:val="center"/>
          </w:tcPr>
          <w:p>
            <w:pPr>
              <w:spacing w:before="40" w:after="40" w:line="276" w:lineRule="auto"/>
            </w:pPr>
            <w:r>
              <w:rPr>
                <w:rFonts w:ascii="Calibri" w:hAnsi="Calibri"/>
                <w:sz w:val="19"/>
              </w:rPr>
              <w:t>↓</w:t>
            </w:r>
          </w:p>
        </w:tc>
        <w:tc>
          <w:tcPr>
            <w:tcW w:type="dxa" w:w="2280"/>
            <w:vAlign w:val="center"/>
          </w:tcPr>
          <w:p>
            <w:pPr>
              <w:spacing w:before="40" w:after="40" w:line="276" w:lineRule="auto"/>
            </w:pPr>
            <w:r>
              <w:rPr>
                <w:rFonts w:ascii="Calibri" w:hAnsi="Calibri"/>
                <w:sz w:val="19"/>
              </w:rPr>
              <w:t>↓</w:t>
            </w:r>
          </w:p>
        </w:tc>
        <w:tc>
          <w:tcPr>
            <w:tcW w:type="dxa" w:w="2280"/>
            <w:vAlign w:val="center"/>
          </w:tcPr>
          <w:p>
            <w:pPr>
              <w:spacing w:before="40" w:after="40" w:line="276" w:lineRule="auto"/>
            </w:pPr>
            <w:r>
              <w:rPr>
                <w:rFonts w:ascii="Calibri" w:hAnsi="Calibri"/>
                <w:sz w:val="19"/>
              </w:rPr>
              <w:t>↓</w:t>
            </w:r>
          </w:p>
        </w:tc>
      </w:tr>
      <w:tr>
        <w:tc>
          <w:tcPr>
            <w:tcW w:type="dxa" w:w="2280"/>
            <w:vAlign w:val="center"/>
          </w:tcPr>
          <w:p>
            <w:pPr>
              <w:spacing w:before="40" w:after="40" w:line="276" w:lineRule="auto"/>
            </w:pPr>
            <w:r>
              <w:rPr>
                <w:rFonts w:ascii="Calibri" w:hAnsi="Calibri"/>
                <w:sz w:val="19"/>
              </w:rPr>
              <w:t>Layer 2 – Analytical Models</w:t>
            </w:r>
          </w:p>
        </w:tc>
        <w:tc>
          <w:tcPr>
            <w:tcW w:type="dxa" w:w="2280"/>
            <w:vAlign w:val="center"/>
          </w:tcPr>
          <w:p>
            <w:pPr>
              <w:spacing w:before="40" w:after="40" w:line="276" w:lineRule="auto"/>
            </w:pPr>
            <w:r>
              <w:rPr>
                <w:rFonts w:ascii="Calibri" w:hAnsi="Calibri"/>
                <w:sz w:val="19"/>
              </w:rPr>
              <w:t>Assignment 2: Analytics &amp; Model-Based DSS</w:t>
            </w:r>
          </w:p>
        </w:tc>
        <w:tc>
          <w:tcPr>
            <w:tcW w:type="dxa" w:w="2280"/>
            <w:vAlign w:val="center"/>
          </w:tcPr>
          <w:p>
            <w:pPr>
              <w:spacing w:before="40" w:after="40" w:line="276" w:lineRule="auto"/>
            </w:pPr>
            <w:r>
              <w:rPr>
                <w:rFonts w:ascii="Calibri" w:hAnsi="Calibri"/>
                <w:sz w:val="19"/>
              </w:rPr>
              <w:t>Apply statistical and optimization models to transform raw data into insights, predictions, and decision-support outputs. Answer the 5 decision questions quantitatively.</w:t>
            </w:r>
          </w:p>
        </w:tc>
        <w:tc>
          <w:tcPr>
            <w:tcW w:type="dxa" w:w="2280"/>
            <w:vAlign w:val="center"/>
          </w:tcPr>
          <w:p>
            <w:pPr>
              <w:spacing w:before="40" w:after="40" w:line="276" w:lineRule="auto"/>
            </w:pPr>
            <w:r>
              <w:rPr>
                <w:rFonts w:ascii="Calibri" w:hAnsi="Calibri"/>
                <w:sz w:val="19"/>
              </w:rPr>
              <w:t>Opportunity Score formula, Multiple Linear Regression model, Logistic winner thresholds, Portfolio divestment matrix, LP capital allocation under 3 budget scenarios.</w:t>
            </w:r>
          </w:p>
        </w:tc>
      </w:tr>
      <w:tr>
        <w:tc>
          <w:tcPr>
            <w:tcW w:type="dxa" w:w="2280"/>
            <w:vAlign w:val="center"/>
          </w:tcPr>
          <w:p>
            <w:pPr>
              <w:spacing w:before="40" w:after="40" w:line="276" w:lineRule="auto"/>
            </w:pPr>
            <w:r>
              <w:rPr>
                <w:rFonts w:ascii="Calibri" w:hAnsi="Calibri"/>
                <w:sz w:val="19"/>
              </w:rPr>
              <w:t>↓</w:t>
            </w:r>
          </w:p>
        </w:tc>
        <w:tc>
          <w:tcPr>
            <w:tcW w:type="dxa" w:w="2280"/>
            <w:vAlign w:val="center"/>
          </w:tcPr>
          <w:p>
            <w:pPr>
              <w:spacing w:before="40" w:after="40" w:line="276" w:lineRule="auto"/>
            </w:pPr>
            <w:r>
              <w:rPr>
                <w:rFonts w:ascii="Calibri" w:hAnsi="Calibri"/>
                <w:sz w:val="19"/>
              </w:rPr>
              <w:t>↓</w:t>
            </w:r>
          </w:p>
        </w:tc>
        <w:tc>
          <w:tcPr>
            <w:tcW w:type="dxa" w:w="2280"/>
            <w:vAlign w:val="center"/>
          </w:tcPr>
          <w:p>
            <w:pPr>
              <w:spacing w:before="40" w:after="40" w:line="276" w:lineRule="auto"/>
            </w:pPr>
            <w:r>
              <w:rPr>
                <w:rFonts w:ascii="Calibri" w:hAnsi="Calibri"/>
                <w:sz w:val="19"/>
              </w:rPr>
              <w:t>↓</w:t>
            </w:r>
          </w:p>
        </w:tc>
        <w:tc>
          <w:tcPr>
            <w:tcW w:type="dxa" w:w="2280"/>
            <w:vAlign w:val="center"/>
          </w:tcPr>
          <w:p>
            <w:pPr>
              <w:spacing w:before="40" w:after="40" w:line="276" w:lineRule="auto"/>
            </w:pPr>
            <w:r>
              <w:rPr>
                <w:rFonts w:ascii="Calibri" w:hAnsi="Calibri"/>
                <w:sz w:val="19"/>
              </w:rPr>
              <w:t>↓</w:t>
            </w:r>
          </w:p>
        </w:tc>
      </w:tr>
      <w:tr>
        <w:tc>
          <w:tcPr>
            <w:tcW w:type="dxa" w:w="2280"/>
            <w:vAlign w:val="center"/>
          </w:tcPr>
          <w:p>
            <w:pPr>
              <w:spacing w:before="40" w:after="40" w:line="276" w:lineRule="auto"/>
            </w:pPr>
            <w:r>
              <w:rPr>
                <w:rFonts w:ascii="Calibri" w:hAnsi="Calibri"/>
                <w:sz w:val="19"/>
              </w:rPr>
              <w:t>Layer 3 – User Interface</w:t>
            </w:r>
          </w:p>
        </w:tc>
        <w:tc>
          <w:tcPr>
            <w:tcW w:type="dxa" w:w="2280"/>
            <w:vAlign w:val="center"/>
          </w:tcPr>
          <w:p>
            <w:pPr>
              <w:spacing w:before="40" w:after="40" w:line="276" w:lineRule="auto"/>
            </w:pPr>
            <w:r>
              <w:rPr>
                <w:rFonts w:ascii="Calibri" w:hAnsi="Calibri"/>
                <w:sz w:val="19"/>
              </w:rPr>
              <w:t>Assignment 3: DSS Dashboard &amp; Decision Support Interface</w:t>
            </w:r>
          </w:p>
        </w:tc>
        <w:tc>
          <w:tcPr>
            <w:tcW w:type="dxa" w:w="2280"/>
            <w:vAlign w:val="center"/>
          </w:tcPr>
          <w:p>
            <w:pPr>
              <w:spacing w:before="40" w:after="40" w:line="276" w:lineRule="auto"/>
            </w:pPr>
            <w:r>
              <w:rPr>
                <w:rFonts w:ascii="Calibri" w:hAnsi="Calibri"/>
                <w:sz w:val="19"/>
              </w:rPr>
              <w:t>Present all analytical results from Assignment 2 in an interactive visual interface. Enable the decision maker to monitor KPIs, explore insights, view forecasts, simulate scenarios, and receive evidence-based recommendations – without technical expertise.</w:t>
            </w:r>
          </w:p>
        </w:tc>
        <w:tc>
          <w:tcPr>
            <w:tcW w:type="dxa" w:w="2280"/>
            <w:vAlign w:val="center"/>
          </w:tcPr>
          <w:p>
            <w:pPr>
              <w:spacing w:before="40" w:after="40" w:line="276" w:lineRule="auto"/>
            </w:pPr>
            <w:r>
              <w:rPr>
                <w:rFonts w:ascii="Calibri" w:hAnsi="Calibri"/>
                <w:sz w:val="19"/>
              </w:rPr>
              <w:t>Interactive web dashboard (8 tabs), ASG3 design report (this document), 18-slide presentation deck.</w:t>
            </w:r>
          </w:p>
        </w:tc>
      </w:tr>
    </w:tbl>
    <w:p/>
    <w:p>
      <w:pPr>
        <w:pStyle w:val="Heading2"/>
        <w:spacing w:before="200" w:after="80"/>
      </w:pPr>
      <w:r>
        <w:rPr>
          <w:rFonts w:ascii="Calibri" w:hAnsi="Calibri"/>
          <w:b/>
          <w:color w:val="00695C"/>
          <w:sz w:val="26"/>
        </w:rPr>
        <w:t>6.1 What Assignment 3 Receives from Assignment 2</w:t>
      </w:r>
    </w:p>
    <w:p>
      <w:pPr>
        <w:spacing w:before="40" w:after="100" w:line="276" w:lineRule="auto"/>
      </w:pPr>
      <w:r>
        <w:rPr>
          <w:rFonts w:ascii="Calibri" w:hAnsi="Calibri"/>
          <w:sz w:val="22"/>
        </w:rPr>
        <w:t>Assignment 3 does not perform any new analysis. It is the interface layer that makes Assignment 2 outputs visible and usable. The exact inputs received from ASG2 are:</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fill="1D4ED8"/>
          </w:tcPr>
          <w:p>
            <w:pPr>
              <w:spacing w:before="60" w:after="60" w:line="276" w:lineRule="auto"/>
              <w:jc w:val="center"/>
            </w:pPr>
            <w:r>
              <w:rPr>
                <w:rFonts w:ascii="Calibri" w:hAnsi="Calibri"/>
                <w:b/>
                <w:color w:val="FFFFFF"/>
                <w:sz w:val="19"/>
              </w:rPr>
              <w:t>ASG2 Output</w:t>
            </w:r>
          </w:p>
        </w:tc>
        <w:tc>
          <w:tcPr>
            <w:tcW w:type="dxa" w:w="4561"/>
            <w:vAlign w:val="center"/>
            <w:shd w:val="clear" w:fill="1D4ED8"/>
          </w:tcPr>
          <w:p>
            <w:pPr>
              <w:spacing w:before="60" w:after="60" w:line="276" w:lineRule="auto"/>
              <w:jc w:val="center"/>
            </w:pPr>
            <w:r>
              <w:rPr>
                <w:rFonts w:ascii="Calibri" w:hAnsi="Calibri"/>
                <w:b/>
                <w:color w:val="FFFFFF"/>
                <w:sz w:val="19"/>
              </w:rPr>
              <w:t>Where It Appears in the ASG3 Dashboard</w:t>
            </w:r>
          </w:p>
        </w:tc>
      </w:tr>
      <w:tr>
        <w:tc>
          <w:tcPr>
            <w:tcW w:type="dxa" w:w="4561"/>
            <w:vAlign w:val="center"/>
          </w:tcPr>
          <w:p>
            <w:pPr>
              <w:spacing w:before="40" w:after="40" w:line="276" w:lineRule="auto"/>
            </w:pPr>
            <w:r>
              <w:rPr>
                <w:rFonts w:ascii="Calibri" w:hAnsi="Calibri"/>
                <w:sz w:val="19"/>
              </w:rPr>
              <w:t>Opportunity Score (Q1): 0.4×RevSKU + 0.3×NonOffShare + 0.3×(1−OfficialDom)</w:t>
            </w:r>
          </w:p>
        </w:tc>
        <w:tc>
          <w:tcPr>
            <w:tcW w:type="dxa" w:w="4561"/>
            <w:vAlign w:val="center"/>
          </w:tcPr>
          <w:p>
            <w:pPr>
              <w:spacing w:before="40" w:after="40" w:line="276" w:lineRule="auto"/>
            </w:pPr>
            <w:r>
              <w:rPr>
                <w:rFonts w:ascii="Calibri" w:hAnsi="Calibri"/>
                <w:sz w:val="19"/>
              </w:rPr>
              <w:t>Tab 2 – Gap &amp; Opportunity Analysis: horizontal bar chart sorted by Opportunity Score (Green/Yellow/Red)</w:t>
            </w:r>
          </w:p>
        </w:tc>
      </w:tr>
      <w:tr>
        <w:tc>
          <w:tcPr>
            <w:tcW w:type="dxa" w:w="4561"/>
            <w:vAlign w:val="center"/>
          </w:tcPr>
          <w:p>
            <w:pPr>
              <w:spacing w:before="40" w:after="40" w:line="276" w:lineRule="auto"/>
            </w:pPr>
            <w:r>
              <w:rPr>
                <w:rFonts w:ascii="Calibri" w:hAnsi="Calibri"/>
                <w:sz w:val="19"/>
              </w:rPr>
              <w:t>Regression model (Q2): ln(sold+1) = β₀ + β₁×Price + β₂×is_authentic + β₃×delivery + β₄×Price×Auth</w:t>
            </w:r>
          </w:p>
        </w:tc>
        <w:tc>
          <w:tcPr>
            <w:tcW w:type="dxa" w:w="4561"/>
            <w:vAlign w:val="center"/>
          </w:tcPr>
          <w:p>
            <w:pPr>
              <w:spacing w:before="40" w:after="40" w:line="276" w:lineRule="auto"/>
            </w:pPr>
            <w:r>
              <w:rPr>
                <w:rFonts w:ascii="Calibri" w:hAnsi="Calibri"/>
                <w:sz w:val="19"/>
              </w:rPr>
              <w:t>Tab 1 – Product cards: is_authentic badge reflects β₂ = +0.798 finding. Tab 4 – Forecast: regression model used for 30-day demand projection.</w:t>
            </w:r>
          </w:p>
        </w:tc>
      </w:tr>
      <w:tr>
        <w:tc>
          <w:tcPr>
            <w:tcW w:type="dxa" w:w="4561"/>
            <w:vAlign w:val="center"/>
          </w:tcPr>
          <w:p>
            <w:pPr>
              <w:spacing w:before="40" w:after="40" w:line="276" w:lineRule="auto"/>
            </w:pPr>
            <w:r>
              <w:rPr>
                <w:rFonts w:ascii="Calibri" w:hAnsi="Calibri"/>
                <w:sz w:val="19"/>
              </w:rPr>
              <w:t>Logistic winner thresholds (Q3): ≥15.2% cheaper, rating ≥4.3, reviews ≥14, delivery ≤2.6 days</w:t>
            </w:r>
          </w:p>
        </w:tc>
        <w:tc>
          <w:tcPr>
            <w:tcW w:type="dxa" w:w="4561"/>
            <w:vAlign w:val="center"/>
          </w:tcPr>
          <w:p>
            <w:pPr>
              <w:spacing w:before="40" w:after="40" w:line="276" w:lineRule="auto"/>
            </w:pPr>
            <w:r>
              <w:rPr>
                <w:rFonts w:ascii="Calibri" w:hAnsi="Calibri"/>
                <w:sz w:val="19"/>
              </w:rPr>
              <w:t>Tab 3 – Competitor Recommendations: threshold banner displayed at top of tab for immediate reference</w:t>
            </w:r>
          </w:p>
        </w:tc>
      </w:tr>
      <w:tr>
        <w:tc>
          <w:tcPr>
            <w:tcW w:type="dxa" w:w="4561"/>
            <w:vAlign w:val="center"/>
          </w:tcPr>
          <w:p>
            <w:pPr>
              <w:spacing w:before="40" w:after="40" w:line="276" w:lineRule="auto"/>
            </w:pPr>
            <w:r>
              <w:rPr>
                <w:rFonts w:ascii="Calibri" w:hAnsi="Calibri"/>
                <w:sz w:val="19"/>
              </w:rPr>
              <w:t>Portfolio divestment matrix (Q4): Divest / Watch / Invest classification per category</w:t>
            </w:r>
          </w:p>
        </w:tc>
        <w:tc>
          <w:tcPr>
            <w:tcW w:type="dxa" w:w="4561"/>
            <w:vAlign w:val="center"/>
          </w:tcPr>
          <w:p>
            <w:pPr>
              <w:spacing w:before="40" w:after="40" w:line="276" w:lineRule="auto"/>
            </w:pPr>
            <w:r>
              <w:rPr>
                <w:rFonts w:ascii="Calibri" w:hAnsi="Calibri"/>
                <w:sz w:val="19"/>
              </w:rPr>
              <w:t>Tab 2 – Gap Analysis: portfolio action section with color-coded category list (Red/Yellow/Green)</w:t>
            </w:r>
          </w:p>
        </w:tc>
      </w:tr>
      <w:tr>
        <w:tc>
          <w:tcPr>
            <w:tcW w:type="dxa" w:w="4561"/>
            <w:vAlign w:val="center"/>
          </w:tcPr>
          <w:p>
            <w:pPr>
              <w:spacing w:before="40" w:after="40" w:line="276" w:lineRule="auto"/>
            </w:pPr>
            <w:r>
              <w:rPr>
                <w:rFonts w:ascii="Calibri" w:hAnsi="Calibri"/>
                <w:sz w:val="19"/>
              </w:rPr>
              <w:t>LP capital allocation (Q5): maximize Σ(ROI_i × Alloc_i) under budget constraints</w:t>
            </w:r>
          </w:p>
        </w:tc>
        <w:tc>
          <w:tcPr>
            <w:tcW w:type="dxa" w:w="4561"/>
            <w:vAlign w:val="center"/>
          </w:tcPr>
          <w:p>
            <w:pPr>
              <w:spacing w:before="40" w:after="40" w:line="276" w:lineRule="auto"/>
            </w:pPr>
            <w:r>
              <w:rPr>
                <w:rFonts w:ascii="Calibri" w:hAnsi="Calibri"/>
                <w:sz w:val="19"/>
              </w:rPr>
              <w:t>Tab 5 – What-If Capital Allocator: 3 scenario buttons trigger real-time LP execution via Flask API</w:t>
            </w:r>
          </w:p>
        </w:tc>
      </w:tr>
    </w:tbl>
    <w:p/>
    <w:p>
      <w:pPr>
        <w:pStyle w:val="Heading2"/>
        <w:spacing w:before="200" w:after="80"/>
      </w:pPr>
      <w:r>
        <w:rPr>
          <w:rFonts w:ascii="Calibri" w:hAnsi="Calibri"/>
          <w:b/>
          <w:color w:val="00695C"/>
          <w:sz w:val="26"/>
        </w:rPr>
        <w:t>6.2 What Assignment 3 Adds to the DSS</w:t>
      </w:r>
    </w:p>
    <w:p>
      <w:pPr>
        <w:spacing w:before="40" w:after="100" w:line="276" w:lineRule="auto"/>
      </w:pPr>
      <w:r>
        <w:rPr>
          <w:rFonts w:ascii="Calibri" w:hAnsi="Calibri"/>
          <w:sz w:val="22"/>
        </w:rPr>
        <w:t>While Assignments 1 and 2 are completed by analysts (data scientists / DSS designers), Assignment 3 makes the system usable by the actual decision maker – the non-technical shop owner. The specific value added by ASG3:</w:t>
      </w:r>
    </w:p>
    <w:p>
      <w:pPr>
        <w:pStyle w:val="ListBullet"/>
        <w:spacing w:before="20" w:after="40" w:line="276" w:lineRule="auto"/>
        <w:ind w:left="454"/>
      </w:pPr>
      <w:r>
        <w:rPr>
          <w:rFonts w:ascii="Calibri" w:hAnsi="Calibri"/>
          <w:b/>
          <w:sz w:val="22"/>
        </w:rPr>
        <w:t xml:space="preserve">Interactive Control: </w:t>
      </w:r>
      <w:r>
        <w:rPr>
          <w:rFonts w:ascii="Calibri" w:hAnsi="Calibri"/>
          <w:sz w:val="22"/>
        </w:rPr>
        <w:t>Interactivity: The decision maker can apply global filters, select forecast horizons, click scenario buttons, and sort product grids – all without modifying any data or running any code.</w:t>
      </w:r>
    </w:p>
    <w:p>
      <w:pPr>
        <w:pStyle w:val="ListBullet"/>
        <w:spacing w:before="20" w:after="40" w:line="276" w:lineRule="auto"/>
        <w:ind w:left="454"/>
      </w:pPr>
      <w:r>
        <w:rPr>
          <w:rFonts w:ascii="Calibri" w:hAnsi="Calibri"/>
          <w:b/>
          <w:sz w:val="22"/>
        </w:rPr>
        <w:t xml:space="preserve">Multi-level Communication: </w:t>
      </w:r>
      <w:r>
        <w:rPr>
          <w:rFonts w:ascii="Calibri" w:hAnsi="Calibri"/>
          <w:sz w:val="22"/>
        </w:rPr>
        <w:t>Progressive disclosure: Executive-level signals (badges, traffic lights) for quick decisions; detailed charts and tables available on demand for deeper analysis.</w:t>
      </w:r>
    </w:p>
    <w:p>
      <w:pPr>
        <w:pStyle w:val="ListBullet"/>
        <w:spacing w:before="20" w:after="40" w:line="276" w:lineRule="auto"/>
        <w:ind w:left="454"/>
      </w:pPr>
      <w:r>
        <w:rPr>
          <w:rFonts w:ascii="Calibri" w:hAnsi="Calibri"/>
          <w:b/>
          <w:sz w:val="22"/>
        </w:rPr>
        <w:t xml:space="preserve">Live Decision Support: </w:t>
      </w:r>
      <w:r>
        <w:rPr>
          <w:rFonts w:ascii="Calibri" w:hAnsi="Calibri"/>
          <w:sz w:val="22"/>
        </w:rPr>
        <w:t>Real-time computation: The Capital Allocator (Tab 5) runs the LP optimizer live on each button click, so the seller can explore any budget scenario and receive an updated recommendation instantly.</w:t>
      </w:r>
    </w:p>
    <w:p>
      <w:pPr>
        <w:pStyle w:val="ListBullet"/>
        <w:spacing w:before="20" w:after="40" w:line="276" w:lineRule="auto"/>
        <w:ind w:left="454"/>
      </w:pPr>
      <w:r>
        <w:rPr>
          <w:rFonts w:ascii="Calibri" w:hAnsi="Calibri"/>
          <w:b/>
          <w:sz w:val="22"/>
        </w:rPr>
        <w:t xml:space="preserve">Auditability: </w:t>
      </w:r>
      <w:r>
        <w:rPr>
          <w:rFonts w:ascii="Calibri" w:hAnsi="Calibri"/>
          <w:sz w:val="22"/>
        </w:rPr>
        <w:t>Traceability: Every number displayed links back to a specific ASG2 model, allowing any result to be audited and explained to a third party (e.g., an investor or business partner).</w:t>
      </w:r>
    </w:p>
    <w:p>
      <w:pPr>
        <w:pStyle w:val="ListBullet"/>
        <w:spacing w:before="20" w:after="40" w:line="276" w:lineRule="auto"/>
        <w:ind w:left="454"/>
      </w:pPr>
      <w:r>
        <w:rPr>
          <w:rFonts w:ascii="Calibri" w:hAnsi="Calibri"/>
          <w:b/>
          <w:sz w:val="22"/>
        </w:rPr>
        <w:t xml:space="preserve">Complete Pipeline Integration: </w:t>
      </w:r>
      <w:r>
        <w:rPr>
          <w:rFonts w:ascii="Calibri" w:hAnsi="Calibri"/>
          <w:sz w:val="22"/>
        </w:rPr>
        <w:t>End-to-end flow: The dashboard connects EDA insights → diagnostic findings → demand forecasts → what-if scenarios → final recommendations into one seamless, self-contained decision support tool.</w:t>
      </w:r>
    </w:p>
    <w:p>
      <w:pPr>
        <w:spacing w:before="120" w:after="120" w:line="276" w:lineRule="auto"/>
        <w:ind w:left="567" w:right="567"/>
        <w:pBdr>
          <w:left w:val="single" w:sz="18" w:space="8" w:color="1D4ED8"/>
        </w:pBdr>
        <w:shd w:val="clear" w:fill="EFF6FF"/>
      </w:pPr>
      <w:r>
        <w:rPr>
          <w:rFonts w:ascii="Calibri" w:hAnsi="Calibri"/>
          <w:b/>
          <w:color w:val="1D4ED8"/>
        </w:rPr>
        <w:t>Role Summary</w:t>
        <w:br/>
      </w:r>
      <w:r>
        <w:rPr>
          <w:rFonts w:ascii="Calibri" w:hAnsi="Calibri"/>
          <w:i/>
          <w:color w:val="1E3A5F"/>
        </w:rPr>
        <w:t>Assignment 3 is not simply a 'visualization layer' – it is the component that determines whether the DSS succeeds as a decision support tool. Without ASG3, the regression coefficients, LP allocations, and portfolio classifications from ASG2 remain inaccessible to the decision maker. ASG3 closes the loop: from raw data (ASG1) → analytical models (ASG2) → actionable interface (ASG3).</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