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Projektový Koncept: VehicleCoin</w:t>
      </w:r>
    </w:p>
    <w:p>
      <w:pPr>
        <w:pStyle w:val="Heading1"/>
      </w:pPr>
      <w:r>
        <w:t>9. Právne a regulačné aspekty</w:t>
      </w:r>
    </w:p>
    <w:p>
      <w:pPr>
        <w:pStyle w:val="Heading2"/>
      </w:pPr>
      <w:r>
        <w:t>9.1. Licencovanie:</w:t>
      </w:r>
    </w:p>
    <w:p>
      <w:r>
        <w:t>- **Licencie pre kryptomeny:**</w:t>
        <w:br/>
        <w:t xml:space="preserve">  - **MiCA (Markets in Crypto-Assets Regulation):** Dodržiavanie regulácií MiCA v EÚ, vrátane získania potrebných licencií na prevádzkovanie kryptomenových služieb.</w:t>
        <w:br/>
        <w:t xml:space="preserve">  - **Registrácia u regulačných orgánov:** Registrácia v iných krajinách, napríklad v USA, vyžaduje licencie od FinCEN a dodržiavanie predpisov SEC.</w:t>
      </w:r>
    </w:p>
    <w:p>
      <w:r>
        <w:t>- **Finančné služby a platobné systémy:**</w:t>
        <w:br/>
        <w:t xml:space="preserve">  - **PSD2 (Payment Services Directive 2):** Súlad s PSD2 v prípade integrácie platobných služieb (Visa, Mastercard).</w:t>
        <w:br/>
        <w:t xml:space="preserve">  - **Open Banking:** Dodržiavanie regulačných požiadaviek v prípade implementácie open banking služieb.</w:t>
      </w:r>
    </w:p>
    <w:p>
      <w:pPr>
        <w:pStyle w:val="Heading2"/>
      </w:pPr>
      <w:r>
        <w:t>9.2. Zmluvy:</w:t>
      </w:r>
    </w:p>
    <w:p>
      <w:r>
        <w:t>- **Zmluvy s používateľmi:**</w:t>
        <w:br/>
        <w:t xml:space="preserve">  - **Podmienky používania (Terms of Service):** Príprava podmienok používania, ktoré upravia práva a povinnosti používateľov a ochranu ich údajov.</w:t>
        <w:br/>
        <w:t xml:space="preserve">  - **Politika ochrany osobných údajov (Privacy Policy):** Dokumentácia zameraná na ochranu údajov používateľov v súlade s GDPR.</w:t>
      </w:r>
    </w:p>
    <w:p>
      <w:r>
        <w:t>- **Zmluvy s partnermi a dodávateľmi:**</w:t>
        <w:br/>
        <w:t xml:space="preserve">  - **Zmluvy s firmami a samosprávami:** Príprava zmlúv pre partnerov projektu s úpravou podmienok spolupráce a výmeny služieb za VehicleCoiny.</w:t>
        <w:br/>
        <w:t xml:space="preserve">  - **Zmluvy s technologickými dodávateľmi:** Zmluvy pre integráciu externých služieb (napr. Visa, Google Maps) upravujúce podmienky používania.</w:t>
      </w:r>
    </w:p>
    <w:p>
      <w:pPr>
        <w:pStyle w:val="Heading2"/>
      </w:pPr>
      <w:r>
        <w:t>9.3. Ochrana osobných údajov:</w:t>
      </w:r>
    </w:p>
    <w:p>
      <w:r>
        <w:t>- **GDPR (General Data Protection Regulation):**</w:t>
        <w:br/>
        <w:t xml:space="preserve">  - **Zásady spracovania údajov:** Dodržiavanie zásad GDPR pri spracovaní osobných údajov používateľov.</w:t>
        <w:br/>
        <w:t xml:space="preserve">  - **Získanie súhlasu:** Používatelia musia dať explicitný súhlas so spracovaním svojich údajov, najmä pri citlivých údajoch.</w:t>
      </w:r>
    </w:p>
    <w:p>
      <w:r>
        <w:t>- **Šifrovanie a zabezpečenie údajov:**</w:t>
        <w:br/>
        <w:t xml:space="preserve">  - **Technické opatrenia:** Šifrovanie osobných údajov počas prenosu a ukladania na ochranu pred neoprávneným prístupom.</w:t>
        <w:br/>
        <w:t xml:space="preserve">  - **Bezpečnostné incidenty:** Informovanie používateľov a regulačných orgánov v prípade úniku osobných údajov.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