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0F62FE"/>
          <w:sz w:val="20"/>
        </w:rPr>
        <w:t>IBM APPLIED DATA ANALYTICS PROJECT • BUSINESS INTELLIGENCE REPORT</w:t>
        <w:br/>
      </w:r>
      <w:r>
        <w:rPr>
          <w:rFonts w:ascii="Segoe UI" w:hAnsi="Segoe UI"/>
          <w:b/>
          <w:color w:val="161616"/>
          <w:sz w:val="44"/>
        </w:rPr>
        <w:t>Supermarket Sales Analysis &amp; Strategic Optimization</w:t>
      </w:r>
    </w:p>
    <w:p>
      <w:pPr>
        <w:spacing w:after="360"/>
      </w:pPr>
      <w:r>
        <w:rPr>
          <w:rFonts w:ascii="Segoe UI" w:hAnsi="Segoe UI"/>
          <w:i/>
          <w:color w:val="525252"/>
          <w:sz w:val="24"/>
        </w:rPr>
        <w:t>Data Quality Audit, Segment Performance, Payment Economics, and Inferential Evaluation on 500 Supermarket Transactions</w:t>
      </w:r>
    </w:p>
    <w:tbl>
      <w:tblPr>
        <w:tblW w:type="auto" w:w="0"/>
        <w:jc w:val="center"/>
        <w:tblLook w:firstColumn="1" w:firstRow="1" w:lastColumn="0" w:lastRow="0" w:noHBand="0" w:noVBand="1" w:val="04A0"/>
      </w:tblPr>
      <w:tblGrid>
        <w:gridCol w:w="9360"/>
      </w:tblGrid>
      <w:tr>
        <w:tc>
          <w:tcPr>
            <w:tcW w:type="dxa" w:w="9360"/>
            <w:shd w:fill="F4F4F4"/>
            <w:tcMar>
              <w:top w:w="140" w:type="dxa"/>
              <w:bottom w:w="140" w:type="dxa"/>
              <w:left w:w="180" w:type="dxa"/>
              <w:right w:w="180" w:type="dxa"/>
            </w:tcMar>
          </w:tcPr>
          <w:p>
            <w:pPr>
              <w:spacing w:after="0"/>
            </w:pPr>
            <w:r>
              <w:rPr>
                <w:b/>
                <w:color w:val="0F62FE"/>
                <w:sz w:val="19"/>
              </w:rPr>
              <w:t xml:space="preserve">IMPORTANT DATASET NOTICE: </w:t>
            </w:r>
            <w:r>
              <w:rPr>
                <w:color w:val="3C3C3C"/>
                <w:sz w:val="19"/>
              </w:rPr>
              <w:t>The figures presented in this report were computed exclusively from the 500-row sample transactions CSV (`supermarket_sales_500_sample_transactions.csv`). This is a synthetic dataset generated specifically to demonstrate the full end-to-end data analytics workflow. All previous draft figures or external templates have been superseded.</w:t>
            </w:r>
          </w:p>
        </w:tc>
      </w:tr>
    </w:tbl>
    <w:p>
      <w:pPr>
        <w:spacing w:after="160"/>
      </w:pPr>
    </w:p>
    <w:p>
      <w:pPr>
        <w:spacing w:before="320" w:after="120"/>
      </w:pPr>
      <w:r>
        <w:rPr>
          <w:rFonts w:ascii="Segoe UI" w:hAnsi="Segoe UI"/>
          <w:b/>
          <w:color w:val="0F62FE"/>
          <w:sz w:val="30"/>
        </w:rPr>
        <w:t>1. Problem Statement</w:t>
      </w:r>
    </w:p>
    <w:p>
      <w:pPr>
        <w:spacing w:after="120" w:line="276" w:lineRule="auto"/>
      </w:pPr>
      <w:r>
        <w:rPr>
          <w:rFonts w:ascii="Segoe UI" w:hAnsi="Segoe UI"/>
          <w:color w:val="282828"/>
          <w:sz w:val="20"/>
        </w:rPr>
        <w:t>Modern retail grocery chains operate in an environment characterized by thin gross operating margins (typically 2% to 4%), highly fragmented consumer preferences, and fierce competition across physical and omnichannel storefronts. To achieve sustainable profitability, retail leadership cannot rely on aggregate revenue numbers alone; management requires granular transparency into SKU-level revenue contribution, regional store branch efficiency, customer loyalty economics, and payment channel costs.</w:t>
      </w:r>
    </w:p>
    <w:p>
      <w:pPr>
        <w:spacing w:after="120" w:line="276" w:lineRule="auto"/>
      </w:pPr>
      <w:r>
        <w:rPr>
          <w:rFonts w:ascii="Segoe UI" w:hAnsi="Segoe UI"/>
          <w:color w:val="282828"/>
          <w:sz w:val="20"/>
        </w:rPr>
        <w:t>The primary objective of this project is to perform an exhaustive exploratory, diagnostic, and inferential data analysis on supermarket point-of-sale transaction logs to answer the following business questions:</w:t>
      </w:r>
    </w:p>
    <w:p>
      <w:pPr>
        <w:spacing w:after="120" w:line="276" w:lineRule="auto"/>
      </w:pPr>
      <w:r>
        <w:rPr>
          <w:rFonts w:ascii="Segoe UI" w:hAnsi="Segoe UI"/>
          <w:b/>
          <w:color w:val="161616"/>
          <w:sz w:val="20"/>
        </w:rPr>
        <w:t xml:space="preserve">• Product &amp; Category Dynamics: </w:t>
      </w:r>
      <w:r>
        <w:rPr>
          <w:rFonts w:ascii="Segoe UI" w:hAnsi="Segoe UI"/>
          <w:color w:val="282828"/>
          <w:sz w:val="20"/>
        </w:rPr>
        <w:t>Which individual products and merchandise categories represent the primary revenue engines of the supermarket, and does high dollar turnover correspond directly with high unit velocity?</w:t>
      </w:r>
    </w:p>
    <w:p>
      <w:pPr>
        <w:spacing w:after="120" w:line="276" w:lineRule="auto"/>
      </w:pPr>
      <w:r>
        <w:rPr>
          <w:rFonts w:ascii="Segoe UI" w:hAnsi="Segoe UI"/>
          <w:b/>
          <w:color w:val="161616"/>
          <w:sz w:val="20"/>
        </w:rPr>
        <w:t xml:space="preserve">• Branch &amp; Geographic Disparities: </w:t>
      </w:r>
      <w:r>
        <w:rPr>
          <w:rFonts w:ascii="Segoe UI" w:hAnsi="Segoe UI"/>
          <w:color w:val="282828"/>
          <w:sz w:val="20"/>
        </w:rPr>
        <w:t>How do store locations (Branch A in Hyderabad, Branch B in Vijayawada, and Branch C in Mumbai) perform relative to one another in terms of gross sales, customer footfall (transactions), and average basket size?</w:t>
      </w:r>
    </w:p>
    <w:p>
      <w:pPr>
        <w:spacing w:after="120" w:line="276" w:lineRule="auto"/>
      </w:pPr>
      <w:r>
        <w:rPr>
          <w:rFonts w:ascii="Segoe UI" w:hAnsi="Segoe UI"/>
          <w:b/>
          <w:color w:val="161616"/>
          <w:sz w:val="20"/>
        </w:rPr>
        <w:t xml:space="preserve">• Loyalty Program Monetization: </w:t>
      </w:r>
      <w:r>
        <w:rPr>
          <w:rFonts w:ascii="Segoe UI" w:hAnsi="Segoe UI"/>
          <w:color w:val="282828"/>
          <w:sz w:val="20"/>
        </w:rPr>
        <w:t>Does the supermarket's loyalty membership program effectively encourage larger transaction baskets, or is the perceived lift statistically insignificant?</w:t>
      </w:r>
    </w:p>
    <w:p>
      <w:pPr>
        <w:spacing w:after="120" w:line="276" w:lineRule="auto"/>
      </w:pPr>
      <w:r>
        <w:rPr>
          <w:rFonts w:ascii="Segoe UI" w:hAnsi="Segoe UI"/>
          <w:b/>
          <w:color w:val="161616"/>
          <w:sz w:val="20"/>
        </w:rPr>
        <w:t xml:space="preserve">• Payment Channel Economics: </w:t>
      </w:r>
      <w:r>
        <w:rPr>
          <w:rFonts w:ascii="Segoe UI" w:hAnsi="Segoe UI"/>
          <w:color w:val="282828"/>
          <w:sz w:val="20"/>
        </w:rPr>
        <w:t>Which payment channels (UPI, Cash, Credit Card, E-Wallet) capture the largest customer share, and do specific payment modes correlate with higher purchase values?</w:t>
      </w:r>
    </w:p>
    <w:p>
      <w:pPr>
        <w:spacing w:after="120" w:line="276" w:lineRule="auto"/>
      </w:pPr>
      <w:r>
        <w:rPr>
          <w:rFonts w:ascii="Segoe UI" w:hAnsi="Segoe UI"/>
          <w:b/>
          <w:color w:val="161616"/>
          <w:sz w:val="20"/>
        </w:rPr>
        <w:t xml:space="preserve">• Satisfaction Independence: </w:t>
      </w:r>
      <w:r>
        <w:rPr>
          <w:rFonts w:ascii="Segoe UI" w:hAnsi="Segoe UI"/>
          <w:color w:val="282828"/>
          <w:sz w:val="20"/>
        </w:rPr>
        <w:t>Is customer satisfaction (measured via 1-5 star ratings) influenced by transaction value or item volume?</w:t>
      </w:r>
    </w:p>
    <w:p>
      <w:pPr>
        <w:spacing w:before="320" w:after="120"/>
      </w:pPr>
      <w:r>
        <w:rPr>
          <w:rFonts w:ascii="Segoe UI" w:hAnsi="Segoe UI"/>
          <w:b/>
          <w:color w:val="0F62FE"/>
          <w:sz w:val="30"/>
        </w:rPr>
        <w:t>2. Dataset Description</w:t>
      </w:r>
    </w:p>
    <w:p>
      <w:pPr>
        <w:spacing w:after="120" w:line="276" w:lineRule="auto"/>
      </w:pPr>
      <w:r>
        <w:rPr>
          <w:rFonts w:ascii="Segoe UI" w:hAnsi="Segoe UI"/>
          <w:color w:val="282828"/>
          <w:sz w:val="20"/>
        </w:rPr>
        <w:t>The analysis was executed on a structured point-of-sale dataset containing 500 individual retail transaction records (`supermarket_sales_500_sample_transactions.csv`). It is explicitly noted that this dataset is a synthetic sample created to illustrate an end-to-end data analytics workflow, data validation rigor, and reporting standards.</w:t>
      </w:r>
    </w:p>
    <w:p>
      <w:pPr>
        <w:spacing w:after="120" w:line="276" w:lineRule="auto"/>
      </w:pPr>
      <w:r>
        <w:rPr>
          <w:rFonts w:ascii="Segoe UI" w:hAnsi="Segoe UI"/>
          <w:color w:val="282828"/>
          <w:sz w:val="20"/>
        </w:rPr>
        <w:t>The dataset schema comprises 11 attributes across categorical, numerical, and relational fields:</w:t>
      </w:r>
    </w:p>
    <w:tbl>
      <w:tblPr>
        <w:tblW w:type="auto" w:w="0"/>
        <w:jc w:val="center"/>
        <w:tblLook w:firstColumn="1" w:firstRow="1" w:lastColumn="0" w:lastRow="0" w:noHBand="0" w:noVBand="1" w:val="04A0"/>
      </w:tblPr>
      <w:tblGrid>
        <w:gridCol w:w="2340"/>
        <w:gridCol w:w="2340"/>
        <w:gridCol w:w="2340"/>
        <w:gridCol w:w="2340"/>
      </w:tblGrid>
      <w:tr>
        <w:tc>
          <w:tcPr>
            <w:tcW w:type="dxa" w:w="2340"/>
            <w:shd w:fill="0F62FE"/>
            <w:tcMar>
              <w:top w:w="80" w:type="dxa"/>
              <w:bottom w:w="80" w:type="dxa"/>
              <w:left w:w="100" w:type="dxa"/>
              <w:right w:w="100" w:type="dxa"/>
            </w:tcMar>
          </w:tcPr>
          <w:p>
            <w:r>
              <w:rPr>
                <w:b/>
                <w:color w:val="FFFFFF"/>
                <w:sz w:val="18"/>
              </w:rPr>
              <w:t>Field Name</w:t>
            </w:r>
          </w:p>
        </w:tc>
        <w:tc>
          <w:tcPr>
            <w:tcW w:type="dxa" w:w="2340"/>
            <w:shd w:fill="0F62FE"/>
            <w:tcMar>
              <w:top w:w="80" w:type="dxa"/>
              <w:bottom w:w="80" w:type="dxa"/>
              <w:left w:w="100" w:type="dxa"/>
              <w:right w:w="100" w:type="dxa"/>
            </w:tcMar>
          </w:tcPr>
          <w:p>
            <w:r>
              <w:rPr>
                <w:b/>
                <w:color w:val="FFFFFF"/>
                <w:sz w:val="18"/>
              </w:rPr>
              <w:t>Data Type</w:t>
            </w:r>
          </w:p>
        </w:tc>
        <w:tc>
          <w:tcPr>
            <w:tcW w:type="dxa" w:w="2340"/>
            <w:shd w:fill="0F62FE"/>
            <w:tcMar>
              <w:top w:w="80" w:type="dxa"/>
              <w:bottom w:w="80" w:type="dxa"/>
              <w:left w:w="100" w:type="dxa"/>
              <w:right w:w="100" w:type="dxa"/>
            </w:tcMar>
          </w:tcPr>
          <w:p>
            <w:r>
              <w:rPr>
                <w:b/>
                <w:color w:val="FFFFFF"/>
                <w:sz w:val="18"/>
              </w:rPr>
              <w:t>Distinct Values / Range</w:t>
            </w:r>
          </w:p>
        </w:tc>
        <w:tc>
          <w:tcPr>
            <w:tcW w:type="dxa" w:w="2340"/>
            <w:shd w:fill="0F62FE"/>
            <w:tcMar>
              <w:top w:w="80" w:type="dxa"/>
              <w:bottom w:w="80" w:type="dxa"/>
              <w:left w:w="100" w:type="dxa"/>
              <w:right w:w="100" w:type="dxa"/>
            </w:tcMar>
          </w:tcPr>
          <w:p>
            <w:r>
              <w:rPr>
                <w:b/>
                <w:color w:val="FFFFFF"/>
                <w:sz w:val="18"/>
              </w:rPr>
              <w:t>Business Description</w:t>
            </w:r>
          </w:p>
        </w:tc>
      </w:tr>
      <w:tr>
        <w:tc>
          <w:tcPr>
            <w:tcW w:type="dxa" w:w="2340"/>
            <w:shd w:fill="FFFFFF"/>
            <w:tcMar>
              <w:top w:w="60" w:type="dxa"/>
              <w:bottom w:w="60" w:type="dxa"/>
              <w:left w:w="80" w:type="dxa"/>
              <w:right w:w="80" w:type="dxa"/>
            </w:tcMar>
          </w:tcPr>
          <w:p>
            <w:r>
              <w:rPr>
                <w:b/>
                <w:sz w:val="17"/>
              </w:rPr>
              <w:t>Invoice_ID</w:t>
            </w:r>
          </w:p>
        </w:tc>
        <w:tc>
          <w:tcPr>
            <w:tcW w:type="dxa" w:w="2340"/>
            <w:shd w:fill="FFFFFF"/>
            <w:tcMar>
              <w:top w:w="60" w:type="dxa"/>
              <w:bottom w:w="60" w:type="dxa"/>
              <w:left w:w="80" w:type="dxa"/>
              <w:right w:w="80" w:type="dxa"/>
            </w:tcMar>
          </w:tcPr>
          <w:p>
            <w:r>
              <w:rPr>
                <w:sz w:val="17"/>
              </w:rPr>
              <w:t>String</w:t>
            </w:r>
          </w:p>
        </w:tc>
        <w:tc>
          <w:tcPr>
            <w:tcW w:type="dxa" w:w="2340"/>
            <w:shd w:fill="FFFFFF"/>
            <w:tcMar>
              <w:top w:w="60" w:type="dxa"/>
              <w:bottom w:w="60" w:type="dxa"/>
              <w:left w:w="80" w:type="dxa"/>
              <w:right w:w="80" w:type="dxa"/>
            </w:tcMar>
          </w:tcPr>
          <w:p>
            <w:r>
              <w:rPr>
                <w:sz w:val="17"/>
              </w:rPr>
              <w:t>INV0001 - INV0500</w:t>
            </w:r>
          </w:p>
        </w:tc>
        <w:tc>
          <w:tcPr>
            <w:tcW w:type="dxa" w:w="2340"/>
            <w:shd w:fill="FFFFFF"/>
            <w:tcMar>
              <w:top w:w="60" w:type="dxa"/>
              <w:bottom w:w="60" w:type="dxa"/>
              <w:left w:w="80" w:type="dxa"/>
              <w:right w:w="80" w:type="dxa"/>
            </w:tcMar>
          </w:tcPr>
          <w:p>
            <w:r>
              <w:rPr>
                <w:sz w:val="17"/>
              </w:rPr>
              <w:t>Unique transaction invoice identifier (Primary Key)</w:t>
            </w:r>
          </w:p>
        </w:tc>
      </w:tr>
      <w:tr>
        <w:tc>
          <w:tcPr>
            <w:tcW w:type="dxa" w:w="2340"/>
            <w:shd w:fill="F4F6F8"/>
            <w:tcMar>
              <w:top w:w="60" w:type="dxa"/>
              <w:bottom w:w="60" w:type="dxa"/>
              <w:left w:w="80" w:type="dxa"/>
              <w:right w:w="80" w:type="dxa"/>
            </w:tcMar>
          </w:tcPr>
          <w:p>
            <w:r>
              <w:rPr>
                <w:b/>
                <w:sz w:val="17"/>
              </w:rPr>
              <w:t>Product</w:t>
            </w:r>
          </w:p>
        </w:tc>
        <w:tc>
          <w:tcPr>
            <w:tcW w:type="dxa" w:w="2340"/>
            <w:shd w:fill="F4F6F8"/>
            <w:tcMar>
              <w:top w:w="60" w:type="dxa"/>
              <w:bottom w:w="60" w:type="dxa"/>
              <w:left w:w="80" w:type="dxa"/>
              <w:right w:w="80" w:type="dxa"/>
            </w:tcMar>
          </w:tcPr>
          <w:p>
            <w:r>
              <w:rPr>
                <w:sz w:val="17"/>
              </w:rPr>
              <w:t>String</w:t>
            </w:r>
          </w:p>
        </w:tc>
        <w:tc>
          <w:tcPr>
            <w:tcW w:type="dxa" w:w="2340"/>
            <w:shd w:fill="F4F6F8"/>
            <w:tcMar>
              <w:top w:w="60" w:type="dxa"/>
              <w:bottom w:w="60" w:type="dxa"/>
              <w:left w:w="80" w:type="dxa"/>
              <w:right w:w="80" w:type="dxa"/>
            </w:tcMar>
          </w:tcPr>
          <w:p>
            <w:r>
              <w:rPr>
                <w:sz w:val="17"/>
              </w:rPr>
              <w:t>10 unique SKUs</w:t>
            </w:r>
          </w:p>
        </w:tc>
        <w:tc>
          <w:tcPr>
            <w:tcW w:type="dxa" w:w="2340"/>
            <w:shd w:fill="F4F6F8"/>
            <w:tcMar>
              <w:top w:w="60" w:type="dxa"/>
              <w:bottom w:w="60" w:type="dxa"/>
              <w:left w:w="80" w:type="dxa"/>
              <w:right w:w="80" w:type="dxa"/>
            </w:tcMar>
          </w:tcPr>
          <w:p>
            <w:r>
              <w:rPr>
                <w:sz w:val="17"/>
              </w:rPr>
              <w:t>Merchandise item name (Rice, Milk, Cheese, etc.)</w:t>
            </w:r>
          </w:p>
        </w:tc>
      </w:tr>
      <w:tr>
        <w:tc>
          <w:tcPr>
            <w:tcW w:type="dxa" w:w="2340"/>
            <w:shd w:fill="FFFFFF"/>
            <w:tcMar>
              <w:top w:w="60" w:type="dxa"/>
              <w:bottom w:w="60" w:type="dxa"/>
              <w:left w:w="80" w:type="dxa"/>
              <w:right w:w="80" w:type="dxa"/>
            </w:tcMar>
          </w:tcPr>
          <w:p>
            <w:r>
              <w:rPr>
                <w:b/>
                <w:sz w:val="17"/>
              </w:rPr>
              <w:t>Category</w:t>
            </w:r>
          </w:p>
        </w:tc>
        <w:tc>
          <w:tcPr>
            <w:tcW w:type="dxa" w:w="2340"/>
            <w:shd w:fill="FFFFFF"/>
            <w:tcMar>
              <w:top w:w="60" w:type="dxa"/>
              <w:bottom w:w="60" w:type="dxa"/>
              <w:left w:w="80" w:type="dxa"/>
              <w:right w:w="80" w:type="dxa"/>
            </w:tcMar>
          </w:tcPr>
          <w:p>
            <w:r>
              <w:rPr>
                <w:sz w:val="17"/>
              </w:rPr>
              <w:t>String</w:t>
            </w:r>
          </w:p>
        </w:tc>
        <w:tc>
          <w:tcPr>
            <w:tcW w:type="dxa" w:w="2340"/>
            <w:shd w:fill="FFFFFF"/>
            <w:tcMar>
              <w:top w:w="60" w:type="dxa"/>
              <w:bottom w:w="60" w:type="dxa"/>
              <w:left w:w="80" w:type="dxa"/>
              <w:right w:w="80" w:type="dxa"/>
            </w:tcMar>
          </w:tcPr>
          <w:p>
            <w:r>
              <w:rPr>
                <w:sz w:val="17"/>
              </w:rPr>
              <w:t>6 unique categories</w:t>
            </w:r>
          </w:p>
        </w:tc>
        <w:tc>
          <w:tcPr>
            <w:tcW w:type="dxa" w:w="2340"/>
            <w:shd w:fill="FFFFFF"/>
            <w:tcMar>
              <w:top w:w="60" w:type="dxa"/>
              <w:bottom w:w="60" w:type="dxa"/>
              <w:left w:w="80" w:type="dxa"/>
              <w:right w:w="80" w:type="dxa"/>
            </w:tcMar>
          </w:tcPr>
          <w:p>
            <w:r>
              <w:rPr>
                <w:sz w:val="17"/>
              </w:rPr>
              <w:t>Departmental grouping (Beverages, Dairy, Grocery, etc.)</w:t>
            </w:r>
          </w:p>
        </w:tc>
      </w:tr>
      <w:tr>
        <w:tc>
          <w:tcPr>
            <w:tcW w:type="dxa" w:w="2340"/>
            <w:shd w:fill="F4F6F8"/>
            <w:tcMar>
              <w:top w:w="60" w:type="dxa"/>
              <w:bottom w:w="60" w:type="dxa"/>
              <w:left w:w="80" w:type="dxa"/>
              <w:right w:w="80" w:type="dxa"/>
            </w:tcMar>
          </w:tcPr>
          <w:p>
            <w:r>
              <w:rPr>
                <w:b/>
                <w:sz w:val="17"/>
              </w:rPr>
              <w:t>Branch</w:t>
            </w:r>
          </w:p>
        </w:tc>
        <w:tc>
          <w:tcPr>
            <w:tcW w:type="dxa" w:w="2340"/>
            <w:shd w:fill="F4F6F8"/>
            <w:tcMar>
              <w:top w:w="60" w:type="dxa"/>
              <w:bottom w:w="60" w:type="dxa"/>
              <w:left w:w="80" w:type="dxa"/>
              <w:right w:w="80" w:type="dxa"/>
            </w:tcMar>
          </w:tcPr>
          <w:p>
            <w:r>
              <w:rPr>
                <w:sz w:val="17"/>
              </w:rPr>
              <w:t>String</w:t>
            </w:r>
          </w:p>
        </w:tc>
        <w:tc>
          <w:tcPr>
            <w:tcW w:type="dxa" w:w="2340"/>
            <w:shd w:fill="F4F6F8"/>
            <w:tcMar>
              <w:top w:w="60" w:type="dxa"/>
              <w:bottom w:w="60" w:type="dxa"/>
              <w:left w:w="80" w:type="dxa"/>
              <w:right w:w="80" w:type="dxa"/>
            </w:tcMar>
          </w:tcPr>
          <w:p>
            <w:r>
              <w:rPr>
                <w:sz w:val="17"/>
              </w:rPr>
              <w:t>3 branches (A, B, C)</w:t>
            </w:r>
          </w:p>
        </w:tc>
        <w:tc>
          <w:tcPr>
            <w:tcW w:type="dxa" w:w="2340"/>
            <w:shd w:fill="F4F6F8"/>
            <w:tcMar>
              <w:top w:w="60" w:type="dxa"/>
              <w:bottom w:w="60" w:type="dxa"/>
              <w:left w:w="80" w:type="dxa"/>
              <w:right w:w="80" w:type="dxa"/>
            </w:tcMar>
          </w:tcPr>
          <w:p>
            <w:r>
              <w:rPr>
                <w:sz w:val="17"/>
              </w:rPr>
              <w:t>Operational store branch code</w:t>
            </w:r>
          </w:p>
        </w:tc>
      </w:tr>
      <w:tr>
        <w:tc>
          <w:tcPr>
            <w:tcW w:type="dxa" w:w="2340"/>
            <w:shd w:fill="FFFFFF"/>
            <w:tcMar>
              <w:top w:w="60" w:type="dxa"/>
              <w:bottom w:w="60" w:type="dxa"/>
              <w:left w:w="80" w:type="dxa"/>
              <w:right w:w="80" w:type="dxa"/>
            </w:tcMar>
          </w:tcPr>
          <w:p>
            <w:r>
              <w:rPr>
                <w:b/>
                <w:sz w:val="17"/>
              </w:rPr>
              <w:t>City</w:t>
            </w:r>
          </w:p>
        </w:tc>
        <w:tc>
          <w:tcPr>
            <w:tcW w:type="dxa" w:w="2340"/>
            <w:shd w:fill="FFFFFF"/>
            <w:tcMar>
              <w:top w:w="60" w:type="dxa"/>
              <w:bottom w:w="60" w:type="dxa"/>
              <w:left w:w="80" w:type="dxa"/>
              <w:right w:w="80" w:type="dxa"/>
            </w:tcMar>
          </w:tcPr>
          <w:p>
            <w:r>
              <w:rPr>
                <w:sz w:val="17"/>
              </w:rPr>
              <w:t>String</w:t>
            </w:r>
          </w:p>
        </w:tc>
        <w:tc>
          <w:tcPr>
            <w:tcW w:type="dxa" w:w="2340"/>
            <w:shd w:fill="FFFFFF"/>
            <w:tcMar>
              <w:top w:w="60" w:type="dxa"/>
              <w:bottom w:w="60" w:type="dxa"/>
              <w:left w:w="80" w:type="dxa"/>
              <w:right w:w="80" w:type="dxa"/>
            </w:tcMar>
          </w:tcPr>
          <w:p>
            <w:r>
              <w:rPr>
                <w:sz w:val="17"/>
              </w:rPr>
              <w:t>3 cities (Hyderabad, etc.)</w:t>
            </w:r>
          </w:p>
        </w:tc>
        <w:tc>
          <w:tcPr>
            <w:tcW w:type="dxa" w:w="2340"/>
            <w:shd w:fill="FFFFFF"/>
            <w:tcMar>
              <w:top w:w="60" w:type="dxa"/>
              <w:bottom w:w="60" w:type="dxa"/>
              <w:left w:w="80" w:type="dxa"/>
              <w:right w:w="80" w:type="dxa"/>
            </w:tcMar>
          </w:tcPr>
          <w:p>
            <w:r>
              <w:rPr>
                <w:sz w:val="17"/>
              </w:rPr>
              <w:t>Metropolitan store location</w:t>
            </w:r>
          </w:p>
        </w:tc>
      </w:tr>
      <w:tr>
        <w:tc>
          <w:tcPr>
            <w:tcW w:type="dxa" w:w="2340"/>
            <w:shd w:fill="F4F6F8"/>
            <w:tcMar>
              <w:top w:w="60" w:type="dxa"/>
              <w:bottom w:w="60" w:type="dxa"/>
              <w:left w:w="80" w:type="dxa"/>
              <w:right w:w="80" w:type="dxa"/>
            </w:tcMar>
          </w:tcPr>
          <w:p>
            <w:r>
              <w:rPr>
                <w:b/>
                <w:sz w:val="17"/>
              </w:rPr>
              <w:t>Customer_Type</w:t>
            </w:r>
          </w:p>
        </w:tc>
        <w:tc>
          <w:tcPr>
            <w:tcW w:type="dxa" w:w="2340"/>
            <w:shd w:fill="F4F6F8"/>
            <w:tcMar>
              <w:top w:w="60" w:type="dxa"/>
              <w:bottom w:w="60" w:type="dxa"/>
              <w:left w:w="80" w:type="dxa"/>
              <w:right w:w="80" w:type="dxa"/>
            </w:tcMar>
          </w:tcPr>
          <w:p>
            <w:r>
              <w:rPr>
                <w:sz w:val="17"/>
              </w:rPr>
              <w:t>String</w:t>
            </w:r>
          </w:p>
        </w:tc>
        <w:tc>
          <w:tcPr>
            <w:tcW w:type="dxa" w:w="2340"/>
            <w:shd w:fill="F4F6F8"/>
            <w:tcMar>
              <w:top w:w="60" w:type="dxa"/>
              <w:bottom w:w="60" w:type="dxa"/>
              <w:left w:w="80" w:type="dxa"/>
              <w:right w:w="80" w:type="dxa"/>
            </w:tcMar>
          </w:tcPr>
          <w:p>
            <w:r>
              <w:rPr>
                <w:sz w:val="17"/>
              </w:rPr>
              <w:t>Member, Normal</w:t>
            </w:r>
          </w:p>
        </w:tc>
        <w:tc>
          <w:tcPr>
            <w:tcW w:type="dxa" w:w="2340"/>
            <w:shd w:fill="F4F6F8"/>
            <w:tcMar>
              <w:top w:w="60" w:type="dxa"/>
              <w:bottom w:w="60" w:type="dxa"/>
              <w:left w:w="80" w:type="dxa"/>
              <w:right w:w="80" w:type="dxa"/>
            </w:tcMar>
          </w:tcPr>
          <w:p>
            <w:r>
              <w:rPr>
                <w:sz w:val="17"/>
              </w:rPr>
              <w:t>Customer loyalty tier membership status</w:t>
            </w:r>
          </w:p>
        </w:tc>
      </w:tr>
      <w:tr>
        <w:tc>
          <w:tcPr>
            <w:tcW w:type="dxa" w:w="2340"/>
            <w:shd w:fill="FFFFFF"/>
            <w:tcMar>
              <w:top w:w="60" w:type="dxa"/>
              <w:bottom w:w="60" w:type="dxa"/>
              <w:left w:w="80" w:type="dxa"/>
              <w:right w:w="80" w:type="dxa"/>
            </w:tcMar>
          </w:tcPr>
          <w:p>
            <w:r>
              <w:rPr>
                <w:b/>
                <w:sz w:val="17"/>
              </w:rPr>
              <w:t>Quantity</w:t>
            </w:r>
          </w:p>
        </w:tc>
        <w:tc>
          <w:tcPr>
            <w:tcW w:type="dxa" w:w="2340"/>
            <w:shd w:fill="FFFFFF"/>
            <w:tcMar>
              <w:top w:w="60" w:type="dxa"/>
              <w:bottom w:w="60" w:type="dxa"/>
              <w:left w:w="80" w:type="dxa"/>
              <w:right w:w="80" w:type="dxa"/>
            </w:tcMar>
          </w:tcPr>
          <w:p>
            <w:r>
              <w:rPr>
                <w:sz w:val="17"/>
              </w:rPr>
              <w:t>Integer</w:t>
            </w:r>
          </w:p>
        </w:tc>
        <w:tc>
          <w:tcPr>
            <w:tcW w:type="dxa" w:w="2340"/>
            <w:shd w:fill="FFFFFF"/>
            <w:tcMar>
              <w:top w:w="60" w:type="dxa"/>
              <w:bottom w:w="60" w:type="dxa"/>
              <w:left w:w="80" w:type="dxa"/>
              <w:right w:w="80" w:type="dxa"/>
            </w:tcMar>
          </w:tcPr>
          <w:p>
            <w:r>
              <w:rPr>
                <w:sz w:val="17"/>
              </w:rPr>
              <w:t>1 to 6 units</w:t>
            </w:r>
          </w:p>
        </w:tc>
        <w:tc>
          <w:tcPr>
            <w:tcW w:type="dxa" w:w="2340"/>
            <w:shd w:fill="FFFFFF"/>
            <w:tcMar>
              <w:top w:w="60" w:type="dxa"/>
              <w:bottom w:w="60" w:type="dxa"/>
              <w:left w:w="80" w:type="dxa"/>
              <w:right w:w="80" w:type="dxa"/>
            </w:tcMar>
          </w:tcPr>
          <w:p>
            <w:r>
              <w:rPr>
                <w:sz w:val="17"/>
              </w:rPr>
              <w:t>Count of units purchased in the transaction</w:t>
            </w:r>
          </w:p>
        </w:tc>
      </w:tr>
      <w:tr>
        <w:tc>
          <w:tcPr>
            <w:tcW w:type="dxa" w:w="2340"/>
            <w:shd w:fill="F4F6F8"/>
            <w:tcMar>
              <w:top w:w="60" w:type="dxa"/>
              <w:bottom w:w="60" w:type="dxa"/>
              <w:left w:w="80" w:type="dxa"/>
              <w:right w:w="80" w:type="dxa"/>
            </w:tcMar>
          </w:tcPr>
          <w:p>
            <w:r>
              <w:rPr>
                <w:b/>
                <w:sz w:val="17"/>
              </w:rPr>
              <w:t>Unit_Price_INR</w:t>
            </w:r>
          </w:p>
        </w:tc>
        <w:tc>
          <w:tcPr>
            <w:tcW w:type="dxa" w:w="2340"/>
            <w:shd w:fill="F4F6F8"/>
            <w:tcMar>
              <w:top w:w="60" w:type="dxa"/>
              <w:bottom w:w="60" w:type="dxa"/>
              <w:left w:w="80" w:type="dxa"/>
              <w:right w:w="80" w:type="dxa"/>
            </w:tcMar>
          </w:tcPr>
          <w:p>
            <w:r>
              <w:rPr>
                <w:sz w:val="17"/>
              </w:rPr>
              <w:t>Float</w:t>
            </w:r>
          </w:p>
        </w:tc>
        <w:tc>
          <w:tcPr>
            <w:tcW w:type="dxa" w:w="2340"/>
            <w:shd w:fill="F4F6F8"/>
            <w:tcMar>
              <w:top w:w="60" w:type="dxa"/>
              <w:bottom w:w="60" w:type="dxa"/>
              <w:left w:w="80" w:type="dxa"/>
              <w:right w:w="80" w:type="dxa"/>
            </w:tcMar>
          </w:tcPr>
          <w:p>
            <w:r>
              <w:rPr>
                <w:sz w:val="17"/>
              </w:rPr>
              <w:t>₹22.19 to ₹198.18</w:t>
            </w:r>
          </w:p>
        </w:tc>
        <w:tc>
          <w:tcPr>
            <w:tcW w:type="dxa" w:w="2340"/>
            <w:shd w:fill="F4F6F8"/>
            <w:tcMar>
              <w:top w:w="60" w:type="dxa"/>
              <w:bottom w:w="60" w:type="dxa"/>
              <w:left w:w="80" w:type="dxa"/>
              <w:right w:w="80" w:type="dxa"/>
            </w:tcMar>
          </w:tcPr>
          <w:p>
            <w:r>
              <w:rPr>
                <w:sz w:val="17"/>
              </w:rPr>
              <w:t>Price per unit in Indian Rupees</w:t>
            </w:r>
          </w:p>
        </w:tc>
      </w:tr>
      <w:tr>
        <w:tc>
          <w:tcPr>
            <w:tcW w:type="dxa" w:w="2340"/>
            <w:shd w:fill="FFFFFF"/>
            <w:tcMar>
              <w:top w:w="60" w:type="dxa"/>
              <w:bottom w:w="60" w:type="dxa"/>
              <w:left w:w="80" w:type="dxa"/>
              <w:right w:w="80" w:type="dxa"/>
            </w:tcMar>
          </w:tcPr>
          <w:p>
            <w:r>
              <w:rPr>
                <w:b/>
                <w:sz w:val="17"/>
              </w:rPr>
              <w:t>Payment_Method</w:t>
            </w:r>
          </w:p>
        </w:tc>
        <w:tc>
          <w:tcPr>
            <w:tcW w:type="dxa" w:w="2340"/>
            <w:shd w:fill="FFFFFF"/>
            <w:tcMar>
              <w:top w:w="60" w:type="dxa"/>
              <w:bottom w:w="60" w:type="dxa"/>
              <w:left w:w="80" w:type="dxa"/>
              <w:right w:w="80" w:type="dxa"/>
            </w:tcMar>
          </w:tcPr>
          <w:p>
            <w:r>
              <w:rPr>
                <w:sz w:val="17"/>
              </w:rPr>
              <w:t>String</w:t>
            </w:r>
          </w:p>
        </w:tc>
        <w:tc>
          <w:tcPr>
            <w:tcW w:type="dxa" w:w="2340"/>
            <w:shd w:fill="FFFFFF"/>
            <w:tcMar>
              <w:top w:w="60" w:type="dxa"/>
              <w:bottom w:w="60" w:type="dxa"/>
              <w:left w:w="80" w:type="dxa"/>
              <w:right w:w="80" w:type="dxa"/>
            </w:tcMar>
          </w:tcPr>
          <w:p>
            <w:r>
              <w:rPr>
                <w:sz w:val="17"/>
              </w:rPr>
              <w:t>4 channels (UPI, Cash, etc.)</w:t>
            </w:r>
          </w:p>
        </w:tc>
        <w:tc>
          <w:tcPr>
            <w:tcW w:type="dxa" w:w="2340"/>
            <w:shd w:fill="FFFFFF"/>
            <w:tcMar>
              <w:top w:w="60" w:type="dxa"/>
              <w:bottom w:w="60" w:type="dxa"/>
              <w:left w:w="80" w:type="dxa"/>
              <w:right w:w="80" w:type="dxa"/>
            </w:tcMar>
          </w:tcPr>
          <w:p>
            <w:r>
              <w:rPr>
                <w:sz w:val="17"/>
              </w:rPr>
              <w:t>Payment tender used at checkout register</w:t>
            </w:r>
          </w:p>
        </w:tc>
      </w:tr>
      <w:tr>
        <w:tc>
          <w:tcPr>
            <w:tcW w:type="dxa" w:w="2340"/>
            <w:shd w:fill="F4F6F8"/>
            <w:tcMar>
              <w:top w:w="60" w:type="dxa"/>
              <w:bottom w:w="60" w:type="dxa"/>
              <w:left w:w="80" w:type="dxa"/>
              <w:right w:w="80" w:type="dxa"/>
            </w:tcMar>
          </w:tcPr>
          <w:p>
            <w:r>
              <w:rPr>
                <w:b/>
                <w:sz w:val="17"/>
              </w:rPr>
              <w:t>Rating</w:t>
            </w:r>
          </w:p>
        </w:tc>
        <w:tc>
          <w:tcPr>
            <w:tcW w:type="dxa" w:w="2340"/>
            <w:shd w:fill="F4F6F8"/>
            <w:tcMar>
              <w:top w:w="60" w:type="dxa"/>
              <w:bottom w:w="60" w:type="dxa"/>
              <w:left w:w="80" w:type="dxa"/>
              <w:right w:w="80" w:type="dxa"/>
            </w:tcMar>
          </w:tcPr>
          <w:p>
            <w:r>
              <w:rPr>
                <w:sz w:val="17"/>
              </w:rPr>
              <w:t>Float</w:t>
            </w:r>
          </w:p>
        </w:tc>
        <w:tc>
          <w:tcPr>
            <w:tcW w:type="dxa" w:w="2340"/>
            <w:shd w:fill="F4F6F8"/>
            <w:tcMar>
              <w:top w:w="60" w:type="dxa"/>
              <w:bottom w:w="60" w:type="dxa"/>
              <w:left w:w="80" w:type="dxa"/>
              <w:right w:w="80" w:type="dxa"/>
            </w:tcMar>
          </w:tcPr>
          <w:p>
            <w:r>
              <w:rPr>
                <w:sz w:val="17"/>
              </w:rPr>
              <w:t>2.0 to 5.0 stars</w:t>
            </w:r>
          </w:p>
        </w:tc>
        <w:tc>
          <w:tcPr>
            <w:tcW w:type="dxa" w:w="2340"/>
            <w:shd w:fill="F4F6F8"/>
            <w:tcMar>
              <w:top w:w="60" w:type="dxa"/>
              <w:bottom w:w="60" w:type="dxa"/>
              <w:left w:w="80" w:type="dxa"/>
              <w:right w:w="80" w:type="dxa"/>
            </w:tcMar>
          </w:tcPr>
          <w:p>
            <w:r>
              <w:rPr>
                <w:sz w:val="17"/>
              </w:rPr>
              <w:t>Customer satisfaction rating score</w:t>
            </w:r>
          </w:p>
        </w:tc>
      </w:tr>
      <w:tr>
        <w:tc>
          <w:tcPr>
            <w:tcW w:type="dxa" w:w="2340"/>
            <w:shd w:fill="FFFFFF"/>
            <w:tcMar>
              <w:top w:w="60" w:type="dxa"/>
              <w:bottom w:w="60" w:type="dxa"/>
              <w:left w:w="80" w:type="dxa"/>
              <w:right w:w="80" w:type="dxa"/>
            </w:tcMar>
          </w:tcPr>
          <w:p>
            <w:r>
              <w:rPr>
                <w:b/>
                <w:sz w:val="17"/>
              </w:rPr>
              <w:t>Sales_INR</w:t>
            </w:r>
          </w:p>
        </w:tc>
        <w:tc>
          <w:tcPr>
            <w:tcW w:type="dxa" w:w="2340"/>
            <w:shd w:fill="FFFFFF"/>
            <w:tcMar>
              <w:top w:w="60" w:type="dxa"/>
              <w:bottom w:w="60" w:type="dxa"/>
              <w:left w:w="80" w:type="dxa"/>
              <w:right w:w="80" w:type="dxa"/>
            </w:tcMar>
          </w:tcPr>
          <w:p>
            <w:r>
              <w:rPr>
                <w:sz w:val="17"/>
              </w:rPr>
              <w:t>Float</w:t>
            </w:r>
          </w:p>
        </w:tc>
        <w:tc>
          <w:tcPr>
            <w:tcW w:type="dxa" w:w="2340"/>
            <w:shd w:fill="FFFFFF"/>
            <w:tcMar>
              <w:top w:w="60" w:type="dxa"/>
              <w:bottom w:w="60" w:type="dxa"/>
              <w:left w:w="80" w:type="dxa"/>
              <w:right w:w="80" w:type="dxa"/>
            </w:tcMar>
          </w:tcPr>
          <w:p>
            <w:r>
              <w:rPr>
                <w:sz w:val="17"/>
              </w:rPr>
              <w:t>₹24.08 to ₹1,162.56</w:t>
            </w:r>
          </w:p>
        </w:tc>
        <w:tc>
          <w:tcPr>
            <w:tcW w:type="dxa" w:w="2340"/>
            <w:shd w:fill="FFFFFF"/>
            <w:tcMar>
              <w:top w:w="60" w:type="dxa"/>
              <w:bottom w:w="60" w:type="dxa"/>
              <w:left w:w="80" w:type="dxa"/>
              <w:right w:w="80" w:type="dxa"/>
            </w:tcMar>
          </w:tcPr>
          <w:p>
            <w:r>
              <w:rPr>
                <w:sz w:val="17"/>
              </w:rPr>
              <w:t>Total invoice amount computed as Quantity × Unit_Price_INR</w:t>
            </w:r>
          </w:p>
        </w:tc>
      </w:tr>
    </w:tbl>
    <w:p>
      <w:pPr>
        <w:spacing w:after="120"/>
      </w:pP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after="0"/>
            </w:pPr>
            <w:r>
              <w:rPr>
                <w:b/>
                <w:color w:val="009D9A"/>
                <w:sz w:val="19"/>
              </w:rPr>
              <w:t xml:space="preserve">Dataset Limitation: </w:t>
            </w:r>
            <w:r>
              <w:rPr>
                <w:i/>
                <w:color w:val="323232"/>
                <w:sz w:val="19"/>
              </w:rPr>
              <w:t>CRITICAL STRUCTURAL LIMITATION: The dataset contains NO date or timestamp column. Consequently, longitudinal time-series forecasting, seasonal trend decomposition, day-of-week sales clustering, and peak-hour store traffic analysis cannot be conducted on this dataset.</w:t>
            </w:r>
          </w:p>
        </w:tc>
      </w:tr>
    </w:tbl>
    <w:p>
      <w:pPr>
        <w:spacing w:after="80"/>
      </w:pPr>
    </w:p>
    <w:p>
      <w:pPr>
        <w:spacing w:before="320" w:after="120"/>
      </w:pPr>
      <w:r>
        <w:rPr>
          <w:rFonts w:ascii="Segoe UI" w:hAnsi="Segoe UI"/>
          <w:b/>
          <w:color w:val="0F62FE"/>
          <w:sz w:val="30"/>
        </w:rPr>
        <w:t>3. Methodology</w:t>
      </w:r>
    </w:p>
    <w:p>
      <w:pPr>
        <w:spacing w:after="120" w:line="276" w:lineRule="auto"/>
      </w:pPr>
      <w:r>
        <w:rPr>
          <w:rFonts w:ascii="Segoe UI" w:hAnsi="Segoe UI"/>
          <w:color w:val="282828"/>
          <w:sz w:val="20"/>
        </w:rPr>
        <w:t>To ensure total reproducibility, data integrity, and mathematical rigor, a structured 5-stage analytical methodology was implemented using Python 3.12 (`pandas`, `numpy`, `matplotlib`, `seaborn`, `scipy.stats`):</w:t>
      </w:r>
    </w:p>
    <w:p>
      <w:pPr>
        <w:spacing w:after="120" w:line="276" w:lineRule="auto"/>
      </w:pPr>
      <w:r>
        <w:rPr>
          <w:rFonts w:ascii="Segoe UI" w:hAnsi="Segoe UI"/>
          <w:b/>
          <w:color w:val="161616"/>
          <w:sz w:val="20"/>
        </w:rPr>
        <w:t xml:space="preserve">1. Ingestion &amp; Quality Audit: </w:t>
      </w:r>
      <w:r>
        <w:rPr>
          <w:rFonts w:ascii="Segoe UI" w:hAnsi="Segoe UI"/>
          <w:color w:val="282828"/>
          <w:sz w:val="20"/>
        </w:rPr>
        <w:t>The raw CSV data was ingested and verified. Programmatic checks confirmed 500 rows, 11 columns, 0 null/missing values, and 0 duplicate records.</w:t>
      </w:r>
    </w:p>
    <w:p>
      <w:pPr>
        <w:spacing w:after="120" w:line="276" w:lineRule="auto"/>
      </w:pPr>
      <w:r>
        <w:rPr>
          <w:rFonts w:ascii="Segoe UI" w:hAnsi="Segoe UI"/>
          <w:b/>
          <w:color w:val="161616"/>
          <w:sz w:val="20"/>
        </w:rPr>
        <w:t xml:space="preserve">2. Mathematical Formula Verification: </w:t>
      </w:r>
      <w:r>
        <w:rPr>
          <w:rFonts w:ascii="Segoe UI" w:hAnsi="Segoe UI"/>
          <w:color w:val="282828"/>
          <w:sz w:val="20"/>
        </w:rPr>
        <w:t>A programmatic verification was conducted across all 500 rows to test whether `Sales_INR == Quantity * Unit_Price_INR` within a ₹0.01 floating-point rounding tolerance. The audit confirmed 0 mismatches (100% mathematical consistency).</w:t>
      </w:r>
    </w:p>
    <w:p>
      <w:pPr>
        <w:spacing w:after="120" w:line="276" w:lineRule="auto"/>
      </w:pPr>
      <w:r>
        <w:rPr>
          <w:rFonts w:ascii="Segoe UI" w:hAnsi="Segoe UI"/>
          <w:b/>
          <w:color w:val="161616"/>
          <w:sz w:val="20"/>
        </w:rPr>
        <w:t xml:space="preserve">3. Relational Mapping Audit: </w:t>
      </w:r>
      <w:r>
        <w:rPr>
          <w:rFonts w:ascii="Segoe UI" w:hAnsi="Segoe UI"/>
          <w:color w:val="282828"/>
          <w:sz w:val="20"/>
        </w:rPr>
        <w:t>Entity mappings were verified using group-by cardinality checks. Product-to-Category mappings demonstrated 100% consistency (all 10 products mapped to exactly one category). Branch-to-City mappings demonstrated a strict 1-to-1 bijection (Branch A = Hyderabad, Branch B = Vijayawada, Branch C = Mumbai).</w:t>
      </w:r>
    </w:p>
    <w:p>
      <w:pPr>
        <w:spacing w:after="120" w:line="276" w:lineRule="auto"/>
      </w:pPr>
      <w:r>
        <w:rPr>
          <w:rFonts w:ascii="Segoe UI" w:hAnsi="Segoe UI"/>
          <w:b/>
          <w:color w:val="161616"/>
          <w:sz w:val="20"/>
        </w:rPr>
        <w:t xml:space="preserve">4. Statistical Outlier Detection: </w:t>
      </w:r>
      <w:r>
        <w:rPr>
          <w:rFonts w:ascii="Segoe UI" w:hAnsi="Segoe UI"/>
          <w:color w:val="282828"/>
          <w:sz w:val="20"/>
        </w:rPr>
        <w:t>Outlier analysis was performed on `Sales_INR` using the Tukey Interquartile Range (IQR) technique. The first quartile (Q1) was determined at ₹123.34, the median (Q2) at ₹225.56, and the third quartile (Q3) at ₹374.03, resulting in an IQR of ₹250.68. The upper outlier threshold ($Q3 + 1.5 \times IQR$) was calculated at ₹750.05. Exactly 21 transactions (4.2% of total transactions) exceeded this threshold, driven by high-quantity purchases of premium SKUs (Cheese, Coffee, Shampoo).</w:t>
      </w:r>
    </w:p>
    <w:p>
      <w:pPr>
        <w:spacing w:after="120" w:line="276" w:lineRule="auto"/>
      </w:pPr>
      <w:r>
        <w:rPr>
          <w:rFonts w:ascii="Segoe UI" w:hAnsi="Segoe UI"/>
          <w:b/>
          <w:color w:val="161616"/>
          <w:sz w:val="20"/>
        </w:rPr>
        <w:t xml:space="preserve">5. Inferential Statistical Testing: </w:t>
      </w:r>
      <w:r>
        <w:rPr>
          <w:rFonts w:ascii="Segoe UI" w:hAnsi="Segoe UI"/>
          <w:color w:val="282828"/>
          <w:sz w:val="20"/>
        </w:rPr>
        <w:t>Welch's two-sample t-test (assuming unequal sample variances) was executed to test for statistical significance between Member and Normal customer spend. Pearson correlation coefficients were calculated to assess the relationship between customer ratings and transaction size.</w:t>
      </w:r>
    </w:p>
    <w:p>
      <w:pPr>
        <w:spacing w:before="320" w:after="120"/>
      </w:pPr>
      <w:r>
        <w:rPr>
          <w:rFonts w:ascii="Segoe UI" w:hAnsi="Segoe UI"/>
          <w:b/>
          <w:color w:val="0F62FE"/>
          <w:sz w:val="30"/>
        </w:rPr>
        <w:t>4. Key Findings &amp; Empirical Results</w:t>
      </w:r>
    </w:p>
    <w:p>
      <w:pPr>
        <w:spacing w:after="120" w:line="276" w:lineRule="auto"/>
      </w:pPr>
      <w:r>
        <w:rPr>
          <w:rFonts w:ascii="Segoe UI" w:hAnsi="Segoe UI"/>
          <w:color w:val="282828"/>
          <w:sz w:val="20"/>
        </w:rPr>
        <w:t>All metrics presented below were recomputed directly from the validated dataset. Previous template numbers have been disregarded.</w:t>
      </w:r>
    </w:p>
    <w:p>
      <w:pPr>
        <w:spacing w:before="240" w:after="80"/>
      </w:pPr>
      <w:r>
        <w:rPr>
          <w:rFonts w:ascii="Segoe UI" w:hAnsi="Segoe UI"/>
          <w:b/>
          <w:color w:val="005D5D"/>
          <w:sz w:val="25"/>
        </w:rPr>
        <w:t>4.1 Core Performance Benchmarks</w:t>
      </w:r>
    </w:p>
    <w:p>
      <w:pPr>
        <w:spacing w:after="120" w:line="276" w:lineRule="auto"/>
      </w:pPr>
      <w:r>
        <w:rPr>
          <w:rFonts w:ascii="Segoe UI" w:hAnsi="Segoe UI"/>
          <w:color w:val="282828"/>
          <w:sz w:val="20"/>
        </w:rPr>
        <w:t>Across the 500 sample transactions, the supermarket generated a total gross turnover of ₹1,42,645.31 with 1,720 units sold. The average invoice basket was ₹285.29, with a median of ₹225.56, indicating a moderately right-skewed transaction distribution. The overall mean customer satisfaction rating was 4.01 out of 5.00 stars.</w:t>
      </w:r>
    </w:p>
    <w:tbl>
      <w:tblPr>
        <w:tblW w:type="auto" w:w="0"/>
        <w:jc w:val="center"/>
        <w:tblLook w:firstColumn="1" w:firstRow="1" w:lastColumn="0" w:lastRow="0" w:noHBand="0" w:noVBand="1" w:val="04A0"/>
      </w:tblPr>
      <w:tblGrid>
        <w:gridCol w:w="3120"/>
        <w:gridCol w:w="3120"/>
        <w:gridCol w:w="3120"/>
      </w:tblGrid>
      <w:tr>
        <w:tc>
          <w:tcPr>
            <w:tcW w:type="dxa" w:w="3120"/>
            <w:shd w:fill="0F62FE"/>
            <w:tcMar>
              <w:top w:w="80" w:type="dxa"/>
              <w:bottom w:w="80" w:type="dxa"/>
              <w:left w:w="100" w:type="dxa"/>
              <w:right w:w="100" w:type="dxa"/>
            </w:tcMar>
          </w:tcPr>
          <w:p>
            <w:r>
              <w:rPr>
                <w:b/>
                <w:color w:val="FFFFFF"/>
                <w:sz w:val="18"/>
              </w:rPr>
              <w:t>Metric / Question</w:t>
            </w:r>
          </w:p>
        </w:tc>
        <w:tc>
          <w:tcPr>
            <w:tcW w:type="dxa" w:w="3120"/>
            <w:shd w:fill="0F62FE"/>
            <w:tcMar>
              <w:top w:w="80" w:type="dxa"/>
              <w:bottom w:w="80" w:type="dxa"/>
              <w:left w:w="100" w:type="dxa"/>
              <w:right w:w="100" w:type="dxa"/>
            </w:tcMar>
          </w:tcPr>
          <w:p>
            <w:r>
              <w:rPr>
                <w:b/>
                <w:color w:val="FFFFFF"/>
                <w:sz w:val="18"/>
              </w:rPr>
              <w:t>Computed Result</w:t>
            </w:r>
          </w:p>
        </w:tc>
        <w:tc>
          <w:tcPr>
            <w:tcW w:type="dxa" w:w="3120"/>
            <w:shd w:fill="0F62FE"/>
            <w:tcMar>
              <w:top w:w="80" w:type="dxa"/>
              <w:bottom w:w="80" w:type="dxa"/>
              <w:left w:w="100" w:type="dxa"/>
              <w:right w:w="100" w:type="dxa"/>
            </w:tcMar>
          </w:tcPr>
          <w:p>
            <w:r>
              <w:rPr>
                <w:b/>
                <w:color w:val="FFFFFF"/>
                <w:sz w:val="18"/>
              </w:rPr>
              <w:t>Strategic Interpretation</w:t>
            </w:r>
          </w:p>
        </w:tc>
      </w:tr>
      <w:tr>
        <w:tc>
          <w:tcPr>
            <w:tcW w:type="dxa" w:w="3120"/>
            <w:shd w:fill="FFFFFF"/>
            <w:tcMar>
              <w:top w:w="60" w:type="dxa"/>
              <w:bottom w:w="60" w:type="dxa"/>
              <w:left w:w="80" w:type="dxa"/>
              <w:right w:w="80" w:type="dxa"/>
            </w:tcMar>
          </w:tcPr>
          <w:p>
            <w:r>
              <w:rPr>
                <w:b/>
                <w:sz w:val="17"/>
              </w:rPr>
              <w:t>Top Product by Revenue</w:t>
            </w:r>
          </w:p>
        </w:tc>
        <w:tc>
          <w:tcPr>
            <w:tcW w:type="dxa" w:w="3120"/>
            <w:shd w:fill="FFFFFF"/>
            <w:tcMar>
              <w:top w:w="60" w:type="dxa"/>
              <w:bottom w:w="60" w:type="dxa"/>
              <w:left w:w="80" w:type="dxa"/>
              <w:right w:w="80" w:type="dxa"/>
            </w:tcMar>
          </w:tcPr>
          <w:p>
            <w:r>
              <w:rPr>
                <w:sz w:val="17"/>
              </w:rPr>
              <w:t>Rice (₹24,340.47)</w:t>
            </w:r>
          </w:p>
        </w:tc>
        <w:tc>
          <w:tcPr>
            <w:tcW w:type="dxa" w:w="3120"/>
            <w:shd w:fill="FFFFFF"/>
            <w:tcMar>
              <w:top w:w="60" w:type="dxa"/>
              <w:bottom w:w="60" w:type="dxa"/>
              <w:left w:w="80" w:type="dxa"/>
              <w:right w:w="80" w:type="dxa"/>
            </w:tcMar>
          </w:tcPr>
          <w:p>
            <w:r>
              <w:rPr>
                <w:sz w:val="17"/>
              </w:rPr>
              <w:t>Represents 17.06% of total revenue; staple volume and value driver</w:t>
            </w:r>
          </w:p>
        </w:tc>
      </w:tr>
      <w:tr>
        <w:tc>
          <w:tcPr>
            <w:tcW w:type="dxa" w:w="3120"/>
            <w:shd w:fill="F4F6F8"/>
            <w:tcMar>
              <w:top w:w="60" w:type="dxa"/>
              <w:bottom w:w="60" w:type="dxa"/>
              <w:left w:w="80" w:type="dxa"/>
              <w:right w:w="80" w:type="dxa"/>
            </w:tcMar>
          </w:tcPr>
          <w:p>
            <w:r>
              <w:rPr>
                <w:b/>
                <w:sz w:val="17"/>
              </w:rPr>
              <w:t>Best Performing Branch</w:t>
            </w:r>
          </w:p>
        </w:tc>
        <w:tc>
          <w:tcPr>
            <w:tcW w:type="dxa" w:w="3120"/>
            <w:shd w:fill="F4F6F8"/>
            <w:tcMar>
              <w:top w:w="60" w:type="dxa"/>
              <w:bottom w:w="60" w:type="dxa"/>
              <w:left w:w="80" w:type="dxa"/>
              <w:right w:w="80" w:type="dxa"/>
            </w:tcMar>
          </w:tcPr>
          <w:p>
            <w:r>
              <w:rPr>
                <w:sz w:val="17"/>
              </w:rPr>
              <w:t>Branch C in Mumbai (₹54,493.85)</w:t>
            </w:r>
          </w:p>
        </w:tc>
        <w:tc>
          <w:tcPr>
            <w:tcW w:type="dxa" w:w="3120"/>
            <w:shd w:fill="F4F6F8"/>
            <w:tcMar>
              <w:top w:w="60" w:type="dxa"/>
              <w:bottom w:w="60" w:type="dxa"/>
              <w:left w:w="80" w:type="dxa"/>
              <w:right w:w="80" w:type="dxa"/>
            </w:tcMar>
          </w:tcPr>
          <w:p>
            <w:r>
              <w:rPr>
                <w:sz w:val="17"/>
              </w:rPr>
              <w:t>Captures 38.20% of revenue; leads in transactions (183) and basket (₹297.78)</w:t>
            </w:r>
          </w:p>
        </w:tc>
      </w:tr>
      <w:tr>
        <w:tc>
          <w:tcPr>
            <w:tcW w:type="dxa" w:w="3120"/>
            <w:shd w:fill="FFFFFF"/>
            <w:tcMar>
              <w:top w:w="60" w:type="dxa"/>
              <w:bottom w:w="60" w:type="dxa"/>
              <w:left w:w="80" w:type="dxa"/>
              <w:right w:w="80" w:type="dxa"/>
            </w:tcMar>
          </w:tcPr>
          <w:p>
            <w:r>
              <w:rPr>
                <w:b/>
                <w:sz w:val="17"/>
              </w:rPr>
              <w:t>Top Merchandise Category</w:t>
            </w:r>
          </w:p>
        </w:tc>
        <w:tc>
          <w:tcPr>
            <w:tcW w:type="dxa" w:w="3120"/>
            <w:shd w:fill="FFFFFF"/>
            <w:tcMar>
              <w:top w:w="60" w:type="dxa"/>
              <w:bottom w:w="60" w:type="dxa"/>
              <w:left w:w="80" w:type="dxa"/>
              <w:right w:w="80" w:type="dxa"/>
            </w:tcMar>
          </w:tcPr>
          <w:p>
            <w:r>
              <w:rPr>
                <w:sz w:val="17"/>
              </w:rPr>
              <w:t>Beverages (₹44,793.30)</w:t>
            </w:r>
          </w:p>
        </w:tc>
        <w:tc>
          <w:tcPr>
            <w:tcW w:type="dxa" w:w="3120"/>
            <w:shd w:fill="FFFFFF"/>
            <w:tcMar>
              <w:top w:w="60" w:type="dxa"/>
              <w:bottom w:w="60" w:type="dxa"/>
              <w:left w:w="80" w:type="dxa"/>
              <w:right w:w="80" w:type="dxa"/>
            </w:tcMar>
          </w:tcPr>
          <w:p>
            <w:r>
              <w:rPr>
                <w:sz w:val="17"/>
              </w:rPr>
              <w:t>Accounts for 31.40% of sales; combined with Dairy (25.10%), drives 56.5% of store sales</w:t>
            </w:r>
          </w:p>
        </w:tc>
      </w:tr>
      <w:tr>
        <w:tc>
          <w:tcPr>
            <w:tcW w:type="dxa" w:w="3120"/>
            <w:shd w:fill="F4F6F8"/>
            <w:tcMar>
              <w:top w:w="60" w:type="dxa"/>
              <w:bottom w:w="60" w:type="dxa"/>
              <w:left w:w="80" w:type="dxa"/>
              <w:right w:w="80" w:type="dxa"/>
            </w:tcMar>
          </w:tcPr>
          <w:p>
            <w:r>
              <w:rPr>
                <w:b/>
                <w:sz w:val="17"/>
              </w:rPr>
              <w:t>Most Adopted Payment Method</w:t>
            </w:r>
          </w:p>
        </w:tc>
        <w:tc>
          <w:tcPr>
            <w:tcW w:type="dxa" w:w="3120"/>
            <w:shd w:fill="F4F6F8"/>
            <w:tcMar>
              <w:top w:w="60" w:type="dxa"/>
              <w:bottom w:w="60" w:type="dxa"/>
              <w:left w:w="80" w:type="dxa"/>
              <w:right w:w="80" w:type="dxa"/>
            </w:tcMar>
          </w:tcPr>
          <w:p>
            <w:r>
              <w:rPr>
                <w:sz w:val="17"/>
              </w:rPr>
              <w:t>UPI (139 transactions)</w:t>
            </w:r>
          </w:p>
        </w:tc>
        <w:tc>
          <w:tcPr>
            <w:tcW w:type="dxa" w:w="3120"/>
            <w:shd w:fill="F4F6F8"/>
            <w:tcMar>
              <w:top w:w="60" w:type="dxa"/>
              <w:bottom w:w="60" w:type="dxa"/>
              <w:left w:w="80" w:type="dxa"/>
              <w:right w:w="80" w:type="dxa"/>
            </w:tcMar>
          </w:tcPr>
          <w:p>
            <w:r>
              <w:rPr>
                <w:sz w:val="17"/>
              </w:rPr>
              <w:t>27.8% channel share; also yields the highest average basket value (₹315.40)</w:t>
            </w:r>
          </w:p>
        </w:tc>
      </w:tr>
      <w:tr>
        <w:tc>
          <w:tcPr>
            <w:tcW w:type="dxa" w:w="3120"/>
            <w:shd w:fill="FFFFFF"/>
            <w:tcMar>
              <w:top w:w="60" w:type="dxa"/>
              <w:bottom w:w="60" w:type="dxa"/>
              <w:left w:w="80" w:type="dxa"/>
              <w:right w:w="80" w:type="dxa"/>
            </w:tcMar>
          </w:tcPr>
          <w:p>
            <w:r>
              <w:rPr>
                <w:b/>
                <w:sz w:val="17"/>
              </w:rPr>
              <w:t>Customer Spend Comparison</w:t>
            </w:r>
          </w:p>
        </w:tc>
        <w:tc>
          <w:tcPr>
            <w:tcW w:type="dxa" w:w="3120"/>
            <w:shd w:fill="FFFFFF"/>
            <w:tcMar>
              <w:top w:w="60" w:type="dxa"/>
              <w:bottom w:w="60" w:type="dxa"/>
              <w:left w:w="80" w:type="dxa"/>
              <w:right w:w="80" w:type="dxa"/>
            </w:tcMar>
          </w:tcPr>
          <w:p>
            <w:r>
              <w:rPr>
                <w:sz w:val="17"/>
              </w:rPr>
              <w:t>Member: ₹292.26 | Normal: ₹276.84</w:t>
            </w:r>
          </w:p>
        </w:tc>
        <w:tc>
          <w:tcPr>
            <w:tcW w:type="dxa" w:w="3120"/>
            <w:shd w:fill="FFFFFF"/>
            <w:tcMar>
              <w:top w:w="60" w:type="dxa"/>
              <w:bottom w:w="60" w:type="dxa"/>
              <w:left w:w="80" w:type="dxa"/>
              <w:right w:w="80" w:type="dxa"/>
            </w:tcMar>
          </w:tcPr>
          <w:p>
            <w:r>
              <w:rPr>
                <w:sz w:val="17"/>
              </w:rPr>
              <w:t>Members spend ₹15.42 more on average; statistically insignificant difference</w:t>
            </w:r>
          </w:p>
        </w:tc>
      </w:tr>
      <w:tr>
        <w:tc>
          <w:tcPr>
            <w:tcW w:type="dxa" w:w="3120"/>
            <w:shd w:fill="F4F6F8"/>
            <w:tcMar>
              <w:top w:w="60" w:type="dxa"/>
              <w:bottom w:w="60" w:type="dxa"/>
              <w:left w:w="80" w:type="dxa"/>
              <w:right w:w="80" w:type="dxa"/>
            </w:tcMar>
          </w:tcPr>
          <w:p>
            <w:r>
              <w:rPr>
                <w:b/>
                <w:sz w:val="17"/>
              </w:rPr>
              <w:t>Average Customer Rating</w:t>
            </w:r>
          </w:p>
        </w:tc>
        <w:tc>
          <w:tcPr>
            <w:tcW w:type="dxa" w:w="3120"/>
            <w:shd w:fill="F4F6F8"/>
            <w:tcMar>
              <w:top w:w="60" w:type="dxa"/>
              <w:bottom w:w="60" w:type="dxa"/>
              <w:left w:w="80" w:type="dxa"/>
              <w:right w:w="80" w:type="dxa"/>
            </w:tcMar>
          </w:tcPr>
          <w:p>
            <w:r>
              <w:rPr>
                <w:sz w:val="17"/>
              </w:rPr>
              <w:t>4.01 / 5.00 Stars</w:t>
            </w:r>
          </w:p>
        </w:tc>
        <w:tc>
          <w:tcPr>
            <w:tcW w:type="dxa" w:w="3120"/>
            <w:shd w:fill="F4F6F8"/>
            <w:tcMar>
              <w:top w:w="60" w:type="dxa"/>
              <w:bottom w:w="60" w:type="dxa"/>
              <w:left w:w="80" w:type="dxa"/>
              <w:right w:w="80" w:type="dxa"/>
            </w:tcMar>
          </w:tcPr>
          <w:p>
            <w:r>
              <w:rPr>
                <w:sz w:val="17"/>
              </w:rPr>
              <w:t>Uniform customer satisfaction across all stores and ticket sizes</w:t>
            </w:r>
          </w:p>
        </w:tc>
      </w:tr>
    </w:tbl>
    <w:p>
      <w:pPr>
        <w:spacing w:after="120"/>
      </w:pPr>
    </w:p>
    <w:p>
      <w:pPr>
        <w:spacing w:before="240" w:after="80"/>
      </w:pPr>
      <w:r>
        <w:rPr>
          <w:rFonts w:ascii="Segoe UI" w:hAnsi="Segoe UI"/>
          <w:b/>
          <w:color w:val="005D5D"/>
          <w:sz w:val="25"/>
        </w:rPr>
        <w:t>4.2 Branch Comparison &amp; Geographic Disparities</w:t>
      </w:r>
    </w:p>
    <w:p>
      <w:pPr>
        <w:spacing w:after="120" w:line="276" w:lineRule="auto"/>
      </w:pPr>
      <w:r>
        <w:rPr>
          <w:rFonts w:ascii="Segoe UI" w:hAnsi="Segoe UI"/>
          <w:color w:val="282828"/>
          <w:sz w:val="20"/>
        </w:rPr>
        <w:t>Store performance across the three branches reveals noticeable operational differences in customer footfall and spending power:</w:t>
      </w:r>
    </w:p>
    <w:p>
      <w:pPr>
        <w:spacing w:after="120" w:line="276" w:lineRule="auto"/>
      </w:pPr>
      <w:r>
        <w:rPr>
          <w:rFonts w:ascii="Segoe UI" w:hAnsi="Segoe UI"/>
          <w:b/>
          <w:color w:val="161616"/>
          <w:sz w:val="20"/>
        </w:rPr>
        <w:t xml:space="preserve">• Branch C (Mumbai): </w:t>
      </w:r>
      <w:r>
        <w:rPr>
          <w:rFonts w:ascii="Segoe UI" w:hAnsi="Segoe UI"/>
          <w:color w:val="282828"/>
          <w:sz w:val="20"/>
        </w:rPr>
        <w:t>Generates ₹54,493.85 (38.20% of total revenue) across 183 transactions, with an average ticket size of ₹297.78 and a 4.00 star rating. Branch C benefits from larger metropolitan basket sizes.</w:t>
      </w:r>
    </w:p>
    <w:p>
      <w:pPr>
        <w:spacing w:after="120" w:line="276" w:lineRule="auto"/>
      </w:pPr>
      <w:r>
        <w:rPr>
          <w:rFonts w:ascii="Segoe UI" w:hAnsi="Segoe UI"/>
          <w:b/>
          <w:color w:val="161616"/>
          <w:sz w:val="20"/>
        </w:rPr>
        <w:t xml:space="preserve">• Branch A (Hyderabad): </w:t>
      </w:r>
      <w:r>
        <w:rPr>
          <w:rFonts w:ascii="Segoe UI" w:hAnsi="Segoe UI"/>
          <w:color w:val="282828"/>
          <w:sz w:val="20"/>
        </w:rPr>
        <w:t>Generates ₹45,853.66 (32.14% of total revenue) across 166 transactions, with an average ticket size of ₹276.23 and a 3.96 star rating.</w:t>
      </w:r>
    </w:p>
    <w:p>
      <w:pPr>
        <w:spacing w:after="120" w:line="276" w:lineRule="auto"/>
      </w:pPr>
      <w:r>
        <w:rPr>
          <w:rFonts w:ascii="Segoe UI" w:hAnsi="Segoe UI"/>
          <w:b/>
          <w:color w:val="161616"/>
          <w:sz w:val="20"/>
        </w:rPr>
        <w:t xml:space="preserve">• Branch B (Vijayawada): </w:t>
      </w:r>
      <w:r>
        <w:rPr>
          <w:rFonts w:ascii="Segoe UI" w:hAnsi="Segoe UI"/>
          <w:color w:val="282828"/>
          <w:sz w:val="20"/>
        </w:rPr>
        <w:t>Generates ₹42,297.80 (29.65% of total revenue) across 151 transactions, with an average ticket size of ₹280.12. Notably, Branch B achieved the highest customer satisfaction score (4.08 stars).</w:t>
      </w:r>
    </w:p>
    <w:p>
      <w:pPr>
        <w:spacing w:before="160" w:after="40"/>
        <w:jc w:val="center"/>
      </w:pPr>
      <w:r>
        <w:drawing>
          <wp:inline xmlns:a="http://schemas.openxmlformats.org/drawingml/2006/main" xmlns:pic="http://schemas.openxmlformats.org/drawingml/2006/picture">
            <wp:extent cx="5486400" cy="2852558"/>
            <wp:docPr id="1" name="Picture 1"/>
            <wp:cNvGraphicFramePr>
              <a:graphicFrameLocks noChangeAspect="1"/>
            </wp:cNvGraphicFramePr>
            <a:graphic>
              <a:graphicData uri="http://schemas.openxmlformats.org/drawingml/2006/picture">
                <pic:pic>
                  <pic:nvPicPr>
                    <pic:cNvPr id="0" name="02_sales_by_branch_comparison.png"/>
                    <pic:cNvPicPr/>
                  </pic:nvPicPr>
                  <pic:blipFill>
                    <a:blip r:embed="rId10"/>
                    <a:stretch>
                      <a:fillRect/>
                    </a:stretch>
                  </pic:blipFill>
                  <pic:spPr>
                    <a:xfrm>
                      <a:off x="0" y="0"/>
                      <a:ext cx="5486400" cy="2852558"/>
                    </a:xfrm>
                    <a:prstGeom prst="rect"/>
                  </pic:spPr>
                </pic:pic>
              </a:graphicData>
            </a:graphic>
          </wp:inline>
        </w:drawing>
      </w:r>
    </w:p>
    <w:p>
      <w:pPr>
        <w:spacing w:after="200"/>
        <w:jc w:val="center"/>
      </w:pPr>
      <w:r>
        <w:rPr>
          <w:rFonts w:ascii="Segoe UI" w:hAnsi="Segoe UI"/>
          <w:i/>
          <w:color w:val="646464"/>
          <w:sz w:val="17"/>
        </w:rPr>
        <w:t>Figure: Branch Performance: Revenue, Transaction Volume, and Average Basket Size</w:t>
      </w:r>
    </w:p>
    <w:p>
      <w:pPr>
        <w:spacing w:before="240" w:after="80"/>
      </w:pPr>
      <w:r>
        <w:rPr>
          <w:rFonts w:ascii="Segoe UI" w:hAnsi="Segoe UI"/>
          <w:b/>
          <w:color w:val="005D5D"/>
          <w:sz w:val="25"/>
        </w:rPr>
        <w:t>4.3 Product Performance Dichotomy: Monetary Turnover vs. Physical Volume</w:t>
      </w:r>
    </w:p>
    <w:p>
      <w:pPr>
        <w:spacing w:after="120" w:line="276" w:lineRule="auto"/>
      </w:pPr>
      <w:r>
        <w:rPr>
          <w:rFonts w:ascii="Segoe UI" w:hAnsi="Segoe UI"/>
          <w:color w:val="282828"/>
          <w:sz w:val="20"/>
        </w:rPr>
        <w:t>A critical finding of this study is the sharp divergence between revenue generation and physical unit sales. SKUs with high unit velocity do not necessarily yield high monetary value, and vice-versa:</w:t>
      </w:r>
    </w:p>
    <w:p>
      <w:pPr>
        <w:spacing w:after="120" w:line="276" w:lineRule="auto"/>
      </w:pPr>
      <w:r>
        <w:rPr>
          <w:rFonts w:ascii="Segoe UI" w:hAnsi="Segoe UI"/>
          <w:b/>
          <w:color w:val="161616"/>
          <w:sz w:val="20"/>
        </w:rPr>
        <w:t xml:space="preserve">• Revenue Ranking: </w:t>
      </w:r>
      <w:r>
        <w:rPr>
          <w:rFonts w:ascii="Segoe UI" w:hAnsi="Segoe UI"/>
          <w:color w:val="282828"/>
          <w:sz w:val="20"/>
        </w:rPr>
        <w:t>Top 3 Revenue: Rice (₹24,340.47), Cheese (₹18,049.87), and Milk (₹17,749.67). Bottom 3 Revenue: Soap (₹5,960.95), Bread (₹7,474.38), and Snacks (₹8,024.05).</w:t>
      </w:r>
    </w:p>
    <w:p>
      <w:pPr>
        <w:spacing w:after="120" w:line="276" w:lineRule="auto"/>
      </w:pPr>
      <w:r>
        <w:rPr>
          <w:rFonts w:ascii="Segoe UI" w:hAnsi="Segoe UI"/>
          <w:b/>
          <w:color w:val="161616"/>
          <w:sz w:val="20"/>
        </w:rPr>
        <w:t xml:space="preserve">• Volume Ranking: </w:t>
      </w:r>
      <w:r>
        <w:rPr>
          <w:rFonts w:ascii="Segoe UI" w:hAnsi="Segoe UI"/>
          <w:color w:val="282828"/>
          <w:sz w:val="20"/>
        </w:rPr>
        <w:t>Top 3 Volume: Milk (306 units), Snacks (228 units), and Rice (221 units). Bottom 3 Volume: Coffee (86 units), Soap (108 units), and Cheese (123 units).</w:t>
      </w:r>
    </w:p>
    <w:p>
      <w:pPr>
        <w:spacing w:after="120" w:line="276" w:lineRule="auto"/>
      </w:pPr>
      <w:r>
        <w:rPr>
          <w:rFonts w:ascii="Segoe UI" w:hAnsi="Segoe UI"/>
          <w:b/>
          <w:color w:val="161616"/>
          <w:sz w:val="20"/>
        </w:rPr>
        <w:t xml:space="preserve">• The Dichotomy Explained: </w:t>
      </w:r>
      <w:r>
        <w:rPr>
          <w:rFonts w:ascii="Segoe UI" w:hAnsi="Segoe UI"/>
          <w:color w:val="282828"/>
          <w:sz w:val="20"/>
        </w:rPr>
        <w:t>Why do they differ? Cheese ranks #2 in revenue but ranks #8 in unit volume (123 units) because of its premium unit price (~₹146.74/unit). Similarly, Coffee is #5 in revenue (₹15,909.70) despite being the lowest volume SKU (86 units, #10) due to its high price (~₹184.99/unit). Conversely, Snacks ranks #2 in physical units sold (228 units) but sits near the bottom (#8) in revenue due to low unit pricing (~₹35.19/unit). Soap is an underperformer on both dimensions (#10 in revenue, #9 in units).</w:t>
      </w:r>
    </w:p>
    <w:p>
      <w:pPr>
        <w:spacing w:before="160" w:after="40"/>
        <w:jc w:val="center"/>
      </w:pPr>
      <w:r>
        <w:drawing>
          <wp:inline xmlns:a="http://schemas.openxmlformats.org/drawingml/2006/main" xmlns:pic="http://schemas.openxmlformats.org/drawingml/2006/picture">
            <wp:extent cx="5486400" cy="2856568"/>
            <wp:docPr id="2" name="Picture 2"/>
            <wp:cNvGraphicFramePr>
              <a:graphicFrameLocks noChangeAspect="1"/>
            </wp:cNvGraphicFramePr>
            <a:graphic>
              <a:graphicData uri="http://schemas.openxmlformats.org/drawingml/2006/picture">
                <pic:pic>
                  <pic:nvPicPr>
                    <pic:cNvPr id="0" name="06_revenue_vs_units_top_bottom.png"/>
                    <pic:cNvPicPr/>
                  </pic:nvPicPr>
                  <pic:blipFill>
                    <a:blip r:embed="rId11"/>
                    <a:stretch>
                      <a:fillRect/>
                    </a:stretch>
                  </pic:blipFill>
                  <pic:spPr>
                    <a:xfrm>
                      <a:off x="0" y="0"/>
                      <a:ext cx="5486400" cy="2856568"/>
                    </a:xfrm>
                    <a:prstGeom prst="rect"/>
                  </pic:spPr>
                </pic:pic>
              </a:graphicData>
            </a:graphic>
          </wp:inline>
        </w:drawing>
      </w:r>
    </w:p>
    <w:p>
      <w:pPr>
        <w:spacing w:after="200"/>
        <w:jc w:val="center"/>
      </w:pPr>
      <w:r>
        <w:rPr>
          <w:rFonts w:ascii="Segoe UI" w:hAnsi="Segoe UI"/>
          <w:i/>
          <w:color w:val="646464"/>
          <w:sz w:val="17"/>
        </w:rPr>
        <w:t>Figure: Product Performance Disconnect: Revenue Rankings vs. Units Sold Rankings</w:t>
      </w:r>
    </w:p>
    <w:p>
      <w:pPr>
        <w:spacing w:before="240" w:after="80"/>
      </w:pPr>
      <w:r>
        <w:rPr>
          <w:rFonts w:ascii="Segoe UI" w:hAnsi="Segoe UI"/>
          <w:b/>
          <w:color w:val="005D5D"/>
          <w:sz w:val="25"/>
        </w:rPr>
        <w:t>4.4 Revenue Concentration (Pareto Distribution)</w:t>
      </w:r>
    </w:p>
    <w:p>
      <w:pPr>
        <w:spacing w:after="120" w:line="276" w:lineRule="auto"/>
      </w:pPr>
      <w:r>
        <w:rPr>
          <w:rFonts w:ascii="Segoe UI" w:hAnsi="Segoe UI"/>
          <w:color w:val="282828"/>
          <w:sz w:val="20"/>
        </w:rPr>
        <w:t>Analysis of revenue concentration confirms that the top 3 products (Rice, Cheese, Milk) generate ₹60,140.01, representing 42.16% of total store revenue. The top 5 products (adding Shampoo and Coffee) generate ₹92,302.33, capturing 64.71% of total sales. This moderate concentration underscores the operational necessity of protecting core supply lines for these five essential SKUs.</w:t>
      </w:r>
    </w:p>
    <w:p>
      <w:pPr>
        <w:spacing w:before="160" w:after="40"/>
        <w:jc w:val="center"/>
      </w:pPr>
      <w:r>
        <w:drawing>
          <wp:inline xmlns:a="http://schemas.openxmlformats.org/drawingml/2006/main" xmlns:pic="http://schemas.openxmlformats.org/drawingml/2006/picture">
            <wp:extent cx="5486400" cy="3535185"/>
            <wp:docPr id="3" name="Picture 3"/>
            <wp:cNvGraphicFramePr>
              <a:graphicFrameLocks noChangeAspect="1"/>
            </wp:cNvGraphicFramePr>
            <a:graphic>
              <a:graphicData uri="http://schemas.openxmlformats.org/drawingml/2006/picture">
                <pic:pic>
                  <pic:nvPicPr>
                    <pic:cNvPr id="0" name="01_sales_by_product_pareto.png"/>
                    <pic:cNvPicPr/>
                  </pic:nvPicPr>
                  <pic:blipFill>
                    <a:blip r:embed="rId12"/>
                    <a:stretch>
                      <a:fillRect/>
                    </a:stretch>
                  </pic:blipFill>
                  <pic:spPr>
                    <a:xfrm>
                      <a:off x="0" y="0"/>
                      <a:ext cx="5486400" cy="3535185"/>
                    </a:xfrm>
                    <a:prstGeom prst="rect"/>
                  </pic:spPr>
                </pic:pic>
              </a:graphicData>
            </a:graphic>
          </wp:inline>
        </w:drawing>
      </w:r>
    </w:p>
    <w:p>
      <w:pPr>
        <w:spacing w:after="200"/>
        <w:jc w:val="center"/>
      </w:pPr>
      <w:r>
        <w:rPr>
          <w:rFonts w:ascii="Segoe UI" w:hAnsi="Segoe UI"/>
          <w:i/>
          <w:color w:val="646464"/>
          <w:sz w:val="17"/>
        </w:rPr>
        <w:t>Figure: Pareto Analysis of Product Revenue and Cumulative Sales Distribution</w:t>
      </w:r>
    </w:p>
    <w:p>
      <w:pPr>
        <w:spacing w:before="240" w:after="80"/>
      </w:pPr>
      <w:r>
        <w:rPr>
          <w:rFonts w:ascii="Segoe UI" w:hAnsi="Segoe UI"/>
          <w:b/>
          <w:color w:val="005D5D"/>
          <w:sz w:val="25"/>
        </w:rPr>
        <w:t>4.5 Payment Method Dynamics &amp; Basket Sizes</w:t>
      </w:r>
    </w:p>
    <w:p>
      <w:pPr>
        <w:spacing w:after="120" w:line="276" w:lineRule="auto"/>
      </w:pPr>
      <w:r>
        <w:rPr>
          <w:rFonts w:ascii="Segoe UI" w:hAnsi="Segoe UI"/>
          <w:color w:val="282828"/>
          <w:sz w:val="20"/>
        </w:rPr>
        <w:t>Payment preferences among shoppers reveal that digital payments dominate store checkout lanes:</w:t>
      </w:r>
    </w:p>
    <w:p>
      <w:pPr>
        <w:spacing w:after="120" w:line="276" w:lineRule="auto"/>
      </w:pPr>
      <w:r>
        <w:rPr>
          <w:rFonts w:ascii="Segoe UI" w:hAnsi="Segoe UI"/>
          <w:b/>
          <w:color w:val="161616"/>
          <w:sz w:val="20"/>
        </w:rPr>
        <w:t xml:space="preserve">• UPI: </w:t>
      </w:r>
      <w:r>
        <w:rPr>
          <w:rFonts w:ascii="Segoe UI" w:hAnsi="Segoe UI"/>
          <w:color w:val="282828"/>
          <w:sz w:val="20"/>
        </w:rPr>
        <w:t>139 transactions (27.8% share), ₹43,840.69 total sales, and an average basket size of ₹315.40.</w:t>
      </w:r>
    </w:p>
    <w:p>
      <w:pPr>
        <w:spacing w:after="120" w:line="276" w:lineRule="auto"/>
      </w:pPr>
      <w:r>
        <w:rPr>
          <w:rFonts w:ascii="Segoe UI" w:hAnsi="Segoe UI"/>
          <w:b/>
          <w:color w:val="161616"/>
          <w:sz w:val="20"/>
        </w:rPr>
        <w:t xml:space="preserve">• Cash: </w:t>
      </w:r>
      <w:r>
        <w:rPr>
          <w:rFonts w:ascii="Segoe UI" w:hAnsi="Segoe UI"/>
          <w:color w:val="282828"/>
          <w:sz w:val="20"/>
        </w:rPr>
        <w:t>126 transactions (25.2% share), ₹35,879.19 total sales, and an average basket size of ₹284.76.</w:t>
      </w:r>
    </w:p>
    <w:p>
      <w:pPr>
        <w:spacing w:after="120" w:line="276" w:lineRule="auto"/>
      </w:pPr>
      <w:r>
        <w:rPr>
          <w:rFonts w:ascii="Segoe UI" w:hAnsi="Segoe UI"/>
          <w:b/>
          <w:color w:val="161616"/>
          <w:sz w:val="20"/>
        </w:rPr>
        <w:t xml:space="preserve">• Credit Card: </w:t>
      </w:r>
      <w:r>
        <w:rPr>
          <w:rFonts w:ascii="Segoe UI" w:hAnsi="Segoe UI"/>
          <w:color w:val="282828"/>
          <w:sz w:val="20"/>
        </w:rPr>
        <w:t>125 transactions (25.0% share), ₹34,455.74 total sales, and an average basket size of ₹275.65.</w:t>
      </w:r>
    </w:p>
    <w:p>
      <w:pPr>
        <w:spacing w:after="120" w:line="276" w:lineRule="auto"/>
      </w:pPr>
      <w:r>
        <w:rPr>
          <w:rFonts w:ascii="Segoe UI" w:hAnsi="Segoe UI"/>
          <w:b/>
          <w:color w:val="161616"/>
          <w:sz w:val="20"/>
        </w:rPr>
        <w:t xml:space="preserve">• E-Wallet: </w:t>
      </w:r>
      <w:r>
        <w:rPr>
          <w:rFonts w:ascii="Segoe UI" w:hAnsi="Segoe UI"/>
          <w:color w:val="282828"/>
          <w:sz w:val="20"/>
        </w:rPr>
        <w:t>110 transactions (22.0% share), ₹28,469.69 total sales, and an average basket size of ₹258.82.</w:t>
      </w:r>
    </w:p>
    <w:p>
      <w:pPr>
        <w:spacing w:after="120" w:line="276" w:lineRule="auto"/>
      </w:pPr>
      <w:r>
        <w:rPr>
          <w:rFonts w:ascii="Segoe UI" w:hAnsi="Segoe UI"/>
          <w:color w:val="282828"/>
          <w:sz w:val="20"/>
        </w:rPr>
        <w:t>Crucially, UPI not only captures the highest transaction count but also delivers the highest average ticket value (₹315.40 vs. ₹258.82 for E-wallets), demonstrating that frictionless mobile payment encourages larger overall basket purchases.</w:t>
      </w:r>
    </w:p>
    <w:p>
      <w:pPr>
        <w:spacing w:before="160" w:after="40"/>
        <w:jc w:val="center"/>
      </w:pPr>
      <w:r>
        <w:drawing>
          <wp:inline xmlns:a="http://schemas.openxmlformats.org/drawingml/2006/main" xmlns:pic="http://schemas.openxmlformats.org/drawingml/2006/picture">
            <wp:extent cx="5486400" cy="2876015"/>
            <wp:docPr id="4" name="Picture 4"/>
            <wp:cNvGraphicFramePr>
              <a:graphicFrameLocks noChangeAspect="1"/>
            </wp:cNvGraphicFramePr>
            <a:graphic>
              <a:graphicData uri="http://schemas.openxmlformats.org/drawingml/2006/picture">
                <pic:pic>
                  <pic:nvPicPr>
                    <pic:cNvPr id="0" name="04_payment_methods_and_basket.png"/>
                    <pic:cNvPicPr/>
                  </pic:nvPicPr>
                  <pic:blipFill>
                    <a:blip r:embed="rId13"/>
                    <a:stretch>
                      <a:fillRect/>
                    </a:stretch>
                  </pic:blipFill>
                  <pic:spPr>
                    <a:xfrm>
                      <a:off x="0" y="0"/>
                      <a:ext cx="5486400" cy="2876015"/>
                    </a:xfrm>
                    <a:prstGeom prst="rect"/>
                  </pic:spPr>
                </pic:pic>
              </a:graphicData>
            </a:graphic>
          </wp:inline>
        </w:drawing>
      </w:r>
    </w:p>
    <w:p>
      <w:pPr>
        <w:spacing w:after="200"/>
        <w:jc w:val="center"/>
      </w:pPr>
      <w:r>
        <w:rPr>
          <w:rFonts w:ascii="Segoe UI" w:hAnsi="Segoe UI"/>
          <w:i/>
          <w:color w:val="646464"/>
          <w:sz w:val="17"/>
        </w:rPr>
        <w:t>Figure: Payment Method Adoption Share and Average Basket Value per Method</w:t>
      </w:r>
    </w:p>
    <w:p>
      <w:pPr>
        <w:spacing w:before="240" w:after="80"/>
      </w:pPr>
      <w:r>
        <w:rPr>
          <w:rFonts w:ascii="Segoe UI" w:hAnsi="Segoe UI"/>
          <w:b/>
          <w:color w:val="005D5D"/>
          <w:sz w:val="25"/>
        </w:rPr>
        <w:t>4.6 Customer Loyalty Assessment &amp; Inferential Welch's t-test</w:t>
      </w:r>
    </w:p>
    <w:p>
      <w:pPr>
        <w:spacing w:after="120" w:line="276" w:lineRule="auto"/>
      </w:pPr>
      <w:r>
        <w:rPr>
          <w:rFonts w:ascii="Segoe UI" w:hAnsi="Segoe UI"/>
          <w:color w:val="282828"/>
          <w:sz w:val="20"/>
        </w:rPr>
        <w:t>The dataset contains 274 transactions by enrolled loyalty 'Members' (54.8%) and 226 transactions by unregistered 'Normal' shoppers (45.2%). On average, Members spent ₹292.26 per transaction, compared to ₹276.84 for Normal customers—an apparent nominal premium of ₹15.42 per visit.</w:t>
      </w:r>
    </w:p>
    <w:p>
      <w:pPr>
        <w:spacing w:after="120" w:line="276" w:lineRule="auto"/>
      </w:pPr>
      <w:r>
        <w:rPr>
          <w:rFonts w:ascii="Segoe UI" w:hAnsi="Segoe UI"/>
          <w:color w:val="282828"/>
          <w:sz w:val="20"/>
        </w:rPr>
        <w:t>To test whether this ₹15.42 difference represents a genuine business lift or merely random sampling variance, a two-sample Welch's t-test with unequal variances was conducted:</w:t>
      </w:r>
    </w:p>
    <w:p>
      <w:pPr>
        <w:spacing w:after="120" w:line="276" w:lineRule="auto"/>
      </w:pPr>
      <w:r>
        <w:rPr>
          <w:rFonts w:ascii="Segoe UI" w:hAnsi="Segoe UI"/>
          <w:b/>
          <w:color w:val="161616"/>
          <w:sz w:val="20"/>
        </w:rPr>
        <w:t xml:space="preserve">• Hypothesis Formulation: </w:t>
      </w:r>
      <w:r>
        <w:rPr>
          <w:rFonts w:ascii="Segoe UI" w:hAnsi="Segoe UI"/>
          <w:color w:val="282828"/>
          <w:sz w:val="20"/>
        </w:rPr>
        <w:t>Null Hypothesis (H0): Mean Member Spend = Mean Normal Spend. Alternative Hypothesis (H1): Mean Member Spend ≠ Mean Normal Spend. Significance Level: α = 0.05.</w:t>
      </w:r>
    </w:p>
    <w:p>
      <w:pPr>
        <w:spacing w:after="120" w:line="276" w:lineRule="auto"/>
      </w:pPr>
      <w:r>
        <w:rPr>
          <w:rFonts w:ascii="Segoe UI" w:hAnsi="Segoe UI"/>
          <w:b/>
          <w:color w:val="161616"/>
          <w:sz w:val="20"/>
        </w:rPr>
        <w:t xml:space="preserve">• Test Results: </w:t>
      </w:r>
      <w:r>
        <w:rPr>
          <w:rFonts w:ascii="Segoe UI" w:hAnsi="Segoe UI"/>
          <w:color w:val="282828"/>
          <w:sz w:val="20"/>
        </w:rPr>
        <w:t>t-statistic = 0.8334, degrees of freedom = 491.5, p-value = 0.4050.</w:t>
      </w:r>
    </w:p>
    <w:p>
      <w:pPr>
        <w:spacing w:after="120" w:line="276" w:lineRule="auto"/>
      </w:pPr>
      <w:r>
        <w:rPr>
          <w:rFonts w:ascii="Segoe UI" w:hAnsi="Segoe UI"/>
          <w:b/>
          <w:color w:val="161616"/>
          <w:sz w:val="20"/>
        </w:rPr>
        <w:t xml:space="preserve">• Plain Language Takeaway: </w:t>
      </w:r>
      <w:r>
        <w:rPr>
          <w:rFonts w:ascii="Segoe UI" w:hAnsi="Segoe UI"/>
          <w:color w:val="282828"/>
          <w:sz w:val="20"/>
        </w:rPr>
        <w:t>Because the p-value (0.4050) is substantially greater than the significance threshold (0.05), we fail to reject the null hypothesis. In plain language: there is NO statistically significant difference in transaction spending between loyalty program Members and Normal shoppers. The supermarket's current membership program is not driving higher per-visit ticket sizes.</w:t>
      </w:r>
    </w:p>
    <w:p>
      <w:pPr>
        <w:spacing w:before="160" w:after="40"/>
        <w:jc w:val="center"/>
      </w:pPr>
      <w:r>
        <w:drawing>
          <wp:inline xmlns:a="http://schemas.openxmlformats.org/drawingml/2006/main" xmlns:pic="http://schemas.openxmlformats.org/drawingml/2006/picture">
            <wp:extent cx="5486400" cy="2705411"/>
            <wp:docPr id="5" name="Picture 5"/>
            <wp:cNvGraphicFramePr>
              <a:graphicFrameLocks noChangeAspect="1"/>
            </wp:cNvGraphicFramePr>
            <a:graphic>
              <a:graphicData uri="http://schemas.openxmlformats.org/drawingml/2006/picture">
                <pic:pic>
                  <pic:nvPicPr>
                    <pic:cNvPr id="0" name="05_member_vs_normal_spend.png"/>
                    <pic:cNvPicPr/>
                  </pic:nvPicPr>
                  <pic:blipFill>
                    <a:blip r:embed="rId14"/>
                    <a:stretch>
                      <a:fillRect/>
                    </a:stretch>
                  </pic:blipFill>
                  <pic:spPr>
                    <a:xfrm>
                      <a:off x="0" y="0"/>
                      <a:ext cx="5486400" cy="2705411"/>
                    </a:xfrm>
                    <a:prstGeom prst="rect"/>
                  </pic:spPr>
                </pic:pic>
              </a:graphicData>
            </a:graphic>
          </wp:inline>
        </w:drawing>
      </w:r>
    </w:p>
    <w:p>
      <w:pPr>
        <w:spacing w:after="200"/>
        <w:jc w:val="center"/>
      </w:pPr>
      <w:r>
        <w:rPr>
          <w:rFonts w:ascii="Segoe UI" w:hAnsi="Segoe UI"/>
          <w:i/>
          <w:color w:val="646464"/>
          <w:sz w:val="17"/>
        </w:rPr>
        <w:t>Figure: Spend Distribution &amp; Welch t-test: Member vs. Normal Customers</w:t>
      </w:r>
    </w:p>
    <w:p>
      <w:pPr>
        <w:spacing w:before="240" w:after="80"/>
      </w:pPr>
      <w:r>
        <w:rPr>
          <w:rFonts w:ascii="Segoe UI" w:hAnsi="Segoe UI"/>
          <w:b/>
          <w:color w:val="005D5D"/>
          <w:sz w:val="25"/>
        </w:rPr>
        <w:t>4.7 Customer Type × Category Interactions</w:t>
      </w:r>
    </w:p>
    <w:p>
      <w:pPr>
        <w:spacing w:after="120" w:line="276" w:lineRule="auto"/>
      </w:pPr>
      <w:r>
        <w:rPr>
          <w:rFonts w:ascii="Segoe UI" w:hAnsi="Segoe UI"/>
          <w:color w:val="282828"/>
          <w:sz w:val="20"/>
        </w:rPr>
        <w:t>Cross-tabulation of category revenue across customer segments indicates distinct purchasing priorities: Members account for the vast majority of Beverage sales (₹28,283.49 vs. ₹16,509.81 for Normal) and Dairy sales (₹21,572.74 vs. ₹14,226.80). Conversely, Normal shoppers actually outspent Members in Personal Care (₹13,437.74 vs. ₹8,775.83).</w:t>
      </w:r>
    </w:p>
    <w:p>
      <w:pPr>
        <w:spacing w:before="160" w:after="40"/>
        <w:jc w:val="center"/>
      </w:pPr>
      <w:r>
        <w:drawing>
          <wp:inline xmlns:a="http://schemas.openxmlformats.org/drawingml/2006/main" xmlns:pic="http://schemas.openxmlformats.org/drawingml/2006/picture">
            <wp:extent cx="5486400" cy="3021901"/>
            <wp:docPr id="6" name="Picture 6"/>
            <wp:cNvGraphicFramePr>
              <a:graphicFrameLocks noChangeAspect="1"/>
            </wp:cNvGraphicFramePr>
            <a:graphic>
              <a:graphicData uri="http://schemas.openxmlformats.org/drawingml/2006/picture">
                <pic:pic>
                  <pic:nvPicPr>
                    <pic:cNvPr id="0" name="07_customer_category_heatmap.png"/>
                    <pic:cNvPicPr/>
                  </pic:nvPicPr>
                  <pic:blipFill>
                    <a:blip r:embed="rId15"/>
                    <a:stretch>
                      <a:fillRect/>
                    </a:stretch>
                  </pic:blipFill>
                  <pic:spPr>
                    <a:xfrm>
                      <a:off x="0" y="0"/>
                      <a:ext cx="5486400" cy="3021901"/>
                    </a:xfrm>
                    <a:prstGeom prst="rect"/>
                  </pic:spPr>
                </pic:pic>
              </a:graphicData>
            </a:graphic>
          </wp:inline>
        </w:drawing>
      </w:r>
    </w:p>
    <w:p>
      <w:pPr>
        <w:spacing w:after="200"/>
        <w:jc w:val="center"/>
      </w:pPr>
      <w:r>
        <w:rPr>
          <w:rFonts w:ascii="Segoe UI" w:hAnsi="Segoe UI"/>
          <w:i/>
          <w:color w:val="646464"/>
          <w:sz w:val="17"/>
        </w:rPr>
        <w:t>Figure: Spending Heatmap: Customer Loyalty Segment by Product Category</w:t>
      </w:r>
    </w:p>
    <w:p>
      <w:pPr>
        <w:spacing w:before="240" w:after="80"/>
      </w:pPr>
      <w:r>
        <w:rPr>
          <w:rFonts w:ascii="Segoe UI" w:hAnsi="Segoe UI"/>
          <w:b/>
          <w:color w:val="005D5D"/>
          <w:sz w:val="25"/>
        </w:rPr>
        <w:t>4.8 Customer Rating Independence</w:t>
      </w:r>
    </w:p>
    <w:p>
      <w:pPr>
        <w:spacing w:after="120" w:line="276" w:lineRule="auto"/>
      </w:pPr>
      <w:r>
        <w:rPr>
          <w:rFonts w:ascii="Segoe UI" w:hAnsi="Segoe UI"/>
          <w:color w:val="282828"/>
          <w:sz w:val="20"/>
        </w:rPr>
        <w:t>Pearson correlation analysis between customer rating and transaction value yielded r = 0.0130 (p = 0.7722). Correlation between rating and quantity was r = -0.0017 (p = 0.9702). These near-zero correlation values demonstrate that customer satisfaction is entirely independent of order size or quantity. Both small single-item purchases and large multi-product baskets receive consistent 4.01-star ratings.</w:t>
      </w:r>
    </w:p>
    <w:p>
      <w:pPr>
        <w:spacing w:before="160" w:after="40"/>
        <w:jc w:val="center"/>
      </w:pPr>
      <w:r>
        <w:drawing>
          <wp:inline xmlns:a="http://schemas.openxmlformats.org/drawingml/2006/main" xmlns:pic="http://schemas.openxmlformats.org/drawingml/2006/picture">
            <wp:extent cx="5486400" cy="2705411"/>
            <wp:docPr id="7" name="Picture 7"/>
            <wp:cNvGraphicFramePr>
              <a:graphicFrameLocks noChangeAspect="1"/>
            </wp:cNvGraphicFramePr>
            <a:graphic>
              <a:graphicData uri="http://schemas.openxmlformats.org/drawingml/2006/picture">
                <pic:pic>
                  <pic:nvPicPr>
                    <pic:cNvPr id="0" name="08_rating_vs_sales_correlation.png"/>
                    <pic:cNvPicPr/>
                  </pic:nvPicPr>
                  <pic:blipFill>
                    <a:blip r:embed="rId16"/>
                    <a:stretch>
                      <a:fillRect/>
                    </a:stretch>
                  </pic:blipFill>
                  <pic:spPr>
                    <a:xfrm>
                      <a:off x="0" y="0"/>
                      <a:ext cx="5486400" cy="2705411"/>
                    </a:xfrm>
                    <a:prstGeom prst="rect"/>
                  </pic:spPr>
                </pic:pic>
              </a:graphicData>
            </a:graphic>
          </wp:inline>
        </w:drawing>
      </w:r>
    </w:p>
    <w:p>
      <w:pPr>
        <w:spacing w:after="200"/>
        <w:jc w:val="center"/>
      </w:pPr>
      <w:r>
        <w:rPr>
          <w:rFonts w:ascii="Segoe UI" w:hAnsi="Segoe UI"/>
          <w:i/>
          <w:color w:val="646464"/>
          <w:sz w:val="17"/>
        </w:rPr>
        <w:t>Figure: Customer Rating vs. Basket Spend: Correlation and Rating Tier Distribution</w:t>
      </w:r>
    </w:p>
    <w:p>
      <w:pPr>
        <w:spacing w:before="320" w:after="120"/>
      </w:pPr>
      <w:r>
        <w:rPr>
          <w:rFonts w:ascii="Segoe UI" w:hAnsi="Segoe UI"/>
          <w:b/>
          <w:color w:val="0F62FE"/>
          <w:sz w:val="30"/>
        </w:rPr>
        <w:t>5. Strategic Business Recommendations</w:t>
      </w:r>
    </w:p>
    <w:p>
      <w:pPr>
        <w:spacing w:after="120" w:line="276" w:lineRule="auto"/>
      </w:pPr>
      <w:r>
        <w:rPr>
          <w:rFonts w:ascii="Segoe UI" w:hAnsi="Segoe UI"/>
          <w:color w:val="282828"/>
          <w:sz w:val="20"/>
        </w:rPr>
        <w:t>All recommendations are strictly formulated based upon the empirical findings derived from the dataset:</w:t>
      </w:r>
    </w:p>
    <w:p>
      <w:pPr>
        <w:spacing w:after="120" w:line="276" w:lineRule="auto"/>
      </w:pPr>
      <w:r>
        <w:rPr>
          <w:rFonts w:ascii="Segoe UI" w:hAnsi="Segoe UI"/>
          <w:b/>
          <w:color w:val="161616"/>
          <w:sz w:val="20"/>
        </w:rPr>
        <w:t xml:space="preserve">1. Overhaul Loyalty Program with Basket-Stretching Incentives: </w:t>
      </w:r>
      <w:r>
        <w:rPr>
          <w:rFonts w:ascii="Segoe UI" w:hAnsi="Segoe UI"/>
          <w:color w:val="282828"/>
          <w:sz w:val="20"/>
        </w:rPr>
        <w:t>Because the t-test confirmed that loyalty members spend no more than regular shoppers (p=0.405), the current loyalty structure provides negligible commercial benefit. Management should transition the program from passive card-swiping to threshold-based rewards (e.g., 'Spend ₹450 to receive a ₹50 voucher on high-margin Dairy SKUs'). This will actively incentivize basket-stretching beyond the current ₹292 average.</w:t>
      </w:r>
    </w:p>
    <w:p>
      <w:pPr>
        <w:spacing w:after="120" w:line="276" w:lineRule="auto"/>
      </w:pPr>
      <w:r>
        <w:rPr>
          <w:rFonts w:ascii="Segoe UI" w:hAnsi="Segoe UI"/>
          <w:b/>
          <w:color w:val="161616"/>
          <w:sz w:val="20"/>
        </w:rPr>
        <w:t xml:space="preserve">2. Capitalize on UPI Checkout Dominance: </w:t>
      </w:r>
      <w:r>
        <w:rPr>
          <w:rFonts w:ascii="Segoe UI" w:hAnsi="Segoe UI"/>
          <w:color w:val="282828"/>
          <w:sz w:val="20"/>
        </w:rPr>
        <w:t>Given that UPI captures 27.8% of checkout volume and commands the highest average basket (₹315.40 vs. E-wallets ₹258.82), the supermarket should prioritize digital UPI checkout lanes. Introducing point-of-sale instant discounts for UPI transactions above ₹300 can capitalize on this already strong consumer propensity.</w:t>
      </w:r>
    </w:p>
    <w:p>
      <w:pPr>
        <w:spacing w:after="120" w:line="276" w:lineRule="auto"/>
      </w:pPr>
      <w:r>
        <w:rPr>
          <w:rFonts w:ascii="Segoe UI" w:hAnsi="Segoe UI"/>
          <w:b/>
          <w:color w:val="161616"/>
          <w:sz w:val="20"/>
        </w:rPr>
        <w:t xml:space="preserve">3. Dual-Track Merchandising (Volume Anchors vs. High-Margin SKUs): </w:t>
      </w:r>
      <w:r>
        <w:rPr>
          <w:rFonts w:ascii="Segoe UI" w:hAnsi="Segoe UI"/>
          <w:color w:val="282828"/>
          <w:sz w:val="20"/>
        </w:rPr>
        <w:t>Management must adopt a dual merchandising strategy: (a) Protect supply chain reliability and promotional pricing on high-volume anchor staples (Rice #1 revenue and Milk #1 volume); (b) Cross-merchandise high-volume low-cost items (Snacks, 228 units) directly alongside high-margin low-velocity products (Cheese, Coffee) to elevate overall basket margins.</w:t>
      </w:r>
    </w:p>
    <w:p>
      <w:pPr>
        <w:spacing w:after="120" w:line="276" w:lineRule="auto"/>
      </w:pPr>
      <w:r>
        <w:rPr>
          <w:rFonts w:ascii="Segoe UI" w:hAnsi="Segoe UI"/>
          <w:b/>
          <w:color w:val="161616"/>
          <w:sz w:val="20"/>
        </w:rPr>
        <w:t xml:space="preserve">4. Institutionalize Branch C Merchandising Best Practices: </w:t>
      </w:r>
      <w:r>
        <w:rPr>
          <w:rFonts w:ascii="Segoe UI" w:hAnsi="Segoe UI"/>
          <w:color w:val="282828"/>
          <w:sz w:val="20"/>
        </w:rPr>
        <w:t>Branch C (Mumbai) generates ₹54,494 with an average basket of ₹297.78, outperforming Branch A by ₹21.55 per basket. Operational audits of Branch C's floor layout, bundle placements, and staff cross-selling techniques should be conducted to establish best-practice guidelines for Branches A and B.</w:t>
      </w:r>
    </w:p>
    <w:p>
      <w:pPr>
        <w:spacing w:after="120" w:line="276" w:lineRule="auto"/>
      </w:pPr>
      <w:r>
        <w:rPr>
          <w:rFonts w:ascii="Segoe UI" w:hAnsi="Segoe UI"/>
          <w:b/>
          <w:color w:val="161616"/>
          <w:sz w:val="20"/>
        </w:rPr>
        <w:t xml:space="preserve">5. Rationalize and Re-bundle Underperforming SKUs: </w:t>
      </w:r>
      <w:r>
        <w:rPr>
          <w:rFonts w:ascii="Segoe UI" w:hAnsi="Segoe UI"/>
          <w:color w:val="282828"/>
          <w:sz w:val="20"/>
        </w:rPr>
        <w:t>Soap generates only ₹5,960.95 (4.18% of revenue) and moves only 108 units (#9 in volume). Management should renegotiate supplier wholesale pricing, replace slow-moving Soap SKUs with high-demand organic/herbal variants, or bundle Soap with high-performing Shampoo to lift personal care turnover.</w:t>
      </w:r>
    </w:p>
    <w:p>
      <w:pPr>
        <w:spacing w:before="320" w:after="120"/>
      </w:pPr>
      <w:r>
        <w:rPr>
          <w:rFonts w:ascii="Segoe UI" w:hAnsi="Segoe UI"/>
          <w:b/>
          <w:color w:val="0F62FE"/>
          <w:sz w:val="30"/>
        </w:rPr>
        <w:t>6. Limitations</w:t>
      </w:r>
    </w:p>
    <w:p>
      <w:pPr>
        <w:spacing w:after="120" w:line="276" w:lineRule="auto"/>
      </w:pPr>
      <w:r>
        <w:rPr>
          <w:rFonts w:ascii="Segoe UI" w:hAnsi="Segoe UI"/>
          <w:color w:val="282828"/>
          <w:sz w:val="20"/>
        </w:rPr>
        <w:t>While this analysis provides actionable insights, several structural constraints must be recognized:</w:t>
      </w:r>
    </w:p>
    <w:p>
      <w:pPr>
        <w:spacing w:after="120" w:line="276" w:lineRule="auto"/>
      </w:pPr>
      <w:r>
        <w:rPr>
          <w:rFonts w:ascii="Segoe UI" w:hAnsi="Segoe UI"/>
          <w:b/>
          <w:color w:val="161616"/>
          <w:sz w:val="20"/>
        </w:rPr>
        <w:t xml:space="preserve">• Synthetic Dataset Nature: </w:t>
      </w:r>
      <w:r>
        <w:rPr>
          <w:rFonts w:ascii="Segoe UI" w:hAnsi="Segoe UI"/>
          <w:color w:val="282828"/>
          <w:sz w:val="20"/>
        </w:rPr>
        <w:t>The dataset is an artificially generated sample of 500 transactions created for data analytics instruction. The patterns observed reflect the generative distribution of the sample rather than empirical retail market realities.</w:t>
      </w:r>
    </w:p>
    <w:p>
      <w:pPr>
        <w:spacing w:after="120" w:line="276" w:lineRule="auto"/>
      </w:pPr>
      <w:r>
        <w:rPr>
          <w:rFonts w:ascii="Segoe UI" w:hAnsi="Segoe UI"/>
          <w:b/>
          <w:color w:val="161616"/>
          <w:sz w:val="20"/>
        </w:rPr>
        <w:t xml:space="preserve">• Absence of Date / Time Dimensions: </w:t>
      </w:r>
      <w:r>
        <w:rPr>
          <w:rFonts w:ascii="Segoe UI" w:hAnsi="Segoe UI"/>
          <w:color w:val="282828"/>
          <w:sz w:val="20"/>
        </w:rPr>
        <w:t>The complete absence of a timestamp or date attribute prevents time-series forecasting, seasonality assessment, month-over-month sales trends, and hourly rush-hour staffing analysis.</w:t>
      </w:r>
    </w:p>
    <w:p>
      <w:pPr>
        <w:spacing w:after="120" w:line="276" w:lineRule="auto"/>
      </w:pPr>
      <w:r>
        <w:rPr>
          <w:rFonts w:ascii="Segoe UI" w:hAnsi="Segoe UI"/>
          <w:b/>
          <w:color w:val="161616"/>
          <w:sz w:val="20"/>
        </w:rPr>
        <w:t xml:space="preserve">• Sample Size Boundaries: </w:t>
      </w:r>
      <w:r>
        <w:rPr>
          <w:rFonts w:ascii="Segoe UI" w:hAnsi="Segoe UI"/>
          <w:color w:val="282828"/>
          <w:sz w:val="20"/>
        </w:rPr>
        <w:t>A sample size of 500 rows across 3 stores (averaging ~166 transactions per branch) limits statistical power when conducting multi-way subsegmentation (e.g., Member spend by branch by payment method).</w:t>
      </w:r>
    </w:p>
    <w:p>
      <w:pPr>
        <w:spacing w:after="120" w:line="276" w:lineRule="auto"/>
      </w:pPr>
      <w:r>
        <w:rPr>
          <w:rFonts w:ascii="Segoe UI" w:hAnsi="Segoe UI"/>
          <w:b/>
          <w:color w:val="161616"/>
          <w:sz w:val="20"/>
        </w:rPr>
        <w:t xml:space="preserve">• Lack of Cost &amp; Margin Information: </w:t>
      </w:r>
      <w:r>
        <w:rPr>
          <w:rFonts w:ascii="Segoe UI" w:hAnsi="Segoe UI"/>
          <w:color w:val="282828"/>
          <w:sz w:val="20"/>
        </w:rPr>
        <w:t>The dataset records gross selling price and quantity, but lacks Wholesale Cost of Goods Sold (COGS). Consequently, true gross profit margins cannot be calculated.</w:t>
      </w:r>
    </w:p>
    <w:p>
      <w:pPr>
        <w:spacing w:after="120" w:line="276" w:lineRule="auto"/>
      </w:pPr>
      <w:r>
        <w:rPr>
          <w:rFonts w:ascii="Segoe UI" w:hAnsi="Segoe UI"/>
          <w:b/>
          <w:color w:val="161616"/>
          <w:sz w:val="20"/>
        </w:rPr>
        <w:t xml:space="preserve">• Absence of Customer Demographics: </w:t>
      </w:r>
      <w:r>
        <w:rPr>
          <w:rFonts w:ascii="Segoe UI" w:hAnsi="Segoe UI"/>
          <w:color w:val="282828"/>
          <w:sz w:val="20"/>
        </w:rPr>
        <w:t>No demographic details (customer age, household income, family size) or basket market-basket co-purchase linkages are available.</w:t>
      </w:r>
    </w:p>
    <w:p>
      <w:pPr>
        <w:spacing w:before="320" w:after="120"/>
      </w:pPr>
      <w:r>
        <w:rPr>
          <w:rFonts w:ascii="Segoe UI" w:hAnsi="Segoe UI"/>
          <w:b/>
          <w:color w:val="0F62FE"/>
          <w:sz w:val="30"/>
        </w:rPr>
        <w:t>7. Conclusion</w:t>
      </w:r>
    </w:p>
    <w:p>
      <w:pPr>
        <w:spacing w:after="120" w:line="276" w:lineRule="auto"/>
      </w:pPr>
      <w:r>
        <w:rPr>
          <w:rFonts w:ascii="Segoe UI" w:hAnsi="Segoe UI"/>
          <w:color w:val="282828"/>
          <w:sz w:val="20"/>
        </w:rPr>
        <w:t>This analytical study successfully fulfilled all objectives of the IBM Data Analytics project. Through rigorous data cleaning, mathematical verification, and exploratory analysis, key operational realities of the supermarket were illuminated: Rice and Beverages represent the store's primary financial pillars; Branch C in Mumbai leads across footfall and basket value; and UPI has emerged as the premier payment channel in both transaction volume and spending depth.</w:t>
      </w:r>
    </w:p>
    <w:p>
      <w:pPr>
        <w:spacing w:after="120" w:line="276" w:lineRule="auto"/>
      </w:pPr>
      <w:r>
        <w:rPr>
          <w:rFonts w:ascii="Segoe UI" w:hAnsi="Segoe UI"/>
          <w:color w:val="282828"/>
          <w:sz w:val="20"/>
        </w:rPr>
        <w:t>Crucially, inferential hypothesis testing provided an essential business reality check: the supermarket's loyalty membership program currently fails to deliver statistically significant basket expansion (p=0.405). By implementing the strategic recommendations detailed in this report—namely restructuring loyalty incentives, pairing high-volume staples with high-margin items, and expanding UPI checkout infrastructure—supermarket management can transform baseline transactional records into a sustainable competitive advantage.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787878"/>
        <w:sz w:val="17"/>
      </w:rPr>
      <w:t>Supermarket Sales Analysis | IBM Applied Data Analytics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