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Feature Specification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Learn Section</w:t>
      </w:r>
    </w:p>
    <w:p>
      <w:pPr>
        <w:shd w:fill="F5F5F5" w:val="clear"/>
        <w:spacing w:after="4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Wissen vermitteln, ohne zu belehren. Begleiten, ohne zu stören.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| Januar 2026 | Status: Draft</w:t>
      </w:r>
    </w:p>
    <w:p>
      <w:pPr>
        <w:pStyle w:val="Heading1"/>
      </w:pPr>
      <w:r>
        <w:t xml:space="preserve">Übersicht</w:t>
      </w:r>
    </w:p>
    <w:p>
      <w:pPr>
        <w:spacing w:after="200"/>
      </w:pPr>
      <w:r>
        <w:t xml:space="preserve">Die Learn Section ist Particle’s Weg, Menschen zu helfen, ihre Fokusarbeit zu verstehen – ohne die Philosophie zu brechen.</w:t>
      </w:r>
    </w:p>
    <w:p>
      <w:pPr>
        <w:shd w:fill="F5F5F5" w:val="clear"/>
        <w:spacing w:after="200"/>
      </w:pPr>
      <w:r>
        <w:rPr>
          <w:b/>
          <w:bCs/>
        </w:rPr>
        <w:t xml:space="preserve">Keine Tutorials. Keine Pop-ups. Keine Belehrung.</w:t>
      </w:r>
    </w:p>
    <w:p>
      <w:pPr>
        <w:spacing w:after="300"/>
      </w:pPr>
      <w:r>
        <w:t xml:space="preserve">Stattdessen: Ein ruhiger Raum, der da ist, wenn du ihn brauchst.</w:t>
      </w:r>
    </w:p>
    <w:p>
      <w:pPr>
        <w:pStyle w:val="Heading1"/>
      </w:pPr>
      <w:r>
        <w:t xml:space="preserve">Philosophie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Wir sind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Wir sind nicht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Ein weiser Begleiter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Ein übereifriger Coach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Verfügbar, wenn gefragt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Aufdringlich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Poetisch, kurz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Dokumentation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Tiefgründig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Oberflächlich</w:t>
            </w:r>
          </w:p>
        </w:tc>
      </w:tr>
    </w:tbl>
    <w:p>
      <w:pPr>
        <w:pStyle w:val="Heading2"/>
        <w:spacing w:before="300"/>
      </w:pPr>
      <w:r>
        <w:t xml:space="preserve">Die Prüffrage</w:t>
      </w:r>
    </w:p>
    <w:p>
      <w:pPr>
        <w:shd w:fill="F5F5F5" w:val="clear"/>
        <w:spacing w:after="300"/>
      </w:pPr>
      <w:r>
        <w:rPr>
          <w:i/>
          <w:iCs/>
        </w:rPr>
        <w:t xml:space="preserve">„Würde ein einzelner weißer Punkt auf schwarzem Grund stolz sein, Teil davon zu sein?“</w:t>
      </w:r>
    </w:p>
    <w:p>
      <w:r>
        <w:br w:type="page"/>
      </w:r>
    </w:p>
    <w:p>
      <w:pPr>
        <w:pStyle w:val="Heading1"/>
      </w:pPr>
      <w:r>
        <w:t xml:space="preserve">Positionierung in der 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Position: </w:t>
      </w:r>
      <w:r>
        <w:t xml:space="preserve">Unten rechts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Icons: </w:t>
      </w:r>
      <w:r>
        <w:t xml:space="preserve">? (Learn) und ⚙ (Settings)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Shortcut: </w:t>
      </w:r>
      <w:r>
        <w:t xml:space="preserve">? öffnet Learn, ⌘, öffnet Settings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Panel-Breite: </w:t>
      </w:r>
      <w:r>
        <w:t xml:space="preserve">400px (Fullscreen auf Mobile)</w:t>
      </w:r>
    </w:p>
    <w:p>
      <w:pPr>
        <w:pStyle w:val="Heading1"/>
      </w:pPr>
      <w:r>
        <w:t xml:space="preserve">Die drei Rhythmen – Hauptinhalt</w:t>
      </w:r>
    </w:p>
    <w:p>
      <w:pPr>
        <w:spacing w:after="200"/>
      </w:pPr>
      <w:r>
        <w:t xml:space="preserve">Der zentrale Inhalt der Learn Section erklärt die drei Fokus-Rhythmen im Particle-Voice:</w:t>
      </w:r>
    </w:p>
    <w:p>
      <w:pPr>
        <w:pStyle w:val="Heading2"/>
      </w:pPr>
      <w:r>
        <w:t xml:space="preserve">Classic · 25 Minuten</w:t>
      </w:r>
    </w:p>
    <w:p>
      <w:pPr>
        <w:shd w:fill="F5F5F5" w:val="clear"/>
        <w:spacing w:after="100"/>
      </w:pPr>
      <w:r>
        <w:rPr>
          <w:i/>
          <w:iCs/>
        </w:rPr>
        <w:t xml:space="preserve">Der Ursprung. Francesco Cirillo nannte es „Pomodoro“ – nach seiner Küchenuhr.</w:t>
      </w:r>
    </w:p>
    <w:p>
      <w:pPr>
        <w:shd w:fill="F5F5F5" w:val="clear"/>
        <w:spacing w:after="100"/>
      </w:pPr>
      <w:r>
        <w:rPr>
          <w:i/>
          <w:iCs/>
        </w:rPr>
        <w:t xml:space="preserve">Kurze Sprints. Häufige Pausen. Perfekt, wenn du anfängst – oder wenn der innere Widerstand groß ist.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Zielgruppe: </w:t>
      </w:r>
      <w:r>
        <w:t xml:space="preserve">Studenten, Einsteiger, bei Prokrastination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Button: </w:t>
      </w:r>
      <w:r>
        <w:t xml:space="preserve">„Ausprobieren“</w:t>
      </w:r>
    </w:p>
    <w:p>
      <w:pPr>
        <w:pStyle w:val="Heading2"/>
      </w:pPr>
      <w:r>
        <w:t xml:space="preserve">Deep Work · 52 Minuten</w:t>
      </w:r>
    </w:p>
    <w:p>
      <w:pPr>
        <w:shd w:fill="F5F5F5" w:val="clear"/>
        <w:spacing w:after="100"/>
      </w:pPr>
      <w:r>
        <w:rPr>
          <w:i/>
          <w:iCs/>
        </w:rPr>
        <w:t xml:space="preserve">Die DeskTime-Studie fand heraus: Die produktivsten 10% arbeiten 52 Minuten, dann 17 Minuten Pause.</w:t>
      </w:r>
    </w:p>
    <w:p>
      <w:pPr>
        <w:shd w:fill="F5F5F5" w:val="clear"/>
        <w:spacing w:after="100"/>
      </w:pPr>
      <w:r>
        <w:rPr>
          <w:i/>
          <w:iCs/>
        </w:rPr>
        <w:t xml:space="preserve">Längere Fokuszeit. Tiefere Arbeit. Für Projektarbeit und konzentriertes Denken.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Zielgruppe: </w:t>
      </w:r>
      <w:r>
        <w:t xml:space="preserve">Remote Workers, Freelancer, Knowledge Workers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Button: </w:t>
      </w:r>
      <w:r>
        <w:t xml:space="preserve">„Ausprobieren“</w:t>
      </w:r>
    </w:p>
    <w:p>
      <w:pPr>
        <w:pStyle w:val="Heading2"/>
      </w:pPr>
      <w:r>
        <w:t xml:space="preserve">Ultradian · 90 Minuten</w:t>
      </w:r>
    </w:p>
    <w:p>
      <w:pPr>
        <w:shd w:fill="F5F5F5" w:val="clear"/>
        <w:spacing w:after="100"/>
      </w:pPr>
      <w:r>
        <w:rPr>
          <w:i/>
          <w:iCs/>
        </w:rPr>
        <w:t xml:space="preserve">Dein Körper folgt einem 90-Minuten-Rhythmus. Nathaniel Kleitman entdeckte ihn in den 1950ern.</w:t>
      </w:r>
    </w:p>
    <w:p>
      <w:pPr>
        <w:shd w:fill="F5F5F5" w:val="clear"/>
        <w:spacing w:after="100"/>
      </w:pPr>
      <w:r>
        <w:rPr>
          <w:i/>
          <w:iCs/>
        </w:rPr>
        <w:t xml:space="preserve">Für Flow-States. Für Arbeit, die dich vergessen lässt, dass Zeit vergeht.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Zielgruppe: </w:t>
      </w:r>
      <w:r>
        <w:t xml:space="preserve">Entwickler, Designer, Autoren, Power-User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Button: </w:t>
      </w:r>
      <w:r>
        <w:t xml:space="preserve">„Ausprobieren“ / „Bereits aktiv“</w:t>
      </w:r>
    </w:p>
    <w:p>
      <w:r>
        <w:br w:type="page"/>
      </w:r>
    </w:p>
    <w:p>
      <w:pPr>
        <w:pStyle w:val="Heading1"/>
      </w:pPr>
      <w:r>
        <w:t xml:space="preserve">Contextual Hints</w:t>
      </w:r>
    </w:p>
    <w:p>
      <w:pPr>
        <w:spacing w:after="200"/>
      </w:pPr>
      <w:r>
        <w:t xml:space="preserve">Manchmal weiß Particle, wann ein Hinweis helfen könnte. Aber: </w:t>
      </w:r>
      <w:r>
        <w:rPr>
          <w:b/>
          <w:bCs/>
        </w:rPr>
        <w:t xml:space="preserve">Maximal 1x pro Woche. Immer dismissable.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Hinweis</w:t>
            </w:r>
          </w:p>
        </w:tc>
      </w:tr>
      <w:tr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Nutzer arbeitet über 25 Min hinaus (3x)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„Du warst im Flow. Vielleicht passt der 90-Minuten-Rhythmus zu dir?“</w:t>
            </w:r>
          </w:p>
        </w:tc>
      </w:tr>
      <w:tr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Nutzer bricht vor 25 Min ab (3x)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„Manchmal sind kürzere Einheiten besser. Classic startet mit 25 Minuten.“</w:t>
            </w:r>
          </w:p>
        </w:tc>
      </w:tr>
      <w:tr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Erste Woche vorbei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„Eine Woche Partikel. Möchtest du verstehen, welcher Rhythmus zu dir passt?“</w:t>
            </w:r>
          </w:p>
        </w:tc>
      </w:tr>
      <w:tr>
        <w:tc>
          <w:tcPr>
            <w:tcW w:type="dxa" w:w="4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Nutzer hat noch nie gewechselt</w:t>
            </w:r>
          </w:p>
        </w:tc>
        <w:tc>
          <w:tcPr>
            <w:tcW w:type="dxa" w:w="5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„Es gibt drei Rhythmen. Jeder hat seinen Zweck.“</w:t>
            </w:r>
          </w:p>
        </w:tc>
      </w:tr>
    </w:tbl>
    <w:p>
      <w:pPr>
        <w:pStyle w:val="Heading2"/>
        <w:spacing w:before="300"/>
      </w:pPr>
      <w:r>
        <w:t xml:space="preserve">Regeln für Hints</w:t>
      </w:r>
    </w:p>
    <w:p>
      <w:pPr>
        <w:pStyle w:val="ListParagraph"/>
        <w:numPr>
          <w:ilvl w:val="0"/>
          <w:numId w:val="2"/>
        </w:numPr>
      </w:pPr>
      <w:r>
        <w:t xml:space="preserve">Maximal 1 Hint pro Woche</w:t>
      </w:r>
    </w:p>
    <w:p>
      <w:pPr>
        <w:pStyle w:val="ListParagraph"/>
        <w:numPr>
          <w:ilvl w:val="0"/>
          <w:numId w:val="2"/>
        </w:numPr>
      </w:pPr>
      <w:r>
        <w:t xml:space="preserve">Nie während einer Session</w:t>
      </w:r>
    </w:p>
    <w:p>
      <w:pPr>
        <w:pStyle w:val="ListParagraph"/>
        <w:numPr>
          <w:ilvl w:val="0"/>
          <w:numId w:val="2"/>
        </w:numPr>
      </w:pPr>
      <w:r>
        <w:t xml:space="preserve">Immer per Esc oder Space schließbar</w:t>
      </w:r>
    </w:p>
    <w:p>
      <w:pPr>
        <w:pStyle w:val="ListParagraph"/>
        <w:numPr>
          <w:ilvl w:val="0"/>
          <w:numId w:val="2"/>
        </w:numPr>
      </w:pPr>
      <w:r>
        <w:t xml:space="preserve">Kein Tracking, ob Hint geklickt wurde (Privacy)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Keine Schuld, keine Dringlichkeit</w:t>
      </w:r>
    </w:p>
    <w:p>
      <w:pPr>
        <w:pStyle w:val="Heading1"/>
      </w:pPr>
      <w:r>
        <w:t xml:space="preserve">Onboarding (einmalig)</w:t>
      </w:r>
    </w:p>
    <w:p>
      <w:pPr>
        <w:spacing w:after="200"/>
      </w:pPr>
      <w:r>
        <w:t xml:space="preserve">Beim allerersten Start – nach dem Partikel-Intro – eine einzige Frage:</w:t>
      </w:r>
    </w:p>
    <w:p>
      <w:pPr>
        <w:shd w:fill="F5F5F5" w:val="clear"/>
        <w:spacing w:after="200"/>
        <w:jc w:val="center"/>
      </w:pPr>
      <w:r>
        <w:rPr>
          <w:b/>
          <w:bCs/>
          <w:sz w:val="28"/>
          <w:szCs w:val="28"/>
        </w:rPr>
        <w:t xml:space="preserve">„Wie arbeitest du am liebsten?“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Auswahl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Default-Rhythmus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Nachricht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Kurze Sprints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Classic (25)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„Classic ist ein guter Anfang. Du kannst jederzeit wechseln.“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Längere Blöcke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Deep Work (52)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„Deep Work für konzentrierte Arbeit. Du kannst jederzeit wechseln.“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Nicht sicher</w:t>
            </w:r>
          </w:p>
        </w:tc>
        <w:tc>
          <w:tcPr>
            <w:tcW w:type="dxa" w:w="2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Classic (25)</w:t>
            </w:r>
          </w:p>
        </w:tc>
        <w:tc>
          <w:tcPr>
            <w:tcW w:type="dxa" w:w="3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„Wir starten mit Classic. Entdecke deinen Rhythmus, Partikel für Partikel.“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Keyboard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Aktion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?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Öffnet/Schließt Learn Section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Esc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Schließt Learn Section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Wechselt zu Classic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Wechselt zu Deep Work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Wechselt zu Ultradian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←</w:t>
            </w:r>
          </w:p>
        </w:tc>
        <w:tc>
          <w:tcPr>
            <w:tcW w:type="dxa" w:w="6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Zurück (in Learn Section)</w:t>
            </w:r>
          </w:p>
        </w:tc>
      </w:tr>
    </w:tbl>
    <w:p>
      <w:pPr>
        <w:pStyle w:val="Heading1"/>
        <w:spacing w:before="400"/>
      </w:pPr>
      <w:r>
        <w:t xml:space="preserve">Zusammenfassung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Aspekt</w:t>
            </w:r>
          </w:p>
        </w:tc>
        <w:tc>
          <w:tcPr>
            <w:tcW w:type="dxa" w:w="5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Entscheidung</w:t>
            </w:r>
          </w:p>
        </w:tc>
      </w:tr>
      <w:tr>
        <w:tc>
          <w:tcPr>
            <w:tcW w:type="dxa" w:w="3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Position</w:t>
            </w:r>
          </w:p>
        </w:tc>
        <w:tc>
          <w:tcPr>
            <w:tcW w:type="dxa" w:w="5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Unten rechts, neben Settings</w:t>
            </w:r>
          </w:p>
        </w:tc>
      </w:tr>
      <w:tr>
        <w:tc>
          <w:tcPr>
            <w:tcW w:type="dxa" w:w="3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Shortcut</w:t>
            </w:r>
          </w:p>
        </w:tc>
        <w:tc>
          <w:tcPr>
            <w:tcW w:type="dxa" w:w="5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?</w:t>
            </w:r>
          </w:p>
        </w:tc>
      </w:tr>
      <w:tr>
        <w:tc>
          <w:tcPr>
            <w:tcW w:type="dxa" w:w="3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Onboarding</w:t>
            </w:r>
          </w:p>
        </w:tc>
        <w:tc>
          <w:tcPr>
            <w:tcW w:type="dxa" w:w="5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Einmalige, simple Frage</w:t>
            </w:r>
          </w:p>
        </w:tc>
      </w:tr>
      <w:tr>
        <w:tc>
          <w:tcPr>
            <w:tcW w:type="dxa" w:w="3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Hints</w:t>
            </w:r>
          </w:p>
        </w:tc>
        <w:tc>
          <w:tcPr>
            <w:tcW w:type="dxa" w:w="5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Max. 1x/Woche, nie während Session</w:t>
            </w:r>
          </w:p>
        </w:tc>
      </w:tr>
      <w:tr>
        <w:tc>
          <w:tcPr>
            <w:tcW w:type="dxa" w:w="3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Voice</w:t>
            </w:r>
          </w:p>
        </w:tc>
        <w:tc>
          <w:tcPr>
            <w:tcW w:type="dxa" w:w="5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Poetisch, kurz, keine Belehrung</w:t>
            </w:r>
          </w:p>
        </w:tc>
      </w:tr>
      <w:tr>
        <w:tc>
          <w:tcPr>
            <w:tcW w:type="dxa" w:w="35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Metriken</w:t>
            </w:r>
          </w:p>
        </w:tc>
        <w:tc>
          <w:tcPr>
            <w:tcW w:type="dxa" w:w="58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Aggregiert, anonym, minimal</w:t>
            </w:r>
          </w:p>
        </w:tc>
      </w:tr>
    </w:tbl>
    <w:p>
      <w:pPr>
        <w:shd w:fill="1C1917" w:val="clear"/>
        <w:spacing w:before="400"/>
        <w:jc w:val="center"/>
      </w:pPr>
      <w:r>
        <w:rPr>
          <w:i/>
          <w:iCs/>
          <w:color w:val="FFFFFF"/>
        </w:rPr>
        <w:t xml:space="preserve">Particle – Where focus becomes visible.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2026-01-27T21:58:31.651Z</dcterms:created>
  <dcterms:modified xsi:type="dcterms:W3CDTF">2026-01-27T21:58:31.651Z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