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864"/>
          <w:sz w:val="40"/>
          <w:szCs w:val="40"/>
        </w:rPr>
        <w:t xml:space="preserve">Vikingarna och det första Kievriket</w:t>
      </w:r>
    </w:p>
    <w:p>
      <w:pPr>
        <w:spacing w:after="40"/>
      </w:pPr>
      <w:r>
        <w:rPr>
          <w:i/>
          <w:iCs/>
          <w:color w:val="44546A"/>
          <w:sz w:val="24"/>
          <w:szCs w:val="24"/>
        </w:rPr>
        <w:t xml:space="preserve">En källkritisk och forskningsbaserad komplettering</w:t>
      </w:r>
    </w:p>
    <w:p>
      <w:pPr>
        <w:spacing w:after="240"/>
      </w:pPr>
      <w:r>
        <w:rPr>
          <w:color w:val="808080"/>
          <w:sz w:val="20"/>
          <w:szCs w:val="20"/>
        </w:rPr>
        <w:t xml:space="preserve">Underlag för avsnittet ”Ryssland och deras första härskare härstammar från svenska vikingar”. Sammanställt med primärkällor, arkeologi, lingvistik och paleogenomik.</w:t>
      </w:r>
    </w:p>
    <w:p>
      <w:pPr>
        <w:pBdr>
          <w:bottom w:val="single" w:color="999999" w:sz="6" w:space="1"/>
        </w:pBdr>
        <w:spacing w:after="120" w:before="120"/>
      </w:pPr>
      <w:r>
        <w:t xml:space="preserve"/>
      </w:r>
    </w:p>
    <w:p>
      <w:pPr>
        <w:spacing w:after="140" w:line="276"/>
        <w:jc w:val="both"/>
      </w:pPr>
      <w:r>
        <w:rPr>
          <w:b/>
          <w:bCs/>
        </w:rPr>
        <w:t xml:space="preserve">Syfte. </w:t>
      </w:r>
      <w:r>
        <w:t xml:space="preserve">Detta avsnitt fördjupar och kvalitetssäkrar det befintliga stycket om rusernas skandinaviska ursprung. Målet är vetenskaplig höjd: att skilja på vad källorna faktiskt säger, vad arkeologin visar, och var forskningen är oenig. Jag har medvetet undvikit att övertolka. Rusernas ursprung är ett av de mest politiserade områdena inom europeisk medeltidsforskning, och just därför kräver det extra källkritisk disciplin.</w:t>
      </w:r>
    </w:p>
    <w:p>
      <w:pPr>
        <w:spacing w:after="140" w:line="276"/>
        <w:jc w:val="both"/>
      </w:pPr>
      <w:r>
        <w:rPr>
          <w:b/>
          <w:bCs/>
        </w:rPr>
        <w:t xml:space="preserve">Huvudtes i modern forskning. </w:t>
      </w:r>
      <w:r>
        <w:t xml:space="preserve">Den absoluta merparten av västerländska och en växande andel ryska och ukrainska forskare menar att den grupp som kallades </w:t>
      </w:r>
      <w:r>
        <w:rPr>
          <w:i/>
          <w:iCs/>
        </w:rPr>
        <w:t xml:space="preserve">rus</w:t>
      </w:r>
      <w:r>
        <w:t xml:space="preserve"> ursprungligen var skandinaver – företrädesvis från östra Sverige och Mälardalen – som från 700-talet och framåt etablerade sig längs de östeuropeiska flodsystemen. Men den moderna forskningen har flyttat sig bort från den gamla ”erövringsmodellen”. Rus var inte en ren etnisk grupp utan en </w:t>
      </w:r>
      <w:r>
        <w:rPr>
          <w:b/>
          <w:bCs/>
        </w:rPr>
        <w:t xml:space="preserve">social och yrkesmässig identitet</w:t>
      </w:r>
      <w:r>
        <w:t xml:space="preserve"> – handelsmän, krigare och flodfarare – som redan från början blandades med slaviska, baltiska och finsk-ugriska befolkningar. Kievriket var resultatet av denna sammansmältning (etnogenes), inte av en enkel skandinavisk ”grundning”.</w:t>
      </w:r>
    </w:p>
    <w:p>
      <w:pPr>
        <w:pStyle w:val="Heading1"/>
        <w:spacing w:after="160" w:before="320"/>
      </w:pPr>
      <w:r>
        <w:rPr>
          <w:b/>
          <w:bCs/>
        </w:rPr>
        <w:t xml:space="preserve">1. De skriftliga primärkällorna</w:t>
      </w:r>
    </w:p>
    <w:p>
      <w:pPr>
        <w:pStyle w:val="Heading2"/>
        <w:spacing w:after="120" w:before="260"/>
      </w:pPr>
      <w:r>
        <w:rPr>
          <w:b/>
          <w:bCs/>
        </w:rPr>
        <w:t xml:space="preserve">1.1 Nestorskrönikan (Tale of Bygone Years / Povest’ vremennych let)</w:t>
      </w:r>
    </w:p>
    <w:p>
      <w:pPr>
        <w:spacing w:after="140" w:line="276"/>
        <w:jc w:val="both"/>
      </w:pPr>
      <w:r>
        <w:t xml:space="preserve">Nestorskrönikan är den centrala inhemska källan, men den måste hanteras varsamt. Den sammanställdes i Kiev omkring </w:t>
      </w:r>
      <w:r>
        <w:rPr>
          <w:b/>
          <w:bCs/>
        </w:rPr>
        <w:t xml:space="preserve">1113</w:t>
      </w:r>
      <w:r>
        <w:t xml:space="preserve"> – alltså cirka 250 år efter de händelser den beskriver – och bygger på äldre, förlorade annalsamlingar. Den innehåller därför en blandning av historiskt minne, dynastisk legitimeringspropaganda och legend. Enligt krönikan inbjöds den varjagiske hövdingen </w:t>
      </w:r>
      <w:r>
        <w:rPr>
          <w:b/>
          <w:bCs/>
        </w:rPr>
        <w:t xml:space="preserve">Rurik</w:t>
      </w:r>
      <w:r>
        <w:t xml:space="preserve"> att härska i Novgorod omkring år </w:t>
      </w:r>
      <w:r>
        <w:rPr>
          <w:b/>
          <w:bCs/>
        </w:rPr>
        <w:t xml:space="preserve">862</w:t>
      </w:r>
      <w:r>
        <w:t xml:space="preserve">, varefter hans efterträdare </w:t>
      </w:r>
      <w:r>
        <w:rPr>
          <w:b/>
          <w:bCs/>
        </w:rPr>
        <w:t xml:space="preserve">Oleg</w:t>
      </w:r>
      <w:r>
        <w:t xml:space="preserve"> (fornnordiska </w:t>
      </w:r>
      <w:r>
        <w:rPr>
          <w:i/>
          <w:iCs/>
        </w:rPr>
        <w:t xml:space="preserve">Helgi</w:t>
      </w:r>
      <w:r>
        <w:t xml:space="preserve">) intog Kiev och flyttade dit maktens centrum. Krönikan är grunden för hela den ”normanistiska” tesen, men eftersom den skrevs långt i efterhand och med tydligt politiskt syfte kan den inte ensam bära bevisbördan.</w:t>
      </w:r>
    </w:p>
    <w:p>
      <w:pPr>
        <w:spacing w:after="140" w:line="276"/>
        <w:jc w:val="both"/>
      </w:pPr>
      <w:r>
        <w:rPr>
          <w:b/>
          <w:bCs/>
        </w:rPr>
        <w:t xml:space="preserve">Viktig terminologisk precisering: </w:t>
      </w:r>
      <w:r>
        <w:t xml:space="preserve">I krönikan betecknar </w:t>
      </w:r>
      <w:r>
        <w:rPr>
          <w:i/>
          <w:iCs/>
        </w:rPr>
        <w:t xml:space="preserve">Rus</w:t>
      </w:r>
      <w:r>
        <w:t xml:space="preserve"> historiskt landet och folket kring </w:t>
      </w:r>
      <w:r>
        <w:rPr>
          <w:b/>
          <w:bCs/>
        </w:rPr>
        <w:t xml:space="preserve">Kiev</w:t>
      </w:r>
      <w:r>
        <w:t xml:space="preserve"> – inte det moderna Ryssland. Begreppet ”Ryssland” (Rossija) för den moskovitiska staten är en betydligt senare, tidigmodern konstruktion (1700-talet). Denna distinktion är central och missbrukas ofta i modern politisk retorik.</w:t>
      </w:r>
    </w:p>
    <w:p>
      <w:pPr>
        <w:pStyle w:val="Heading2"/>
        <w:spacing w:after="120" w:before="260"/>
      </w:pPr>
      <w:r>
        <w:rPr>
          <w:b/>
          <w:bCs/>
        </w:rPr>
        <w:t xml:space="preserve">1.2 Annales Bertiniani (Frankiska Sankt Bertins annaler), 839</w:t>
      </w:r>
    </w:p>
    <w:p>
      <w:pPr>
        <w:spacing w:after="140" w:line="276"/>
        <w:jc w:val="both"/>
      </w:pPr>
      <w:r>
        <w:t xml:space="preserve">Detta är den </w:t>
      </w:r>
      <w:r>
        <w:rPr>
          <w:b/>
          <w:bCs/>
        </w:rPr>
        <w:t xml:space="preserve">äldsta samtida</w:t>
      </w:r>
      <w:r>
        <w:t xml:space="preserve"> skriftliga omnämnandet av rus och ett av de starkaste enskilda beläggen för deras nordiska ursprung. År </w:t>
      </w:r>
      <w:r>
        <w:rPr>
          <w:b/>
          <w:bCs/>
        </w:rPr>
        <w:t xml:space="preserve">839</w:t>
      </w:r>
      <w:r>
        <w:t xml:space="preserve"> anlände sändebud vid kejsar Ludvig den frommes hov i Ingelheim. De uppgav sig tillhöra ett folk kallat </w:t>
      </w:r>
      <w:r>
        <w:rPr>
          <w:i/>
          <w:iCs/>
        </w:rPr>
        <w:t xml:space="preserve">Rhos</w:t>
      </w:r>
      <w:r>
        <w:t xml:space="preserve">, men vid närmare granskning visade det sig att de var </w:t>
      </w:r>
      <w:r>
        <w:rPr>
          <w:b/>
          <w:bCs/>
        </w:rPr>
        <w:t xml:space="preserve">svear</w:t>
      </w:r>
      <w:r>
        <w:t xml:space="preserve"> (</w:t>
      </w:r>
      <w:r>
        <w:rPr>
          <w:i/>
          <w:iCs/>
        </w:rPr>
        <w:t xml:space="preserve">gens Sueonum</w:t>
      </w:r>
      <w:r>
        <w:t xml:space="preserve">). Att en oberoende frankisk samtidskälla identifierar rus-sändebud som svenskar, långt innan Nestorskrönikan skrevs, är avgörande. Det innebär att en skandinavisk </w:t>
      </w:r>
      <w:r>
        <w:rPr>
          <w:i/>
          <w:iCs/>
        </w:rPr>
        <w:t xml:space="preserve">rus</w:t>
      </w:r>
      <w:r>
        <w:t xml:space="preserve">-identitet existerade redan cirka två decennier före Ruriks traditionella ankomst 862.</w:t>
      </w:r>
    </w:p>
    <w:p>
      <w:pPr>
        <w:pStyle w:val="Heading2"/>
        <w:spacing w:after="120" w:before="260"/>
      </w:pPr>
      <w:r>
        <w:rPr>
          <w:b/>
          <w:bCs/>
        </w:rPr>
        <w:t xml:space="preserve">1.3 Bysantinska källor – Konstantin VII Porfyrogennetos, De administrando imperio (ca 950)</w:t>
      </w:r>
    </w:p>
    <w:p>
      <w:pPr>
        <w:spacing w:after="140" w:line="276"/>
        <w:jc w:val="both"/>
      </w:pPr>
      <w:r>
        <w:t xml:space="preserve">Kejsar Konstantin VII:s statsmannaskrift, sammanställd i Konstantinopel omkring </w:t>
      </w:r>
      <w:r>
        <w:rPr>
          <w:b/>
          <w:bCs/>
        </w:rPr>
        <w:t xml:space="preserve">948–952</w:t>
      </w:r>
      <w:r>
        <w:t xml:space="preserve">, innehåller ett av de mest slagkraftiga bevisen av alla. I kapitel 9 beskrivs rusernas årliga flodfärder nedför Dnepr till Bysans, och – avgörande – kejsaren återger namnen på Dneprs sju forsar på </w:t>
      </w:r>
      <w:r>
        <w:rPr>
          <w:b/>
          <w:bCs/>
        </w:rPr>
        <w:t xml:space="preserve">två språk</w:t>
      </w:r>
      <w:r>
        <w:t xml:space="preserve">: ett ”slaviskt” (</w:t>
      </w:r>
      <w:r>
        <w:rPr>
          <w:i/>
          <w:iCs/>
        </w:rPr>
        <w:t xml:space="preserve">sklavenisti</w:t>
      </w:r>
      <w:r>
        <w:t xml:space="preserve">) och ett ”rusiskt” (</w:t>
      </w:r>
      <w:r>
        <w:rPr>
          <w:i/>
          <w:iCs/>
        </w:rPr>
        <w:t xml:space="preserve">rosisti</w:t>
      </w:r>
      <w:r>
        <w:t xml:space="preserve">). De ”rusiska” namnen är genomgående </w:t>
      </w:r>
      <w:r>
        <w:rPr>
          <w:b/>
          <w:bCs/>
        </w:rPr>
        <w:t xml:space="preserve">fornnordiska</w:t>
      </w:r>
      <w:r>
        <w:t xml:space="preserve">, medan de ”slaviska” är just slaviska. Exempelvis motsvarar det rusiska namnet för en av forsarna fornnordiskans ord för ”sovande” respektive ”vattenfall/brusande”.</w:t>
      </w:r>
    </w:p>
    <w:p>
      <w:pPr>
        <w:spacing w:after="140" w:line="276"/>
        <w:jc w:val="both"/>
      </w:pPr>
      <w:r>
        <w:t xml:space="preserve">Detta är ett </w:t>
      </w:r>
      <w:r>
        <w:rPr>
          <w:b/>
          <w:bCs/>
        </w:rPr>
        <w:t xml:space="preserve">oberoende, samtida vittnesbörd</w:t>
      </w:r>
      <w:r>
        <w:t xml:space="preserve"> som visar att rusernas elit på 900-talet talade ett nordiskt språk skilt från de slaviska undersåtarnas. Att en bysantinsk kejsare explicit skiljer på ”rusiska” (nordiska) och ”slaviska” namn är ett av de svåraste argumenten för anti-normanister att förklara bort. (De exakta etymologierna för enskilda forsnamn debatteras fortfarande av lingvister, men den grundläggande nordisk/slaviska tvåspråkigheten är inte omtvistad.)</w:t>
      </w:r>
    </w:p>
    <w:p>
      <w:pPr>
        <w:pStyle w:val="Heading2"/>
        <w:spacing w:after="120" w:before="260"/>
      </w:pPr>
      <w:r>
        <w:rPr>
          <w:b/>
          <w:bCs/>
        </w:rPr>
        <w:t xml:space="preserve">1.4 Arabiska källor – Ibn Fadlan (922) och Ibn Rustah (ca 900–910)</w:t>
      </w:r>
    </w:p>
    <w:p>
      <w:pPr>
        <w:spacing w:after="140" w:line="276"/>
        <w:jc w:val="both"/>
      </w:pPr>
      <w:r>
        <w:t xml:space="preserve">De arabiska geograferna och resenärerna ger ett tredje, oberoende källspår. </w:t>
      </w:r>
      <w:r>
        <w:rPr>
          <w:b/>
          <w:bCs/>
        </w:rPr>
        <w:t xml:space="preserve">Ahmad ibn Fadlan</w:t>
      </w:r>
      <w:r>
        <w:t xml:space="preserve"> mötte år </w:t>
      </w:r>
      <w:r>
        <w:rPr>
          <w:b/>
          <w:bCs/>
        </w:rPr>
        <w:t xml:space="preserve">922</w:t>
      </w:r>
      <w:r>
        <w:t xml:space="preserve"> ett sällskap </w:t>
      </w:r>
      <w:r>
        <w:rPr>
          <w:i/>
          <w:iCs/>
        </w:rPr>
        <w:t xml:space="preserve">rusiyyah</w:t>
      </w:r>
      <w:r>
        <w:t xml:space="preserve"> vid Volga (nära Bulgar) under en abbasidisk beskickning från Bagdad. Hans berömda ögonvittnesskildring av en hövdinges skeppskremering med gravgåvor och offer stämmer väl överens med nordisk gravsed och med det arkeologiska materialet.</w:t>
      </w:r>
    </w:p>
    <w:p>
      <w:pPr>
        <w:spacing w:after="140" w:line="276"/>
        <w:jc w:val="both"/>
      </w:pPr>
      <w:r>
        <w:rPr>
          <w:b/>
          <w:bCs/>
        </w:rPr>
        <w:t xml:space="preserve">Källkritisk nyansering (viktig). </w:t>
      </w:r>
      <w:r>
        <w:t xml:space="preserve">Ibn Fadlan bör inte läsas som en ”ren” beskrivning av skandinaver. Som James E. Montgomerys inflytelserika filologiska studie (2000) visar var de rus han mötte sannolikt redan en </w:t>
      </w:r>
      <w:r>
        <w:rPr>
          <w:b/>
          <w:bCs/>
        </w:rPr>
        <w:t xml:space="preserve">kulturellt blandad grupp</w:t>
      </w:r>
      <w:r>
        <w:t xml:space="preserve"> i den turkisk-slaviska Volgamiljön. Vissa rituella inslag i hans skildring (”Dödens ängel”, den rituella samlagsakten, den nakne facklebäraren) saknar direkt motsvarighet i nordiska källor och kan spegla lokal påverkan. Källan styrker alltså den nordiska kärnan </w:t>
      </w:r>
      <w:r>
        <w:rPr>
          <w:i/>
          <w:iCs/>
        </w:rPr>
        <w:t xml:space="preserve">och</w:t>
      </w:r>
      <w:r>
        <w:t xml:space="preserve"> den tidiga blandningen samtidigt.</w:t>
      </w:r>
    </w:p>
    <w:p>
      <w:pPr>
        <w:spacing w:after="140" w:line="276"/>
        <w:jc w:val="both"/>
      </w:pPr>
      <w:r>
        <w:t xml:space="preserve">Ett återkommande motiv i flera arabiska källor (bl.a. Ibn Rustah) är att rus bodde på ”en ö” och livnärde sig på handel – särskilt slavhandel – samt att de var krigare och köpmän snarare än jordbrukare. Notera dock att arabiska författare ofta använde </w:t>
      </w:r>
      <w:r>
        <w:rPr>
          <w:i/>
          <w:iCs/>
        </w:rPr>
        <w:t xml:space="preserve">ar-rus</w:t>
      </w:r>
      <w:r>
        <w:t xml:space="preserve"> funktionellt (om krigare/handelsmän) snarare än strikt etniskt, vilket manar till försiktighet.</w:t>
      </w:r>
    </w:p>
    <w:p>
      <w:pPr>
        <w:pStyle w:val="Heading1"/>
        <w:spacing w:after="160" w:before="320"/>
      </w:pPr>
      <w:r>
        <w:rPr>
          <w:b/>
          <w:bCs/>
        </w:rPr>
        <w:t xml:space="preserve">2. Det arkeologiska materialet</w:t>
      </w:r>
    </w:p>
    <w:p>
      <w:pPr>
        <w:spacing w:after="140" w:line="276"/>
        <w:jc w:val="both"/>
      </w:pPr>
      <w:r>
        <w:t xml:space="preserve">Där de skriftliga källorna är fragmentariska och politiskt laddade talar arkeologin ett tydligare språk. Den nordiska materiella närvaron i Östeuropa mellan 700- och 1000-talet är, med Wladyslaw Duczkos ord i standardverket </w:t>
      </w:r>
      <w:r>
        <w:rPr>
          <w:i/>
          <w:iCs/>
        </w:rPr>
        <w:t xml:space="preserve">Viking Rus</w:t>
      </w:r>
      <w:r>
        <w:t xml:space="preserve"> (2004), arkeologiskt oomtvistlig. Nyckelfyndplatserna:</w:t>
      </w:r>
    </w:p>
    <w:p>
      <w:pPr>
        <w:pStyle w:val="ListParagraph"/>
        <w:numPr>
          <w:ilvl w:val="0"/>
          <w:numId w:val="1"/>
        </w:numPr>
        <w:spacing w:after="90" w:line="270"/>
      </w:pPr>
      <w:r>
        <w:rPr>
          <w:b/>
          <w:bCs/>
        </w:rPr>
        <w:t xml:space="preserve">Staraja Ladoga (Aldeigjuborg): </w:t>
      </w:r>
      <w:r>
        <w:t xml:space="preserve">Den äldsta noden, grundad av skandinaviska kolonister redan omkring 750-talet. Startpunkten för hela flodsystemet österut.</w:t>
      </w:r>
    </w:p>
    <w:p>
      <w:pPr>
        <w:pStyle w:val="ListParagraph"/>
        <w:numPr>
          <w:ilvl w:val="0"/>
          <w:numId w:val="1"/>
        </w:numPr>
        <w:spacing w:after="90" w:line="270"/>
      </w:pPr>
      <w:r>
        <w:rPr>
          <w:b/>
          <w:bCs/>
        </w:rPr>
        <w:t xml:space="preserve">Gnezdovo (vid Smolensk, övre Dnepr): </w:t>
      </w:r>
      <w:r>
        <w:t xml:space="preserve">En av världens största vikingatida gravhögsmiljöer utanför Skandinavien, med omkring 3 000 gravhögar. Fynd av nordiska svärd, yxor, Torshammare och ovala spännbucklor (kvinnliga dräktspännen) visar att hela familjer – inte bara krigarband – fanns på plats.</w:t>
      </w:r>
    </w:p>
    <w:p>
      <w:pPr>
        <w:pStyle w:val="ListParagraph"/>
        <w:numPr>
          <w:ilvl w:val="0"/>
          <w:numId w:val="1"/>
        </w:numPr>
        <w:spacing w:after="90" w:line="270"/>
      </w:pPr>
      <w:r>
        <w:rPr>
          <w:b/>
          <w:bCs/>
        </w:rPr>
        <w:t xml:space="preserve">Shestovitsa (nära Chernihiv, Ukraina): </w:t>
      </w:r>
      <w:r>
        <w:t xml:space="preserve">Krigargravar med tydligt skandinaviskt inslag, kopplade till Kievs maktsfär.</w:t>
      </w:r>
    </w:p>
    <w:p>
      <w:pPr>
        <w:pStyle w:val="ListParagraph"/>
        <w:numPr>
          <w:ilvl w:val="0"/>
          <w:numId w:val="1"/>
        </w:numPr>
        <w:spacing w:after="90" w:line="270"/>
      </w:pPr>
      <w:r>
        <w:rPr>
          <w:b/>
          <w:bCs/>
        </w:rPr>
        <w:t xml:space="preserve">Chernaja Mogila (Chernigov): </w:t>
      </w:r>
      <w:r>
        <w:t xml:space="preserve">Monumental hövdingagrav med vapenhögar och nordiska drag.</w:t>
      </w:r>
    </w:p>
    <w:p>
      <w:pPr>
        <w:spacing w:after="140" w:line="276"/>
        <w:jc w:val="both"/>
      </w:pPr>
      <w:r>
        <w:rPr>
          <w:b/>
          <w:bCs/>
        </w:rPr>
        <w:t xml:space="preserve">Vad materialet visar och inte visar. </w:t>
      </w:r>
      <w:r>
        <w:t xml:space="preserve">Duczko och andra betonar att gravmaterialet motsäger ”erövringsmyten”. I stället för en fientlig militär övertagning ser vi en </w:t>
      </w:r>
      <w:r>
        <w:rPr>
          <w:b/>
          <w:bCs/>
        </w:rPr>
        <w:t xml:space="preserve">mosaik av kulturer</w:t>
      </w:r>
      <w:r>
        <w:t xml:space="preserve"> – nordbor som kom för handel snarare än plundring, som behöll kontakten med hemlandet men samtidigt gifte in sig i och uppgick i de lokala befolkningarna. Skandinaviska statusföremål förekommer sida vid sida med slaviska och finsk-ugriska. Den så kallade ”Rurikstecknet” (dynastins bomärke) och myntpräglingen under Vladimir och Jaroslav visar hur en ursprungligen nordisk elit successivt slaviserades.</w:t>
      </w:r>
    </w:p>
    <w:p>
      <w:pPr>
        <w:pStyle w:val="Heading1"/>
        <w:spacing w:after="160" w:before="320"/>
      </w:pPr>
      <w:r>
        <w:rPr>
          <w:b/>
          <w:bCs/>
        </w:rPr>
        <w:t xml:space="preserve">3. Språkliga och onomastiska belägg</w:t>
      </w:r>
    </w:p>
    <w:p>
      <w:pPr>
        <w:pStyle w:val="ListParagraph"/>
        <w:numPr>
          <w:ilvl w:val="0"/>
          <w:numId w:val="1"/>
        </w:numPr>
        <w:spacing w:after="90" w:line="270"/>
      </w:pPr>
      <w:r>
        <w:rPr>
          <w:b/>
          <w:bCs/>
        </w:rPr>
        <w:t xml:space="preserve">Namnet Rus självt: </w:t>
      </w:r>
      <w:r>
        <w:t xml:space="preserve">Härleds med bred enighet till fornnordiskans rodd-/roddar-terminologi (jfr fornnordiska </w:t>
      </w:r>
      <w:r>
        <w:rPr>
          <w:i/>
          <w:iCs/>
        </w:rPr>
        <w:t xml:space="preserve">roðer</w:t>
      </w:r>
      <w:r>
        <w:t xml:space="preserve">, ”roddled”) via finskans </w:t>
      </w:r>
      <w:r>
        <w:rPr>
          <w:i/>
          <w:iCs/>
        </w:rPr>
        <w:t xml:space="preserve">Ruotsi</w:t>
      </w:r>
      <w:r>
        <w:t xml:space="preserve"> (fortfarande finskans ord för Sverige) och estniskans </w:t>
      </w:r>
      <w:r>
        <w:rPr>
          <w:i/>
          <w:iCs/>
        </w:rPr>
        <w:t xml:space="preserve">Rootsi</w:t>
      </w:r>
      <w:r>
        <w:t xml:space="preserve">. Samma rot återfinns i </w:t>
      </w:r>
      <w:r>
        <w:rPr>
          <w:i/>
          <w:iCs/>
        </w:rPr>
        <w:t xml:space="preserve">Roslagen</w:t>
      </w:r>
      <w:r>
        <w:t xml:space="preserve"> i Uppland. Rus betyder alltså ursprungligen ungefär ”roddarfolket” – de som färdades på flodernas roddleder.</w:t>
      </w:r>
    </w:p>
    <w:p>
      <w:pPr>
        <w:pStyle w:val="ListParagraph"/>
        <w:numPr>
          <w:ilvl w:val="0"/>
          <w:numId w:val="1"/>
        </w:numPr>
        <w:spacing w:after="90" w:line="270"/>
      </w:pPr>
      <w:r>
        <w:rPr>
          <w:b/>
          <w:bCs/>
        </w:rPr>
        <w:t xml:space="preserve">Furstenamnen: </w:t>
      </w:r>
      <w:r>
        <w:t xml:space="preserve">De tidiga rus-furstarnas namn är genomgående nordiska innan de slaviserades: Oleg = Helgi, Olga = Helga, Igor = Ingvar, Rurik = Hrœrekr. Vladimir/Valdemar är en senare, delvis slaviserad form.</w:t>
      </w:r>
    </w:p>
    <w:p>
      <w:pPr>
        <w:pStyle w:val="ListParagraph"/>
        <w:numPr>
          <w:ilvl w:val="0"/>
          <w:numId w:val="1"/>
        </w:numPr>
        <w:spacing w:after="90" w:line="270"/>
      </w:pPr>
      <w:r>
        <w:rPr>
          <w:b/>
          <w:bCs/>
        </w:rPr>
        <w:t xml:space="preserve">Dneprforsarna: </w:t>
      </w:r>
      <w:r>
        <w:t xml:space="preserve">Se avsnitt 1.3 ovan – den nordisk/slaviska tvåspråkigheten hos Konstantin VII är samtidigt ett lingvistiskt kärnbevis.</w:t>
      </w:r>
    </w:p>
    <w:p>
      <w:pPr>
        <w:pStyle w:val="Heading1"/>
        <w:spacing w:after="160" w:before="320"/>
      </w:pPr>
      <w:r>
        <w:rPr>
          <w:b/>
          <w:bCs/>
        </w:rPr>
        <w:t xml:space="preserve">4. Paleogenomiken – de senaste rönen</w:t>
      </w:r>
    </w:p>
    <w:p>
      <w:pPr>
        <w:spacing w:after="140" w:line="276"/>
        <w:jc w:val="both"/>
      </w:pPr>
      <w:r>
        <w:t xml:space="preserve">Under det senaste decenniet har forntida DNA (aDNA) tillfört ett helt nytt, oberoende bevisspår. Två studier är särskilt relevanta:</w:t>
      </w:r>
    </w:p>
    <w:p>
      <w:pPr>
        <w:pStyle w:val="Heading3"/>
        <w:spacing w:after="100" w:before="200"/>
      </w:pPr>
      <w:r>
        <w:rPr>
          <w:b/>
          <w:bCs/>
          <w:i/>
          <w:iCs/>
        </w:rPr>
        <w:t xml:space="preserve">Margaryan et al. (2020), ”Population genomics of the Viking world”, Nature</w:t>
      </w:r>
    </w:p>
    <w:p>
      <w:pPr>
        <w:spacing w:after="140" w:line="276"/>
        <w:jc w:val="both"/>
      </w:pPr>
      <w:r>
        <w:t xml:space="preserve">Denna stora studie (442 vikingatida individer) inkluderade prover från </w:t>
      </w:r>
      <w:r>
        <w:rPr>
          <w:b/>
          <w:bCs/>
        </w:rPr>
        <w:t xml:space="preserve">Gnezdovo</w:t>
      </w:r>
      <w:r>
        <w:t xml:space="preserve"> och </w:t>
      </w:r>
      <w:r>
        <w:rPr>
          <w:b/>
          <w:bCs/>
        </w:rPr>
        <w:t xml:space="preserve">Shestovitsa</w:t>
      </w:r>
      <w:r>
        <w:t xml:space="preserve"> med tydligt skandinaviska genetiska profiler, vilket materiellt bekräftar en fysisk nordisk befolkningsnärvaro på de östeuropeiska nyckelplatserna – inte bara importerade föremål.</w:t>
      </w:r>
    </w:p>
    <w:p>
      <w:pPr>
        <w:pStyle w:val="Heading3"/>
        <w:spacing w:after="100" w:before="200"/>
      </w:pPr>
      <w:r>
        <w:rPr>
          <w:b/>
          <w:bCs/>
          <w:i/>
          <w:iCs/>
        </w:rPr>
        <w:t xml:space="preserve">Zhur, Zhur, Prokhortchouk et al. (2023), Acta Naturae – den första paleogenetiska Rurikid-studien</w:t>
      </w:r>
    </w:p>
    <w:p>
      <w:pPr>
        <w:spacing w:after="140" w:line="276"/>
        <w:jc w:val="both"/>
      </w:pPr>
      <w:r>
        <w:t xml:space="preserve">Detta är den hittills viktigaste enskilda studien. Forskarna analyserade benrester från furst </w:t>
      </w:r>
      <w:r>
        <w:rPr>
          <w:b/>
          <w:bCs/>
        </w:rPr>
        <w:t xml:space="preserve">Dmitrij Aleksandrovitj</w:t>
      </w:r>
      <w:r>
        <w:t xml:space="preserve"> (d. 1294), sonson till Alexander Nevskij och bevislig rurikid. Resultat:</w:t>
      </w:r>
    </w:p>
    <w:p>
      <w:pPr>
        <w:pStyle w:val="ListParagraph"/>
        <w:numPr>
          <w:ilvl w:val="0"/>
          <w:numId w:val="1"/>
        </w:numPr>
        <w:spacing w:after="90" w:line="270"/>
      </w:pPr>
      <w:r>
        <w:t xml:space="preserve">Hans Y-kromosom tillhör haplogrupp </w:t>
      </w:r>
      <w:r>
        <w:rPr>
          <w:b/>
          <w:bCs/>
        </w:rPr>
        <w:t xml:space="preserve">N1a (N-M231)</w:t>
      </w:r>
      <w:r>
        <w:t xml:space="preserve">, och de flesta medeltida och moderna rurikider – från åtminstone Jaroslav den vise (1000-talet) – delar samma linje. Genealogierna bekräftas alltså genetiskt.</w:t>
      </w:r>
    </w:p>
    <w:p>
      <w:pPr>
        <w:pStyle w:val="ListParagraph"/>
        <w:numPr>
          <w:ilvl w:val="0"/>
          <w:numId w:val="1"/>
        </w:numPr>
        <w:spacing w:after="90" w:line="270"/>
      </w:pPr>
      <w:r>
        <w:t xml:space="preserve">Genomrekonstruktionen visar tre ursprungskomponenter, varav den viktigaste är </w:t>
      </w:r>
      <w:r>
        <w:rPr>
          <w:b/>
          <w:bCs/>
        </w:rPr>
        <w:t xml:space="preserve">den tidigmedeltida befolkningen i östra Skandinavien – specifikt från ön Öland</w:t>
      </w:r>
      <w:r>
        <w:t xml:space="preserve"> (Böde/Bode-proverna, ca 600–700-tal). En intressant detalj med tanke på öländska rötter.</w:t>
      </w:r>
    </w:p>
    <w:p>
      <w:pPr>
        <w:spacing w:after="140" w:line="276"/>
        <w:jc w:val="both"/>
      </w:pPr>
      <w:r>
        <w:rPr>
          <w:b/>
          <w:bCs/>
        </w:rPr>
        <w:t xml:space="preserve">Källkritisk komplikation som måste tas på allvar. </w:t>
      </w:r>
      <w:r>
        <w:t xml:space="preserve">Haplogrupp N1a är i sig vanligast bland finsk-ugriska och baltiska befolkningar, inte bland skandinaver generellt (där I1 och R1a/R1b dominerar). Anti-normanister har använt detta som motargument. Den rimliga tolkningen – som studien själv landar i – är att den specifika rurikidska N1a-undergrenen har sina närmaste släktingar i östra Mellansverige/Öland-regionen, ett område där nordiska och finsk-ugriska/baltiska befolkningar möttes. Genetiken pekar alltså mot ett </w:t>
      </w:r>
      <w:r>
        <w:rPr>
          <w:b/>
          <w:bCs/>
        </w:rPr>
        <w:t xml:space="preserve">östskandinaviskt</w:t>
      </w:r>
      <w:r>
        <w:t xml:space="preserve"> ursprung, men understryker samtidigt att ”skandinavisk” inte var en genetiskt homogen kategori. Detta stärker snarare än försvagar bilden av rus som en blandpopulation.</w:t>
      </w:r>
    </w:p>
    <w:p>
      <w:pPr>
        <w:pStyle w:val="Heading1"/>
        <w:spacing w:after="160" w:before="320"/>
      </w:pPr>
      <w:r>
        <w:rPr>
          <w:b/>
          <w:bCs/>
        </w:rPr>
        <w:t xml:space="preserve">5. Normanism, anti-normanism och den politiska instrumentaliseringen</w:t>
      </w:r>
    </w:p>
    <w:p>
      <w:pPr>
        <w:spacing w:after="140" w:line="276"/>
        <w:jc w:val="both"/>
      </w:pPr>
      <w:r>
        <w:t xml:space="preserve">Debatten om rusernas ursprung har i över 250 år styrts lika mycket av nationalism och politik som av källor. Detta är direkt relevant för det befintliga stycket om Putin och Boris Rybakov.</w:t>
      </w:r>
    </w:p>
    <w:p>
      <w:pPr>
        <w:pStyle w:val="ListParagraph"/>
        <w:numPr>
          <w:ilvl w:val="0"/>
          <w:numId w:val="1"/>
        </w:numPr>
        <w:spacing w:after="90" w:line="270"/>
      </w:pPr>
      <w:r>
        <w:rPr>
          <w:b/>
          <w:bCs/>
        </w:rPr>
        <w:t xml:space="preserve">Normanismen</w:t>
      </w:r>
      <w:r>
        <w:t xml:space="preserve"> uppstod på 1700-talet med tyska forskare i rysk tjänst (Bayer, Müller, Schlözer) och hävdar rusernas nordiska ursprung.</w:t>
      </w:r>
    </w:p>
    <w:p>
      <w:pPr>
        <w:pStyle w:val="ListParagraph"/>
        <w:numPr>
          <w:ilvl w:val="0"/>
          <w:numId w:val="1"/>
        </w:numPr>
        <w:spacing w:after="90" w:line="270"/>
      </w:pPr>
      <w:r>
        <w:rPr>
          <w:b/>
          <w:bCs/>
        </w:rPr>
        <w:t xml:space="preserve">Anti-normanismen</w:t>
      </w:r>
      <w:r>
        <w:t xml:space="preserve"> formulerades som reaktion av bl.a. Michail Lomonosov och fick starkt fäste i sovjetisk historieskrivning. Den officiella sovjetiska linjen avvisade normanismen eftersom den ansågs ”teoretiskt skadlig” – den påstods förneka slavernas förmåga att bilda en egen stat. Boris Rybakov var den ledande företrädaren för denna riktning.</w:t>
      </w:r>
    </w:p>
    <w:p>
      <w:pPr>
        <w:spacing w:after="140" w:line="276"/>
        <w:jc w:val="both"/>
      </w:pPr>
      <w:r>
        <w:t xml:space="preserve">Här ligger den centrala poängen: motståndet mot den nordiska tesen har sällan varit rent vetenskapligt. Det har handlat om nationell prestige och statslegitimitet. Detsamma gäller Putins samtida bruk av historien – tesen om ett gemensamt ”andligt ortodoxt ursprung” för Ryssland, Ukraina och Belarus bygger på att tona ned den skandinaviska och den distinkt </w:t>
      </w:r>
      <w:r>
        <w:rPr>
          <w:b/>
          <w:bCs/>
        </w:rPr>
        <w:t xml:space="preserve">kievska/ukrainska</w:t>
      </w:r>
      <w:r>
        <w:t xml:space="preserve"> dimensionen av rus. Ukrainska historiker som Mychajlo Hrusjevskyj har tvärtom betonat att </w:t>
      </w:r>
      <w:r>
        <w:rPr>
          <w:i/>
          <w:iCs/>
        </w:rPr>
        <w:t xml:space="preserve">Rus</w:t>
      </w:r>
      <w:r>
        <w:t xml:space="preserve"> historiskt sett var centrerat kring Kiev, inte Moskva.</w:t>
      </w:r>
    </w:p>
    <w:p>
      <w:pPr>
        <w:spacing w:after="140" w:line="276"/>
        <w:jc w:val="both"/>
      </w:pPr>
      <w:r>
        <w:rPr>
          <w:b/>
          <w:bCs/>
        </w:rPr>
        <w:t xml:space="preserve">Den moderna syntesen. </w:t>
      </w:r>
      <w:r>
        <w:t xml:space="preserve">Franklin &amp; Shepards standardverk </w:t>
      </w:r>
      <w:r>
        <w:rPr>
          <w:i/>
          <w:iCs/>
        </w:rPr>
        <w:t xml:space="preserve">The Emergence of Rus 750–1200</w:t>
      </w:r>
      <w:r>
        <w:t xml:space="preserve"> (1996) löser upp hela den polariserade frågan genom att visa att själva begreppet ”stat” är anakronistiskt för perioden. I stället för att fråga ”vem grundade staten” spårar de en gradvis utveckling från små handelsstationer till ett nätverk av städer och slutligen till det tidiga Kievriket. Frågan är inte </w:t>
      </w:r>
      <w:r>
        <w:rPr>
          <w:i/>
          <w:iCs/>
        </w:rPr>
        <w:t xml:space="preserve">antingen</w:t>
      </w:r>
      <w:r>
        <w:t xml:space="preserve"> nordisk </w:t>
      </w:r>
      <w:r>
        <w:rPr>
          <w:i/>
          <w:iCs/>
        </w:rPr>
        <w:t xml:space="preserve">eller</w:t>
      </w:r>
      <w:r>
        <w:t xml:space="preserve"> slavisk – utan hur en ursprungligen nordisk handels- och krigarelit över några generationer smälte samman med den slaviska majoriteten till något nytt: rus.</w:t>
      </w:r>
    </w:p>
    <w:p>
      <w:pPr>
        <w:pStyle w:val="Heading1"/>
        <w:spacing w:after="160" w:before="320"/>
      </w:pPr>
      <w:r>
        <w:rPr>
          <w:b/>
          <w:bCs/>
        </w:rPr>
        <w:t xml:space="preserve">6. Sammanfattande slutsats</w:t>
      </w:r>
    </w:p>
    <w:p>
      <w:pPr>
        <w:spacing w:after="140" w:line="276"/>
        <w:jc w:val="both"/>
      </w:pPr>
      <w:r>
        <w:t xml:space="preserve">Väger man samman de fyra oberoende bevisspåren – samtida skriftliga källor (frankiska, bysantinska, arabiska), arkeologi, lingvistik och paleogenomik – pekar de i samma riktning och stärker varandra (</w:t>
      </w:r>
      <w:r>
        <w:rPr>
          <w:i/>
          <w:iCs/>
        </w:rPr>
        <w:t xml:space="preserve">konvergerande evidens</w:t>
      </w:r>
      <w:r>
        <w:t xml:space="preserve">):</w:t>
      </w:r>
    </w:p>
    <w:p>
      <w:pPr>
        <w:pStyle w:val="ListParagraph"/>
        <w:numPr>
          <w:ilvl w:val="0"/>
          <w:numId w:val="1"/>
        </w:numPr>
        <w:spacing w:after="90" w:line="270"/>
      </w:pPr>
      <w:r>
        <w:t xml:space="preserve">Den grupp som gav namn åt Rus hade en </w:t>
      </w:r>
      <w:r>
        <w:rPr>
          <w:b/>
          <w:bCs/>
        </w:rPr>
        <w:t xml:space="preserve">östskandinavisk kärna</w:t>
      </w:r>
      <w:r>
        <w:t xml:space="preserve">, huvudsakligen från Mälardalen och Öland-regionen.</w:t>
      </w:r>
    </w:p>
    <w:p>
      <w:pPr>
        <w:pStyle w:val="ListParagraph"/>
        <w:numPr>
          <w:ilvl w:val="0"/>
          <w:numId w:val="1"/>
        </w:numPr>
        <w:spacing w:after="90" w:line="270"/>
      </w:pPr>
      <w:r>
        <w:t xml:space="preserve">Denna kärna var </w:t>
      </w:r>
      <w:r>
        <w:rPr>
          <w:b/>
          <w:bCs/>
        </w:rPr>
        <w:t xml:space="preserve">aldrig etniskt ren</w:t>
      </w:r>
      <w:r>
        <w:t xml:space="preserve"> utan blandades från början med slaviska, baltiska och finsk-ugriska befolkningar.</w:t>
      </w:r>
    </w:p>
    <w:p>
      <w:pPr>
        <w:pStyle w:val="ListParagraph"/>
        <w:numPr>
          <w:ilvl w:val="0"/>
          <w:numId w:val="1"/>
        </w:numPr>
        <w:spacing w:after="90" w:line="270"/>
      </w:pPr>
      <w:r>
        <w:t xml:space="preserve">Kievriket var resultatet av en </w:t>
      </w:r>
      <w:r>
        <w:rPr>
          <w:b/>
          <w:bCs/>
        </w:rPr>
        <w:t xml:space="preserve">etnogenes/sammansmältning</w:t>
      </w:r>
      <w:r>
        <w:t xml:space="preserve"> – inte en enkel skandinavisk erövring eller grundning.</w:t>
      </w:r>
    </w:p>
    <w:p>
      <w:pPr>
        <w:pStyle w:val="ListParagraph"/>
        <w:numPr>
          <w:ilvl w:val="0"/>
          <w:numId w:val="1"/>
        </w:numPr>
        <w:spacing w:after="90" w:line="270"/>
      </w:pPr>
      <w:r>
        <w:t xml:space="preserve">Anti-normanismen är i huvudsak ett </w:t>
      </w:r>
      <w:r>
        <w:rPr>
          <w:b/>
          <w:bCs/>
        </w:rPr>
        <w:t xml:space="preserve">politiskt fenomen</w:t>
      </w:r>
      <w:r>
        <w:t xml:space="preserve">, inte en källkritiskt hållbar position – men den korrekta invändningen mot en naiv normanism är att undvika att överdriva den nordiska renheten.</w:t>
      </w:r>
    </w:p>
    <w:p>
      <w:pPr>
        <w:spacing w:after="140" w:line="276"/>
        <w:jc w:val="both"/>
      </w:pPr>
      <w:r>
        <w:rPr>
          <w:b/>
          <w:bCs/>
        </w:rPr>
        <w:t xml:space="preserve">För det befintliga dokumentets del</w:t>
      </w:r>
      <w:r>
        <w:t xml:space="preserve"> innebär detta att formuleringen ”ruserna härstammar från svenska vikingar” är i grunden korrekt men bör nyanseras till: rusernas </w:t>
      </w:r>
      <w:r>
        <w:rPr>
          <w:i/>
          <w:iCs/>
        </w:rPr>
        <w:t xml:space="preserve">elit och ursprungliga kärna</w:t>
      </w:r>
      <w:r>
        <w:t xml:space="preserve"> var östskandinavisk, varefter identiteten snabbt blev multietnisk. Det gör argumentet mot rysk historierevisionism </w:t>
      </w:r>
      <w:r>
        <w:rPr>
          <w:b/>
          <w:bCs/>
        </w:rPr>
        <w:t xml:space="preserve">starkare</w:t>
      </w:r>
      <w:r>
        <w:t xml:space="preserve">, inte svagare – eftersom det visar att själva idén om ett enhetligt, tidlöst ”ryskt folk” med enbart slaviska rötter är historiskt ohållbar.</w:t>
      </w:r>
    </w:p>
    <w:p>
      <w:pPr>
        <w:pStyle w:val="Heading1"/>
        <w:spacing w:after="160" w:before="320"/>
      </w:pPr>
      <w:r>
        <w:rPr>
          <w:b/>
          <w:bCs/>
        </w:rPr>
        <w:t xml:space="preserve">Bilaga: mindre faktakorrigeringar till befintlig text</w:t>
      </w:r>
    </w:p>
    <w:p>
      <w:pPr>
        <w:spacing w:after="140" w:line="276"/>
        <w:jc w:val="both"/>
      </w:pPr>
      <w:r>
        <w:t xml:space="preserve">Följande detaljer i det ursprungliga stycket bör justeras för vetenskaplig precision:</w:t>
      </w:r>
    </w:p>
    <w:p>
      <w:pPr>
        <w:pStyle w:val="ListParagraph"/>
        <w:numPr>
          <w:ilvl w:val="0"/>
          <w:numId w:val="1"/>
        </w:numPr>
        <w:spacing w:after="90" w:line="270"/>
      </w:pPr>
      <w:r>
        <w:rPr>
          <w:b/>
          <w:bCs/>
        </w:rPr>
        <w:t xml:space="preserve">”Kievriket antog kristendomen 988 från Kristianopel”</w:t>
      </w:r>
      <w:r>
        <w:t xml:space="preserve"> – ska vara </w:t>
      </w:r>
      <w:r>
        <w:rPr>
          <w:b/>
          <w:bCs/>
        </w:rPr>
        <w:t xml:space="preserve">Konstantinopel</w:t>
      </w:r>
      <w:r>
        <w:t xml:space="preserve"> (Bysans huvudstad), inte Kristianopel.</w:t>
      </w:r>
    </w:p>
    <w:p>
      <w:pPr>
        <w:pStyle w:val="ListParagraph"/>
        <w:numPr>
          <w:ilvl w:val="0"/>
          <w:numId w:val="1"/>
        </w:numPr>
        <w:spacing w:after="90" w:line="270"/>
      </w:pPr>
      <w:r>
        <w:rPr>
          <w:b/>
          <w:bCs/>
        </w:rPr>
        <w:t xml:space="preserve">Rörik/Rurik: </w:t>
      </w:r>
      <w:r>
        <w:t xml:space="preserve">dateringen ”ca 830 till 879” avser en omdiskuterad identifiering med Rorik av Dorestad (en dansk vikingahövding). Kopplingen mellan denne och Nestorskrönikans Rurik är en </w:t>
      </w:r>
      <w:r>
        <w:rPr>
          <w:i/>
          <w:iCs/>
        </w:rPr>
        <w:t xml:space="preserve">hypotes</w:t>
      </w:r>
      <w:r>
        <w:t xml:space="preserve">, inte en fastställd identitet – bör markeras som sådan.</w:t>
      </w:r>
    </w:p>
    <w:p>
      <w:pPr>
        <w:pStyle w:val="ListParagraph"/>
        <w:numPr>
          <w:ilvl w:val="0"/>
          <w:numId w:val="1"/>
        </w:numPr>
        <w:spacing w:after="90" w:line="270"/>
      </w:pPr>
      <w:r>
        <w:rPr>
          <w:b/>
          <w:bCs/>
        </w:rPr>
        <w:t xml:space="preserve">”Erik den helige var kung 1234–1250”</w:t>
      </w:r>
      <w:r>
        <w:t xml:space="preserve"> – detta stämmer inte. Erik den helige (Erik Jedvardsson) var kung ca </w:t>
      </w:r>
      <w:r>
        <w:rPr>
          <w:b/>
          <w:bCs/>
        </w:rPr>
        <w:t xml:space="preserve">1156–1160</w:t>
      </w:r>
      <w:r>
        <w:t xml:space="preserve">. Årtalen 1234–1250 avser sannolikt en förväxling; kontrollera mot avsedd regent (möjligen Erik Eriksson läspe och halte, kung 1222–1229 och 1234–1250).</w:t>
      </w:r>
    </w:p>
    <w:p>
      <w:pPr>
        <w:pStyle w:val="ListParagraph"/>
        <w:numPr>
          <w:ilvl w:val="0"/>
          <w:numId w:val="1"/>
        </w:numPr>
        <w:spacing w:after="90" w:line="270"/>
      </w:pPr>
      <w:r>
        <w:rPr>
          <w:b/>
          <w:bCs/>
        </w:rPr>
        <w:t xml:space="preserve">Nestorskrönikans datering: </w:t>
      </w:r>
      <w:r>
        <w:t xml:space="preserve">bör anges som sammanställd ca 1113, inte som 1300-talskälla (till skillnad från Novgorodkrönikan som nämns i Neva-avsnittet).</w:t>
      </w:r>
    </w:p>
    <w:p>
      <w:pPr>
        <w:pStyle w:val="Heading1"/>
        <w:spacing w:after="160" w:before="320"/>
      </w:pPr>
      <w:r>
        <w:rPr>
          <w:b/>
          <w:bCs/>
        </w:rPr>
        <w:t xml:space="preserve">Källor och referenser</w:t>
      </w:r>
    </w:p>
    <w:p>
      <w:pPr>
        <w:pStyle w:val="Heading2"/>
        <w:spacing w:after="120" w:before="260"/>
      </w:pPr>
      <w:r>
        <w:rPr>
          <w:b/>
          <w:bCs/>
        </w:rPr>
        <w:t xml:space="preserve">Primärkällor</w:t>
      </w:r>
    </w:p>
    <w:p>
      <w:pPr>
        <w:spacing w:after="120" w:line="264"/>
        <w:ind w:left="360" w:hanging="360"/>
      </w:pPr>
      <w:r>
        <w:t xml:space="preserve">Konstantin VII Porfyrogennetos, </w:t>
      </w:r>
      <w:r>
        <w:rPr>
          <w:i/>
          <w:iCs/>
        </w:rPr>
        <w:t xml:space="preserve">De administrando imperio</w:t>
      </w:r>
      <w:r>
        <w:t xml:space="preserve">, kap. 9 (ca 948–952). Utg. Gy. Moravcsik &amp; R.J.H. Jenkins, Dumbarton Oaks.</w:t>
      </w:r>
    </w:p>
    <w:p>
      <w:pPr>
        <w:spacing w:after="120" w:line="264"/>
        <w:ind w:left="360" w:hanging="360"/>
      </w:pPr>
      <w:r>
        <w:t xml:space="preserve">Ibn Fadlan, </w:t>
      </w:r>
      <w:r>
        <w:rPr>
          <w:i/>
          <w:iCs/>
        </w:rPr>
        <w:t xml:space="preserve">Risala</w:t>
      </w:r>
      <w:r>
        <w:t xml:space="preserve"> (922). Eng. övers. och kommentar: James E. Montgomery, ”Ibn Fadlan and the Rusiyyah”, </w:t>
      </w:r>
      <w:r>
        <w:rPr>
          <w:i/>
          <w:iCs/>
        </w:rPr>
        <w:t xml:space="preserve">Journal of Arabic and Islamic Studies</w:t>
      </w:r>
      <w:r>
        <w:t xml:space="preserve"> 3 (2000), s. 1–25.</w:t>
      </w:r>
    </w:p>
    <w:p>
      <w:pPr>
        <w:spacing w:after="120" w:line="264"/>
        <w:ind w:left="360" w:hanging="360"/>
      </w:pPr>
      <w:r>
        <w:rPr>
          <w:i/>
          <w:iCs/>
        </w:rPr>
        <w:t xml:space="preserve">Annales Bertiniani</w:t>
      </w:r>
      <w:r>
        <w:t xml:space="preserve"> (Sankt Bertins annaler), s.a. 839. Utg. F. Grat et al., Paris 1964.</w:t>
      </w:r>
    </w:p>
    <w:p>
      <w:pPr>
        <w:spacing w:after="120" w:line="264"/>
        <w:ind w:left="360" w:hanging="360"/>
      </w:pPr>
      <w:r>
        <w:rPr>
          <w:i/>
          <w:iCs/>
        </w:rPr>
        <w:t xml:space="preserve">Povest’ vremennych let</w:t>
      </w:r>
      <w:r>
        <w:t xml:space="preserve"> (Nestorskrönikan/Tale of Bygone Years, ca 1113). Eng. övers.: S.H. Cross &amp; O.P. Sherbowitz-Wetzor, </w:t>
      </w:r>
      <w:r>
        <w:rPr>
          <w:i/>
          <w:iCs/>
        </w:rPr>
        <w:t xml:space="preserve">The Russian Primary Chronicle</w:t>
      </w:r>
      <w:r>
        <w:t xml:space="preserve">, Cambridge MA 1953.</w:t>
      </w:r>
    </w:p>
    <w:p>
      <w:pPr>
        <w:pStyle w:val="Heading2"/>
        <w:spacing w:after="120" w:before="260"/>
      </w:pPr>
      <w:r>
        <w:rPr>
          <w:b/>
          <w:bCs/>
        </w:rPr>
        <w:t xml:space="preserve">Arkeologi, historia och syntes</w:t>
      </w:r>
    </w:p>
    <w:p>
      <w:pPr>
        <w:spacing w:after="120" w:line="264"/>
        <w:ind w:left="360" w:hanging="360"/>
      </w:pPr>
      <w:r>
        <w:t xml:space="preserve">Duczko, Wladyslaw (2004). </w:t>
      </w:r>
      <w:r>
        <w:rPr>
          <w:i/>
          <w:iCs/>
        </w:rPr>
        <w:t xml:space="preserve">Viking Rus: Studies on the Presence of Scandinavians in Eastern Europe</w:t>
      </w:r>
      <w:r>
        <w:t xml:space="preserve">. The Northern World 12. Leiden/Boston: Brill.</w:t>
      </w:r>
    </w:p>
    <w:p>
      <w:pPr>
        <w:spacing w:after="120" w:line="264"/>
        <w:ind w:left="360" w:hanging="360"/>
      </w:pPr>
      <w:r>
        <w:t xml:space="preserve">Franklin, Simon &amp; Shepard, Jonathan (1996). </w:t>
      </w:r>
      <w:r>
        <w:rPr>
          <w:i/>
          <w:iCs/>
        </w:rPr>
        <w:t xml:space="preserve">The Emergence of Rus 750–1200</w:t>
      </w:r>
      <w:r>
        <w:t xml:space="preserve">. London: Longman.</w:t>
      </w:r>
    </w:p>
    <w:p>
      <w:pPr>
        <w:spacing w:after="120" w:line="264"/>
        <w:ind w:left="360" w:hanging="360"/>
      </w:pPr>
      <w:r>
        <w:t xml:space="preserve">Androshchuk, Fedir (2013). </w:t>
      </w:r>
      <w:r>
        <w:rPr>
          <w:i/>
          <w:iCs/>
        </w:rPr>
        <w:t xml:space="preserve">Vikings in the East: Essays on Contacts along the Road to Byzantium</w:t>
      </w:r>
      <w:r>
        <w:t xml:space="preserve">. Uppsala.</w:t>
      </w:r>
    </w:p>
    <w:p>
      <w:pPr>
        <w:spacing w:after="120" w:line="264"/>
        <w:ind w:left="360" w:hanging="360"/>
      </w:pPr>
      <w:r>
        <w:t xml:space="preserve">Pritsak, Omeljan (1981). </w:t>
      </w:r>
      <w:r>
        <w:rPr>
          <w:i/>
          <w:iCs/>
        </w:rPr>
        <w:t xml:space="preserve">The Origin of Rus’</w:t>
      </w:r>
      <w:r>
        <w:t xml:space="preserve">, vol. 1. Cambridge MA: Harvard University Press.</w:t>
      </w:r>
    </w:p>
    <w:p>
      <w:pPr>
        <w:pStyle w:val="Heading2"/>
        <w:spacing w:after="120" w:before="260"/>
      </w:pPr>
      <w:r>
        <w:rPr>
          <w:b/>
          <w:bCs/>
        </w:rPr>
        <w:t xml:space="preserve">Paleogenomik och isotoper</w:t>
      </w:r>
    </w:p>
    <w:p>
      <w:pPr>
        <w:spacing w:after="120" w:line="264"/>
        <w:ind w:left="360" w:hanging="360"/>
      </w:pPr>
      <w:r>
        <w:t xml:space="preserve">Zhur, K.V., Zhur, D.O., … Prokhortchouk, E.B. (2023). ”The Rurikids: The First Experience of Reconstructing the Genetic Portrait of the Ruling Family of Medieval Rus’ Based on Paleogenomic Data.” </w:t>
      </w:r>
      <w:r>
        <w:rPr>
          <w:i/>
          <w:iCs/>
        </w:rPr>
        <w:t xml:space="preserve">Acta Naturae</w:t>
      </w:r>
      <w:r>
        <w:t xml:space="preserve"> 15(3): 50–65. doi:10.32607/actanaturae.23425.</w:t>
      </w:r>
    </w:p>
    <w:p>
      <w:pPr>
        <w:spacing w:after="120" w:line="264"/>
        <w:ind w:left="360" w:hanging="360"/>
      </w:pPr>
      <w:r>
        <w:t xml:space="preserve">Margaryan, A. et al. (2020). ”Population genomics of the Viking world.” </w:t>
      </w:r>
      <w:r>
        <w:rPr>
          <w:i/>
          <w:iCs/>
        </w:rPr>
        <w:t xml:space="preserve">Nature</w:t>
      </w:r>
      <w:r>
        <w:t xml:space="preserve"> 585: 390–396.</w:t>
      </w:r>
    </w:p>
    <w:p>
      <w:pPr>
        <w:spacing w:after="120" w:line="264"/>
        <w:ind w:left="360" w:hanging="360"/>
      </w:pPr>
      <w:r>
        <w:t xml:space="preserve">Krzewińska, M. et al. (2018). ”Genomic and Strontium Isotope Variation Reveal Immigration Patterns in a Viking Age Town.” </w:t>
      </w:r>
      <w:r>
        <w:rPr>
          <w:i/>
          <w:iCs/>
        </w:rPr>
        <w:t xml:space="preserve">Current Biology</w:t>
      </w:r>
      <w:r>
        <w:t xml:space="preserve">.</w:t>
      </w:r>
    </w:p>
    <w:p>
      <w:pPr>
        <w:pStyle w:val="Heading2"/>
        <w:spacing w:after="120" w:before="260"/>
      </w:pPr>
      <w:r>
        <w:rPr>
          <w:b/>
          <w:bCs/>
        </w:rPr>
        <w:t xml:space="preserve">Historiografi och lingvistik</w:t>
      </w:r>
    </w:p>
    <w:p>
      <w:pPr>
        <w:spacing w:after="120" w:line="264"/>
        <w:ind w:left="360" w:hanging="360"/>
      </w:pPr>
      <w:r>
        <w:t xml:space="preserve">Zakharii, Roman (2002). </w:t>
      </w:r>
      <w:r>
        <w:rPr>
          <w:i/>
          <w:iCs/>
        </w:rPr>
        <w:t xml:space="preserve">The Historiography of Normanist and Anti-Normanist Theories on the Origin of Rus’</w:t>
      </w:r>
      <w:r>
        <w:t xml:space="preserve">. MPhil-avhandling, Universitetet i Oslo (Viking and Medieval Nordic Culture).</w:t>
      </w:r>
    </w:p>
    <w:p>
      <w:pPr>
        <w:spacing w:after="120" w:line="264"/>
        <w:ind w:left="360" w:hanging="360"/>
      </w:pPr>
      <w:r>
        <w:t xml:space="preserve">Om Dneprforsarnas namn: se </w:t>
      </w:r>
      <w:r>
        <w:rPr>
          <w:i/>
          <w:iCs/>
        </w:rPr>
        <w:t xml:space="preserve">Scando-Slavica</w:t>
      </w:r>
      <w:r>
        <w:t xml:space="preserve"> 49 (2003), s. 35–62, samt G.Y. Shevelov, ”On the Slavic Names for the Falls of the Dnepr in the De administrando imperio”.</w:t>
      </w:r>
    </w:p>
    <w:p>
      <w:pPr>
        <w:pBdr>
          <w:bottom w:val="single" w:color="999999" w:sz="6" w:space="1"/>
        </w:pBdr>
        <w:spacing w:after="120" w:before="120"/>
      </w:pPr>
      <w:r>
        <w:t xml:space="preserve"/>
      </w:r>
    </w:p>
    <w:p>
      <w:pPr>
        <w:spacing w:before="160"/>
      </w:pPr>
      <w:r>
        <w:rPr>
          <w:i/>
          <w:iCs/>
          <w:color w:val="808080"/>
          <w:sz w:val="18"/>
          <w:szCs w:val="18"/>
        </w:rPr>
        <w:t xml:space="preserve">Not om metod: Denna sammanställning bygger på öppet tillgängliga akademiska källor och primärkällor i översättning. Vid publicering bör enskilda etymologier och dateringar dubbelkontrolleras mot förstahandsutgåvorna. Där forskningen är oenig har detta markerats explicit i texten.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Vikingarna och det första Kievriket – vetenskaplig komplettering</dc:title>
  <dc:creator>Daniel Larsson</dc:creator>
  <cp:lastModifiedBy>Un-named</cp:lastModifiedBy>
  <cp:revision>1</cp:revision>
  <dcterms:created xsi:type="dcterms:W3CDTF">2026-07-19T08:11:47.975Z</dcterms:created>
  <dcterms:modified xsi:type="dcterms:W3CDTF">2026-07-19T08:11:47.997Z</dcterms:modified>
</cp:coreProperties>
</file>

<file path=docProps/custom.xml><?xml version="1.0" encoding="utf-8"?>
<Properties xmlns="http://schemas.openxmlformats.org/officeDocument/2006/custom-properties" xmlns:vt="http://schemas.openxmlformats.org/officeDocument/2006/docPropsVTypes"/>
</file>