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0"/>
        <w:jc w:val="center"/>
      </w:pPr>
      <w:r>
        <w:rPr>
          <w:b/>
          <w:bCs/>
          <w:sz w:val="56"/>
          <w:szCs w:val="56"/>
        </w:rPr>
        <w:t xml:space="preserve">Business Requirements Document</w:t>
      </w:r>
    </w:p>
    <w:p>
      <w:pPr>
        <w:spacing w:after="800"/>
        <w:jc w:val="center"/>
      </w:pPr>
      <w:r>
        <w:rPr>
          <w:i/>
          <w:iCs/>
          <w:sz w:val="28"/>
          <w:szCs w:val="28"/>
        </w:rPr>
        <w:t xml:space="preserve">Engagement Attribution: HubSpot Touches → Salesforce Accounts, Opportunities, and Buying Signals</w:t>
      </w:r>
    </w:p>
    <w:p>
      <w:pPr>
        <w:spacing w:after="100"/>
        <w:jc w:val="center"/>
      </w:pPr>
      <w:r>
        <w:rPr>
          <w:sz w:val="24"/>
          <w:szCs w:val="24"/>
        </w:rPr>
        <w:t xml:space="preserve">Version: 0.1 — Draft for Review</w:t>
      </w:r>
    </w:p>
    <w:p>
      <w:pPr>
        <w:spacing w:after="100"/>
        <w:jc w:val="center"/>
      </w:pPr>
      <w:r>
        <w:rPr>
          <w:sz w:val="24"/>
          <w:szCs w:val="24"/>
        </w:rPr>
        <w:t xml:space="preserve">Date: 2026-05-11</w:t>
      </w:r>
    </w:p>
    <w:p>
      <w:pPr>
        <w:spacing w:after="100"/>
        <w:jc w:val="center"/>
      </w:pPr>
      <w:r>
        <w:rPr>
          <w:sz w:val="24"/>
          <w:szCs w:val="24"/>
        </w:rPr>
        <w:t xml:space="preserve">Author: Salesforce Technical Architect</w:t>
      </w:r>
    </w:p>
    <w:p>
      <w:pPr>
        <w:spacing w:after="100"/>
        <w:jc w:val="center"/>
      </w:pPr>
      <w:r>
        <w:rPr>
          <w:sz w:val="24"/>
          <w:szCs w:val="24"/>
        </w:rPr>
        <w:t xml:space="preserve">Status: Draft for Stakeholder Review</w:t>
      </w:r>
    </w:p>
    <w:p>
      <w:r>
        <w:br w:type="page"/>
      </w:r>
    </w:p>
    <w:p>
      <w:pPr>
        <w:pStyle w:val="Heading1"/>
      </w:pPr>
      <w:r>
        <w:t xml:space="preserve">Document Control</w:t>
      </w:r>
    </w:p>
    <w:p>
      <w:pPr>
        <w:pStyle w:val="Heading2"/>
      </w:pPr>
      <w: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Version</w:t>
            </w:r>
          </w:p>
        </w:tc>
        <w:tc>
          <w:tcPr>
            <w:tcW w:type="dxa" w:w="18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Date</w:t>
            </w:r>
          </w:p>
        </w:tc>
        <w:tc>
          <w:tcPr>
            <w:tcW w:type="dxa" w:w="24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Author</w:t>
            </w:r>
          </w:p>
        </w:tc>
        <w:tc>
          <w:tcPr>
            <w:tcW w:type="dxa" w:w="39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Notes</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0.1</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2026-05-11</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Salesforce TA</w:t>
            </w:r>
          </w:p>
        </w:tc>
        <w:tc>
          <w:tcPr>
            <w:tcW w:type="dxa" w:w="39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Initial draft for review.</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Marketing-influenced revenue is currently undervalued because the Salesforce attribution path depends on Opportunity Contact Role (OCR) completeness, which is sales-curated and structurally incomplete. High-intent buying signals — for example, a CFO repeatedly downloading content related to a specific product — are invisible to attribution because the CFO is not on the OCR. At the same time, sales lacks visibility into the broader buying committee's engagement, missing early signals that would shape deal strategy.</w:t>
      </w:r>
    </w:p>
    <w:p>
      <w:pPr>
        <w:spacing w:after="120"/>
      </w:pPr>
      <w:r>
        <w:t xml:space="preserve">This initiative introduces an Engagement Attribution capability that captures every meaningful HubSpot touch at event-level granularity, attributes touches to Accounts and Opportunities through topic and account context (not just OCR), and produces actionable signals that sales can act on. The system retains raw event history to enable later AI-driven next-best-action analysis, and provides admin tooling so marketing operations can manage attribution rules without engineering involvement.</w:t>
      </w:r>
    </w:p>
    <w:p>
      <w:pPr>
        <w:spacing w:after="120"/>
      </w:pPr>
      <w:r>
        <w:t xml:space="preserve">The architecture deliberately positions OCR as a sales-curated lens, not the attribution gate. Marketing attribution is independent of OCR completeness, while OCR remains valuable to sales because maintaining it produces higher-quality deal intelligence.</w:t>
      </w:r>
    </w:p>
    <w:p>
      <w:pPr>
        <w:spacing w:after="120"/>
      </w:pPr>
      <w:r>
        <w:t xml:space="preserve">Delivery is phased. Phase 1 focuses on the user interface and the Add-to-Deal-Team flow against seeded data, validating the experience with stakeholders before any HubSpot integration or routing logic is built. Subsequent phases layer in ingestion, identity resolution, routing rules, admin tooling, and reporting (see §13 [risks] and the Traceability Matrix for the phase mapping).</w:t>
      </w:r>
    </w:p>
    <w:p>
      <w:r>
        <w:br w:type="page"/>
      </w:r>
    </w:p>
    <w:p>
      <w:pPr>
        <w:pStyle w:val="Heading1"/>
      </w:pPr>
      <w:r>
        <w:t xml:space="preserve">2. Business Context</w:t>
      </w:r>
    </w:p>
    <w:p>
      <w:pPr>
        <w:pStyle w:val="Heading2"/>
      </w:pPr>
      <w:r>
        <w:t xml:space="preserve">2.1 Current State</w:t>
      </w:r>
    </w:p>
    <w:p>
      <w:pPr>
        <w:spacing w:after="120"/>
      </w:pPr>
      <w:r>
        <w:t xml:space="preserve">HubSpot manages marketing automation. Salesforce holds Accounts, Contacts, Leads, and Opportunities. Marketing attribution today is anchored on Salesforce Customizable Campaign Influence, which only produces influence records when an engaged contact is on the Opportunity Contact Role. As a result:</w:t>
      </w:r>
    </w:p>
    <w:p>
      <w:pPr>
        <w:pStyle w:val="ListParagraph"/>
        <w:numPr>
          <w:ilvl w:val="0"/>
          <w:numId w:val="2"/>
        </w:numPr>
      </w:pPr>
      <w:r>
        <w:t xml:space="preserve">Marketing's contribution is systematically under-counted.</w:t>
      </w:r>
    </w:p>
    <w:p>
      <w:pPr>
        <w:pStyle w:val="ListParagraph"/>
        <w:numPr>
          <w:ilvl w:val="0"/>
          <w:numId w:val="2"/>
        </w:numPr>
      </w:pPr>
      <w:r>
        <w:t xml:space="preserve">Buying signals from non-OCR stakeholders (CFOs, technical evaluators, ecosystem influencers) are invisible to deal attribution and to sales.</w:t>
      </w:r>
    </w:p>
    <w:p>
      <w:pPr>
        <w:pStyle w:val="ListParagraph"/>
        <w:numPr>
          <w:ilvl w:val="0"/>
          <w:numId w:val="2"/>
        </w:numPr>
      </w:pPr>
      <w:r>
        <w:t xml:space="preserve">Ecosystem actors — consultants and partners ACR'd to accounts — are an under-utilized signal source.</w:t>
      </w:r>
    </w:p>
    <w:p>
      <w:pPr>
        <w:pStyle w:val="ListParagraph"/>
        <w:numPr>
          <w:ilvl w:val="0"/>
          <w:numId w:val="2"/>
        </w:numPr>
      </w:pPr>
      <w:r>
        <w:t xml:space="preserve">Adding contacts to OCR is friction for sales with no immediate value back, so OCR remains chronically incomplete.</w:t>
      </w:r>
    </w:p>
    <w:p>
      <w:pPr>
        <w:pStyle w:val="Heading2"/>
      </w:pPr>
      <w:r>
        <w:t xml:space="preserve">2.2 Why now</w:t>
      </w:r>
    </w:p>
    <w:p>
      <w:pPr>
        <w:spacing w:after="120"/>
      </w:pPr>
      <w:r>
        <w:t xml:space="preserve">Marketing leadership is preparing budget defense for the next fiscal year. Without a defensible attribution model that captures real influence, marketing's case will continue to be weak. Simultaneously, sales has expressed interest in better deal intelligence — specifically, knowing who else at an account is paying attention. The two needs are addressable with a single architecture.</w:t>
      </w:r>
    </w:p>
    <w:p>
      <w:r>
        <w:br w:type="page"/>
      </w:r>
    </w:p>
    <w:p>
      <w:pPr>
        <w:pStyle w:val="Heading1"/>
      </w:pPr>
      <w:r>
        <w:t xml:space="preserve">3. Problem Statement</w:t>
      </w:r>
    </w:p>
    <w:p>
      <w:pPr>
        <w:spacing w:after="120"/>
      </w:pPr>
      <w:r>
        <w:t xml:space="preserve">Salesforce attribution does not reflect real influence because:</w:t>
      </w:r>
    </w:p>
    <w:p>
      <w:pPr>
        <w:pStyle w:val="ListParagraph"/>
        <w:numPr>
          <w:ilvl w:val="0"/>
          <w:numId w:val="3"/>
        </w:numPr>
      </w:pPr>
      <w:r>
        <w:t xml:space="preserve">OCR is the only standard attribution bridge and is structurally incomplete (sales-curated, biased toward declared deal participants).</w:t>
      </w:r>
    </w:p>
    <w:p>
      <w:pPr>
        <w:pStyle w:val="ListParagraph"/>
        <w:numPr>
          <w:ilvl w:val="0"/>
          <w:numId w:val="3"/>
        </w:numPr>
      </w:pPr>
      <w:r>
        <w:t xml:space="preserve">Campaign Member granularity collapses multiple touches per campaign into a single membership record, losing signal escalation (e.g., a repeat download is more important than the first).</w:t>
      </w:r>
    </w:p>
    <w:p>
      <w:pPr>
        <w:pStyle w:val="ListParagraph"/>
        <w:numPr>
          <w:ilvl w:val="0"/>
          <w:numId w:val="3"/>
        </w:numPr>
      </w:pPr>
      <w:r>
        <w:t xml:space="preserve">Ecosystem influence (consultants, partners) is not captured in any standard attribution path despite being a major influence channel.</w:t>
      </w:r>
    </w:p>
    <w:p>
      <w:pPr>
        <w:pStyle w:val="ListParagraph"/>
        <w:numPr>
          <w:ilvl w:val="0"/>
          <w:numId w:val="3"/>
        </w:numPr>
      </w:pPr>
      <w:r>
        <w:t xml:space="preserve">There is no shared system of intelligence between marketing (which observes the buying committee) and sales (which models the deal team).</w:t>
      </w:r>
    </w:p>
    <w:p>
      <w:r>
        <w:br w:type="page"/>
      </w:r>
    </w:p>
    <w:p>
      <w:pPr>
        <w:pStyle w:val="Heading1"/>
      </w:pPr>
      <w:r>
        <w:t xml:space="preserve">4. Goals &amp; Success Metrics</w:t>
      </w:r>
    </w:p>
    <w:p>
      <w:pPr>
        <w:pStyle w:val="Heading2"/>
      </w:pPr>
      <w:r>
        <w:t xml:space="preserve">4.1 Goals</w:t>
      </w:r>
    </w:p>
    <w:p>
      <w:pPr>
        <w:pStyle w:val="ListParagraph"/>
        <w:numPr>
          <w:ilvl w:val="0"/>
          <w:numId w:val="2"/>
        </w:numPr>
      </w:pPr>
      <w:r>
        <w:t xml:space="preserve">Capture every meaningful HubSpot touch as an immutable, addressable event-level record in Salesforce.</w:t>
      </w:r>
    </w:p>
    <w:p>
      <w:pPr>
        <w:pStyle w:val="ListParagraph"/>
        <w:numPr>
          <w:ilvl w:val="0"/>
          <w:numId w:val="2"/>
        </w:numPr>
      </w:pPr>
      <w:r>
        <w:t xml:space="preserve">Attribute touches to Accounts and Opportunities without depending on OCR completeness.</w:t>
      </w:r>
    </w:p>
    <w:p>
      <w:pPr>
        <w:pStyle w:val="ListParagraph"/>
        <w:numPr>
          <w:ilvl w:val="0"/>
          <w:numId w:val="2"/>
        </w:numPr>
      </w:pPr>
      <w:r>
        <w:t xml:space="preserve">Surface actionable buying signals on the Opportunity to make OCR maintenance a value-add rather than overhead.</w:t>
      </w:r>
    </w:p>
    <w:p>
      <w:pPr>
        <w:pStyle w:val="ListParagraph"/>
        <w:numPr>
          <w:ilvl w:val="0"/>
          <w:numId w:val="2"/>
        </w:numPr>
      </w:pPr>
      <w:r>
        <w:t xml:space="preserve">Preserve raw event history to support future AI-driven analysis without re-instrumentation.</w:t>
      </w:r>
    </w:p>
    <w:p>
      <w:pPr>
        <w:pStyle w:val="ListParagraph"/>
        <w:numPr>
          <w:ilvl w:val="0"/>
          <w:numId w:val="2"/>
        </w:numPr>
      </w:pPr>
      <w:r>
        <w:t xml:space="preserve">Empower admins to configure routing rules without code changes.</w:t>
      </w:r>
    </w:p>
    <w:p>
      <w:pPr>
        <w:pStyle w:val="Heading2"/>
      </w:pPr>
      <w:r>
        <w:t xml:space="preserve">4.2 Success Metrics (90 days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Metric</w:t>
            </w:r>
          </w:p>
        </w:tc>
        <w:tc>
          <w:tcPr>
            <w:tcW w:type="dxa" w:w="4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Definition</w:t>
            </w:r>
          </w:p>
        </w:tc>
        <w:tc>
          <w:tcPr>
            <w:tcW w:type="dxa" w:w="33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Target</w:t>
            </w:r>
          </w:p>
        </w:tc>
      </w:tr>
      <w:tr>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Touch capture coverage</w:t>
            </w:r>
          </w:p>
        </w:tc>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 of HubSpot engagement events successfully ingested</w:t>
            </w:r>
          </w:p>
        </w:tc>
        <w:tc>
          <w:tcPr>
            <w:tcW w:type="dxa" w:w="33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 99%</w:t>
            </w:r>
          </w:p>
        </w:tc>
      </w:tr>
      <w:tr>
        <w:tc>
          <w:tcPr>
            <w:tcW w:type="dxa" w:w="18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Routing rule coverage</w:t>
            </w:r>
          </w:p>
        </w:tc>
        <w:tc>
          <w:tcPr>
            <w:tcW w:type="dxa" w:w="4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 of touches matched to an active routing rule</w:t>
            </w:r>
          </w:p>
        </w:tc>
        <w:tc>
          <w:tcPr>
            <w:tcW w:type="dxa" w:w="33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 85% within 60 days</w:t>
            </w:r>
          </w:p>
        </w:tc>
      </w:tr>
      <w:tr>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Signal-to-OCR conversion</w:t>
            </w:r>
          </w:p>
        </w:tc>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 of suggested-stakeholder signals where AE took an action (add to OCR or dismiss)</w:t>
            </w:r>
          </w:p>
        </w:tc>
        <w:tc>
          <w:tcPr>
            <w:tcW w:type="dxa" w:w="33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 60%</w:t>
            </w:r>
          </w:p>
        </w:tc>
      </w:tr>
      <w:tr>
        <w:tc>
          <w:tcPr>
            <w:tcW w:type="dxa" w:w="18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Time to signal</w:t>
            </w:r>
          </w:p>
        </w:tc>
        <w:tc>
          <w:tcPr>
            <w:tcW w:type="dxa" w:w="4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Median latency from touch ingest to signal visibility on Opportunity</w:t>
            </w:r>
          </w:p>
        </w:tc>
        <w:tc>
          <w:tcPr>
            <w:tcW w:type="dxa" w:w="33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&lt; 5 minutes</w:t>
            </w:r>
          </w:p>
        </w:tc>
      </w:tr>
      <w:tr>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Pilot AE satisfaction</w:t>
            </w:r>
          </w:p>
        </w:tc>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Net positive sentiment from pilot AEs on engagement intelligence usefulness</w:t>
            </w:r>
          </w:p>
        </w:tc>
        <w:tc>
          <w:tcPr>
            <w:tcW w:type="dxa" w:w="33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 4 of 5 pilot AEs</w:t>
            </w:r>
          </w:p>
        </w:tc>
      </w:tr>
      <w:tr>
        <w:tc>
          <w:tcPr>
            <w:tcW w:type="dxa" w:w="18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Marketing attribution lift</w:t>
            </w:r>
          </w:p>
        </w:tc>
        <w:tc>
          <w:tcPr>
            <w:tcW w:type="dxa" w:w="4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Increase in opportunity revenue attributable to a campaign (vs prior baseline)</w:t>
            </w:r>
          </w:p>
        </w:tc>
        <w:tc>
          <w:tcPr>
            <w:tcW w:type="dxa" w:w="33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+25% directionally</w:t>
            </w:r>
          </w:p>
        </w:tc>
      </w:tr>
    </w:tbl>
    <w:p>
      <w:r>
        <w:br w:type="page"/>
      </w:r>
    </w:p>
    <w:p>
      <w:pPr>
        <w:pStyle w:val="Heading1"/>
      </w:pPr>
      <w:r>
        <w:t xml:space="preserve">5. Personas</w:t>
      </w:r>
    </w:p>
    <w:p>
      <w:pPr>
        <w:spacing w:after="120"/>
      </w:pPr>
      <w:r>
        <w:t xml:space="preserve">Four end-user roles drive the design. Each persona has a concrete picture of who they are, what they want, what they don't care about, how they actually use the system day to day, and what success looks like in their words.</w:t>
      </w:r>
    </w:p>
    <w:p>
      <w:pPr>
        <w:pStyle w:val="Heading2"/>
      </w:pPr>
      <w:r>
        <w:t xml:space="preserve">Salesperson (Account Executive)</w:t>
      </w:r>
    </w:p>
    <w:p>
      <w:pPr>
        <w:spacing w:after="120"/>
      </w:pPr>
      <w:r>
        <w:rPr>
          <w:b/>
          <w:bCs/>
        </w:rPr>
        <w:t xml:space="preserve">Who: </w:t>
      </w:r>
      <w:r>
        <w:t xml:space="preserve">Quota-carrying rep managing 20–80 accounts and 10–30 open opportunities. No appetite for marketing-side data entry.</w:t>
      </w:r>
    </w:p>
    <w:p>
      <w:pPr>
        <w:spacing w:after="120"/>
      </w:pPr>
      <w:r>
        <w:rPr>
          <w:b/>
          <w:bCs/>
        </w:rPr>
        <w:t xml:space="preserve">Wants: </w:t>
      </w:r>
      <w:r>
        <w:t xml:space="preserve">Know who at an account is engaging right now; catch new buying-committee members early; get deal-intelligence value without chores.</w:t>
      </w:r>
    </w:p>
    <w:p>
      <w:pPr>
        <w:spacing w:after="120"/>
      </w:pPr>
      <w:r>
        <w:rPr>
          <w:b/>
          <w:bCs/>
        </w:rPr>
        <w:t xml:space="preserve">Doesn't care about: </w:t>
      </w:r>
      <w:r>
        <w:t xml:space="preserve">Attribution math, campaign rollups, routing rules.</w:t>
      </w:r>
    </w:p>
    <w:p>
      <w:pPr>
        <w:spacing w:after="120"/>
      </w:pPr>
      <w:r>
        <w:rPr>
          <w:b/>
          <w:bCs/>
        </w:rPr>
        <w:t xml:space="preserve">How they use it:</w:t>
      </w:r>
    </w:p>
    <w:p>
      <w:pPr>
        <w:pStyle w:val="ListParagraph"/>
        <w:numPr>
          <w:ilvl w:val="0"/>
          <w:numId w:val="2"/>
        </w:numPr>
      </w:pPr>
      <w:r>
        <w:t xml:space="preserve">On an Opportunity, glances at the Engagement Intelligence panel showing deal-team activity and missing-stakeholder candidates.</w:t>
      </w:r>
    </w:p>
    <w:p>
      <w:pPr>
        <w:pStyle w:val="ListParagraph"/>
        <w:numPr>
          <w:ilvl w:val="0"/>
          <w:numId w:val="2"/>
        </w:numPr>
      </w:pPr>
      <w:r>
        <w:t xml:space="preserve">One-click adds a suggested stakeholder to OCR.</w:t>
      </w:r>
    </w:p>
    <w:p>
      <w:pPr>
        <w:pStyle w:val="ListParagraph"/>
        <w:numPr>
          <w:ilvl w:val="0"/>
          <w:numId w:val="2"/>
        </w:numPr>
      </w:pPr>
      <w:r>
        <w:t xml:space="preserve">Dismisses low-quality signals with a reason so the view stays useful.</w:t>
      </w:r>
    </w:p>
    <w:p>
      <w:pPr>
        <w:pStyle w:val="ListParagraph"/>
        <w:numPr>
          <w:ilvl w:val="0"/>
          <w:numId w:val="2"/>
        </w:numPr>
      </w:pPr>
      <w:r>
        <w:t xml:space="preserve">On an Account, scans recent engagement before a meeting to know which conversations are warm.</w:t>
      </w:r>
    </w:p>
    <w:p>
      <w:pPr>
        <w:spacing w:after="120"/>
      </w:pPr>
      <w:r>
        <w:rPr>
          <w:b/>
          <w:bCs/>
        </w:rPr>
        <w:t xml:space="preserve">Success looks like: </w:t>
      </w:r>
      <w:r>
        <w:t xml:space="preserve">"I walked into the meeting knowing the CFO had downloaded our pricing piece. I added three contacts to the deal team this week without leaving the Opportunity."</w:t>
      </w:r>
    </w:p>
    <w:p>
      <w:pPr>
        <w:pStyle w:val="Heading2"/>
      </w:pPr>
      <w:r>
        <w:t xml:space="preserve">Marketing (Marketing Operations + Demand Gen)</w:t>
      </w:r>
    </w:p>
    <w:p>
      <w:pPr>
        <w:spacing w:after="120"/>
      </w:pPr>
      <w:r>
        <w:rPr>
          <w:b/>
          <w:bCs/>
        </w:rPr>
        <w:t xml:space="preserve">Who: </w:t>
      </w:r>
      <w:r>
        <w:t xml:space="preserve">Marketing operations analyst or demand-gen marketer owning HubSpot, campaigns, and the attribution narrative.</w:t>
      </w:r>
    </w:p>
    <w:p>
      <w:pPr>
        <w:spacing w:after="120"/>
      </w:pPr>
      <w:r>
        <w:rPr>
          <w:b/>
          <w:bCs/>
        </w:rPr>
        <w:t xml:space="preserve">Wants: </w:t>
      </w:r>
      <w:r>
        <w:t xml:space="preserve">Attribution that includes non-OCR influence; visibility into campaign-to-deal performance; ability to launch new asset types without engineering involvement.</w:t>
      </w:r>
    </w:p>
    <w:p>
      <w:pPr>
        <w:spacing w:after="120"/>
      </w:pPr>
      <w:r>
        <w:rPr>
          <w:b/>
          <w:bCs/>
        </w:rPr>
        <w:t xml:space="preserve">Doesn't care about: </w:t>
      </w:r>
      <w:r>
        <w:t xml:space="preserve">Apex layer details, platform-event plumbing.</w:t>
      </w:r>
    </w:p>
    <w:p>
      <w:pPr>
        <w:spacing w:after="120"/>
      </w:pPr>
      <w:r>
        <w:rPr>
          <w:b/>
          <w:bCs/>
        </w:rPr>
        <w:t xml:space="preserve">How they use it:</w:t>
      </w:r>
    </w:p>
    <w:p>
      <w:pPr>
        <w:pStyle w:val="ListParagraph"/>
        <w:numPr>
          <w:ilvl w:val="0"/>
          <w:numId w:val="2"/>
        </w:numPr>
      </w:pPr>
      <w:r>
        <w:t xml:space="preserve">Runs reports monthly (Campaigns Producing Signals, High-Intent Touches by Account, Silent Opportunities) to defend marketing contribution.</w:t>
      </w:r>
    </w:p>
    <w:p>
      <w:pPr>
        <w:pStyle w:val="ListParagraph"/>
        <w:numPr>
          <w:ilvl w:val="0"/>
          <w:numId w:val="2"/>
        </w:numPr>
      </w:pPr>
      <w:r>
        <w:t xml:space="preserve">Coordinates with admin to add a routing rule when a new asset class launches.</w:t>
      </w:r>
    </w:p>
    <w:p>
      <w:pPr>
        <w:pStyle w:val="ListParagraph"/>
        <w:numPr>
          <w:ilvl w:val="0"/>
          <w:numId w:val="2"/>
        </w:numPr>
      </w:pPr>
      <w:r>
        <w:t xml:space="preserve">Watches account-level engagement spikes for ABM plays.</w:t>
      </w:r>
    </w:p>
    <w:p>
      <w:pPr>
        <w:pStyle w:val="ListParagraph"/>
        <w:numPr>
          <w:ilvl w:val="0"/>
          <w:numId w:val="2"/>
        </w:numPr>
      </w:pPr>
      <w:r>
        <w:t xml:space="preserve">Reviews signal-quality feedback from pilot AEs to tune confidence weighting with admin.</w:t>
      </w:r>
    </w:p>
    <w:p>
      <w:pPr>
        <w:spacing w:after="120"/>
      </w:pPr>
      <w:r>
        <w:rPr>
          <w:b/>
          <w:bCs/>
        </w:rPr>
        <w:t xml:space="preserve">Success looks like: </w:t>
      </w:r>
      <w:r>
        <w:t xml:space="preserve">"I can defend marketing's contribution at QBR with traceable numbers. I see signals on deals weeks before sales does."</w:t>
      </w:r>
    </w:p>
    <w:p>
      <w:pPr>
        <w:pStyle w:val="Heading2"/>
      </w:pPr>
      <w:r>
        <w:t xml:space="preserve">Admin (Salesforce Administrator)</w:t>
      </w:r>
    </w:p>
    <w:p>
      <w:pPr>
        <w:spacing w:after="120"/>
      </w:pPr>
      <w:r>
        <w:rPr>
          <w:b/>
          <w:bCs/>
        </w:rPr>
        <w:t xml:space="preserve">Who: </w:t>
      </w:r>
      <w:r>
        <w:t xml:space="preserve">Salesforce admin owning org metadata, integrations, and configuration.</w:t>
      </w:r>
    </w:p>
    <w:p>
      <w:pPr>
        <w:spacing w:after="120"/>
      </w:pPr>
      <w:r>
        <w:rPr>
          <w:b/>
          <w:bCs/>
        </w:rPr>
        <w:t xml:space="preserve">Wants: </w:t>
      </w:r>
      <w:r>
        <w:t xml:space="preserve">Configure HubSpot-to-signal mappings without engineering; verify changes safely before activation; catch processing errors before users notice.</w:t>
      </w:r>
    </w:p>
    <w:p>
      <w:pPr>
        <w:spacing w:after="120"/>
      </w:pPr>
      <w:r>
        <w:rPr>
          <w:b/>
          <w:bCs/>
        </w:rPr>
        <w:t xml:space="preserve">Doesn't care about: </w:t>
      </w:r>
      <w:r>
        <w:t xml:space="preserve">The deal narrative or the attribution numbers themselves.</w:t>
      </w:r>
    </w:p>
    <w:p>
      <w:pPr>
        <w:spacing w:after="120"/>
      </w:pPr>
      <w:r>
        <w:rPr>
          <w:b/>
          <w:bCs/>
        </w:rPr>
        <w:t xml:space="preserve">How they use it:</w:t>
      </w:r>
    </w:p>
    <w:p>
      <w:pPr>
        <w:pStyle w:val="ListParagraph"/>
        <w:numPr>
          <w:ilvl w:val="0"/>
          <w:numId w:val="2"/>
        </w:numPr>
      </w:pPr>
      <w:r>
        <w:t xml:space="preserve">Adds a Touch_Routing_Rule__mdt record for a new asset class; verifies via the Test-a-Touch admin tool before activating.</w:t>
      </w:r>
    </w:p>
    <w:p>
      <w:pPr>
        <w:pStyle w:val="ListParagraph"/>
        <w:numPr>
          <w:ilvl w:val="0"/>
          <w:numId w:val="2"/>
        </w:numPr>
      </w:pPr>
      <w:r>
        <w:t xml:space="preserve">Reviews the Rule Coverage dashboard weekly to spot unmatched touch types and author new rules to close the gaps.</w:t>
      </w:r>
    </w:p>
    <w:p>
      <w:pPr>
        <w:pStyle w:val="ListParagraph"/>
        <w:numPr>
          <w:ilvl w:val="0"/>
          <w:numId w:val="2"/>
        </w:numPr>
      </w:pPr>
      <w:r>
        <w:t xml:space="preserve">Drains the Processing Error queue and resolves underlying causes.</w:t>
      </w:r>
    </w:p>
    <w:p>
      <w:pPr>
        <w:pStyle w:val="ListParagraph"/>
        <w:numPr>
          <w:ilvl w:val="0"/>
          <w:numId w:val="2"/>
        </w:numPr>
      </w:pPr>
      <w:r>
        <w:t xml:space="preserve">Tunes Engagement_Settings__c (confidence threshold, decay window, active retention window) based on pilot feedback.</w:t>
      </w:r>
    </w:p>
    <w:p>
      <w:pPr>
        <w:spacing w:after="120"/>
      </w:pPr>
      <w:r>
        <w:rPr>
          <w:b/>
          <w:bCs/>
        </w:rPr>
        <w:t xml:space="preserve">Success looks like: </w:t>
      </w:r>
      <w:r>
        <w:t xml:space="preserve">"I shipped a new mapping in twenty minutes — no engineering, no deploy. Rule coverage is at 92%, error queue is at zero."</w:t>
      </w:r>
    </w:p>
    <w:p>
      <w:pPr>
        <w:pStyle w:val="Heading2"/>
      </w:pPr>
      <w:r>
        <w:t xml:space="preserve">Sales Manager / Sales Operations</w:t>
      </w:r>
    </w:p>
    <w:p>
      <w:pPr>
        <w:spacing w:after="120"/>
      </w:pPr>
      <w:r>
        <w:rPr>
          <w:b/>
          <w:bCs/>
        </w:rPr>
        <w:t xml:space="preserve">Who: </w:t>
      </w:r>
      <w:r>
        <w:t xml:space="preserve">Front-line sales manager or sales operations analyst looking across the team's pipeline rather than individual deals.</w:t>
      </w:r>
    </w:p>
    <w:p>
      <w:pPr>
        <w:spacing w:after="120"/>
      </w:pPr>
      <w:r>
        <w:rPr>
          <w:b/>
          <w:bCs/>
        </w:rPr>
        <w:t xml:space="preserve">Wants: </w:t>
      </w:r>
      <w:r>
        <w:t xml:space="preserve">Team-wide signal coverage; identify silent deals; correlate engagement to win rate; coach reps on stakeholder hygiene.</w:t>
      </w:r>
    </w:p>
    <w:p>
      <w:pPr>
        <w:spacing w:after="120"/>
      </w:pPr>
      <w:r>
        <w:rPr>
          <w:b/>
          <w:bCs/>
        </w:rPr>
        <w:t xml:space="preserve">Doesn't care about: </w:t>
      </w:r>
      <w:r>
        <w:t xml:space="preserve">Implementation details; persona-by-persona signal weighting math.</w:t>
      </w:r>
    </w:p>
    <w:p>
      <w:pPr>
        <w:spacing w:after="120"/>
      </w:pPr>
      <w:r>
        <w:rPr>
          <w:b/>
          <w:bCs/>
        </w:rPr>
        <w:t xml:space="preserve">How they use it:</w:t>
      </w:r>
    </w:p>
    <w:p>
      <w:pPr>
        <w:pStyle w:val="ListParagraph"/>
        <w:numPr>
          <w:ilvl w:val="0"/>
          <w:numId w:val="2"/>
        </w:numPr>
      </w:pPr>
      <w:r>
        <w:t xml:space="preserve">Runs the Silent Opportunities report at weekly forecast reviews to find deals with low signal coverage.</w:t>
      </w:r>
    </w:p>
    <w:p>
      <w:pPr>
        <w:pStyle w:val="ListParagraph"/>
        <w:numPr>
          <w:ilvl w:val="0"/>
          <w:numId w:val="2"/>
        </w:numPr>
      </w:pPr>
      <w:r>
        <w:t xml:space="preserve">Uses team-level rollups of signal volume and missing-stakeholder counts to coach AEs on OCR hygiene.</w:t>
      </w:r>
    </w:p>
    <w:p>
      <w:pPr>
        <w:pStyle w:val="ListParagraph"/>
        <w:numPr>
          <w:ilvl w:val="0"/>
          <w:numId w:val="2"/>
        </w:numPr>
      </w:pPr>
      <w:r>
        <w:t xml:space="preserve">Reviews engagement-to-stage-progression correlation in QBR reports.</w:t>
      </w:r>
    </w:p>
    <w:p>
      <w:pPr>
        <w:pStyle w:val="ListParagraph"/>
        <w:numPr>
          <w:ilvl w:val="0"/>
          <w:numId w:val="2"/>
        </w:numPr>
      </w:pPr>
      <w:r>
        <w:t xml:space="preserve">Flags accounts with unusual engagement spikes for AE follow-up.</w:t>
      </w:r>
    </w:p>
    <w:p>
      <w:pPr>
        <w:spacing w:after="120"/>
      </w:pPr>
      <w:r>
        <w:rPr>
          <w:b/>
          <w:bCs/>
        </w:rPr>
        <w:t xml:space="preserve">Success looks like: </w:t>
      </w:r>
      <w:r>
        <w:t xml:space="preserve">"I can spot deals slipping before they show up in pipeline reports. My team's stakeholder coverage doubled in six weeks."</w:t>
      </w:r>
    </w:p>
    <w:p>
      <w:r>
        <w:br w:type="page"/>
      </w:r>
    </w:p>
    <w:p>
      <w:pPr>
        <w:pStyle w:val="Heading1"/>
      </w:pPr>
      <w:r>
        <w:t xml:space="preserve">6. Scope</w:t>
      </w:r>
    </w:p>
    <w:p>
      <w:pPr>
        <w:pStyle w:val="Heading2"/>
      </w:pPr>
      <w:r>
        <w:t xml:space="preserve">6.1 In Scope</w:t>
      </w:r>
    </w:p>
    <w:p>
      <w:pPr>
        <w:pStyle w:val="ListParagraph"/>
        <w:numPr>
          <w:ilvl w:val="0"/>
          <w:numId w:val="2"/>
        </w:numPr>
      </w:pPr>
      <w:r>
        <w:t xml:space="preserve">Inbound HubSpot engagement events ingested via webhook to a Salesforce REST endpoint.</w:t>
      </w:r>
    </w:p>
    <w:p>
      <w:pPr>
        <w:pStyle w:val="ListParagraph"/>
        <w:numPr>
          <w:ilvl w:val="0"/>
          <w:numId w:val="2"/>
        </w:numPr>
      </w:pPr>
      <w:r>
        <w:t xml:space="preserve">Custom Salesforce objects for raw touches, derived signals, routing rules, topic taxonomy, and processing errors.</w:t>
      </w:r>
    </w:p>
    <w:p>
      <w:pPr>
        <w:pStyle w:val="ListParagraph"/>
        <w:numPr>
          <w:ilvl w:val="0"/>
          <w:numId w:val="2"/>
        </w:numPr>
      </w:pPr>
      <w:r>
        <w:t xml:space="preserve">Identity resolution to Lead, Contact, or Pending state.</w:t>
      </w:r>
    </w:p>
    <w:p>
      <w:pPr>
        <w:pStyle w:val="ListParagraph"/>
        <w:numPr>
          <w:ilvl w:val="0"/>
          <w:numId w:val="2"/>
        </w:numPr>
      </w:pPr>
      <w:r>
        <w:t xml:space="preserve">Lead conversion reparenting of historical touches.</w:t>
      </w:r>
    </w:p>
    <w:p>
      <w:pPr>
        <w:pStyle w:val="ListParagraph"/>
        <w:numPr>
          <w:ilvl w:val="0"/>
          <w:numId w:val="2"/>
        </w:numPr>
      </w:pPr>
      <w:r>
        <w:t xml:space="preserve">Opportunity matching via topic + account context, with confidence scoring.</w:t>
      </w:r>
    </w:p>
    <w:p>
      <w:pPr>
        <w:pStyle w:val="ListParagraph"/>
        <w:numPr>
          <w:ilvl w:val="0"/>
          <w:numId w:val="2"/>
        </w:numPr>
      </w:pPr>
      <w:r>
        <w:t xml:space="preserve">Lightning Web Components for Opportunity and Account engagement intelligence.</w:t>
      </w:r>
    </w:p>
    <w:p>
      <w:pPr>
        <w:pStyle w:val="ListParagraph"/>
        <w:numPr>
          <w:ilvl w:val="0"/>
          <w:numId w:val="2"/>
        </w:numPr>
      </w:pPr>
      <w:r>
        <w:t xml:space="preserve">Admin tooling: routing rule CMD, test-a-touch harness, coverage dashboard, processing-error queue.</w:t>
      </w:r>
    </w:p>
    <w:p>
      <w:pPr>
        <w:pStyle w:val="ListParagraph"/>
        <w:numPr>
          <w:ilvl w:val="0"/>
          <w:numId w:val="2"/>
        </w:numPr>
      </w:pPr>
      <w:r>
        <w:t xml:space="preserve">Custom report types and a starter report set.</w:t>
      </w:r>
    </w:p>
    <w:p>
      <w:pPr>
        <w:pStyle w:val="ListParagraph"/>
        <w:numPr>
          <w:ilvl w:val="0"/>
          <w:numId w:val="2"/>
        </w:numPr>
      </w:pPr>
      <w:r>
        <w:t xml:space="preserve">Signal decay and touch archival jobs.</w:t>
      </w:r>
    </w:p>
    <w:p>
      <w:pPr>
        <w:pStyle w:val="ListParagraph"/>
        <w:numPr>
          <w:ilvl w:val="0"/>
          <w:numId w:val="2"/>
        </w:numPr>
      </w:pPr>
      <w:r>
        <w:t xml:space="preserve">Permission set, Apex managed sharing for engagement visibility.</w:t>
      </w:r>
    </w:p>
    <w:p>
      <w:pPr>
        <w:pStyle w:val="Heading2"/>
      </w:pPr>
      <w:r>
        <w:t xml:space="preserve">6.2 Out of Scope</w:t>
      </w:r>
    </w:p>
    <w:p>
      <w:pPr>
        <w:pStyle w:val="ListParagraph"/>
        <w:numPr>
          <w:ilvl w:val="0"/>
          <w:numId w:val="2"/>
        </w:numPr>
      </w:pPr>
      <w:r>
        <w:t xml:space="preserve">Replacing Salesforce Customizable Campaign Influence (the new system complements it).</w:t>
      </w:r>
    </w:p>
    <w:p>
      <w:pPr>
        <w:pStyle w:val="ListParagraph"/>
        <w:numPr>
          <w:ilvl w:val="0"/>
          <w:numId w:val="2"/>
        </w:numPr>
      </w:pPr>
      <w:r>
        <w:t xml:space="preserve">Replacing HubSpot as the marketing automation tool.</w:t>
      </w:r>
    </w:p>
    <w:p>
      <w:pPr>
        <w:pStyle w:val="ListParagraph"/>
        <w:numPr>
          <w:ilvl w:val="0"/>
          <w:numId w:val="2"/>
        </w:numPr>
      </w:pPr>
      <w:r>
        <w:t xml:space="preserve">Building a new attribution math engine (multi-touch weighting models) — initial release uses confidence scoring only.</w:t>
      </w:r>
    </w:p>
    <w:p>
      <w:pPr>
        <w:pStyle w:val="ListParagraph"/>
        <w:numPr>
          <w:ilvl w:val="0"/>
          <w:numId w:val="2"/>
        </w:numPr>
      </w:pPr>
      <w:r>
        <w:t xml:space="preserve">Predictive ML models — the system preserves data to make this possible later but does not deliver it in v1.</w:t>
      </w:r>
    </w:p>
    <w:p>
      <w:pPr>
        <w:pStyle w:val="ListParagraph"/>
        <w:numPr>
          <w:ilvl w:val="0"/>
          <w:numId w:val="2"/>
        </w:numPr>
      </w:pPr>
      <w:r>
        <w:t xml:space="preserve">Bi-directional sync from Salesforce changes back to HubSpot beyond what HubSpot's standard integration handles.</w:t>
      </w:r>
    </w:p>
    <w:p>
      <w:pPr>
        <w:pStyle w:val="ListParagraph"/>
        <w:numPr>
          <w:ilvl w:val="0"/>
          <w:numId w:val="2"/>
        </w:numPr>
      </w:pPr>
      <w:r>
        <w:t xml:space="preserve">Marketing-Qualified Lead (MQL) scoring redesign — handled in a separate workstream.</w:t>
      </w:r>
    </w:p>
    <w:p>
      <w:pPr>
        <w:pStyle w:val="ListParagraph"/>
        <w:numPr>
          <w:ilvl w:val="0"/>
          <w:numId w:val="2"/>
        </w:numPr>
      </w:pPr>
      <w:r>
        <w:t xml:space="preserve">Sales Cloud Einstein activation — out of scope; signals from this system are deterministic, not AI-generated, in v1.</w:t>
      </w:r>
    </w:p>
    <w:p>
      <w:r>
        <w:br w:type="page"/>
      </w:r>
    </w:p>
    <w:p>
      <w:pPr>
        <w:pStyle w:val="Heading1"/>
      </w:pPr>
      <w:r>
        <w:t xml:space="preserve">7. Business Requirements</w:t>
      </w:r>
    </w:p>
    <w:p>
      <w:pPr>
        <w:spacing w:after="120"/>
      </w:pPr>
      <w:r>
        <w:t xml:space="preserve">Each requirement is uniquely numbered (BR-NNN), categorized, prioritized (MoSCoW), and has explicit acceptance criteria. Cross-references to Technical Requirements are listed in the Traceability Matrix (Appendix B).</w:t>
      </w:r>
    </w:p>
    <w:p>
      <w:pPr>
        <w:pStyle w:val="Heading2"/>
      </w:pPr>
      <w:r>
        <w:t xml:space="preserve">7.1 Marketing Attribution</w:t>
      </w:r>
    </w:p>
    <w:p>
      <w:pPr>
        <w:pStyle w:val="Heading3"/>
      </w:pPr>
      <w:r>
        <w:t xml:space="preserve">BR-001 — Event-level touch capture (Must · Phase 2)</w:t>
      </w:r>
    </w:p>
    <w:p>
      <w:pPr>
        <w:spacing w:after="120"/>
      </w:pPr>
      <w:r>
        <w:rPr>
          <w:b/>
          <w:bCs/>
        </w:rPr>
        <w:t xml:space="preserve">Requirement: </w:t>
      </w:r>
      <w:r>
        <w:t xml:space="preserve">The system shall capture every meaningful HubSpot engagement (downloads, form submissions, webinar attendance, event check-ins, qualifying page visits) at the individual event level, not aggregated to campaign membership.</w:t>
      </w:r>
    </w:p>
    <w:p>
      <w:pPr>
        <w:spacing w:after="120"/>
      </w:pPr>
      <w:r>
        <w:rPr>
          <w:b/>
          <w:bCs/>
        </w:rPr>
        <w:t xml:space="preserve">Acceptance: </w:t>
      </w:r>
      <w:r>
        <w:t xml:space="preserve">Each distinct HubSpot engagement event creates exactly one record retrievable by its source identifier.</w:t>
      </w:r>
    </w:p>
    <w:p>
      <w:pPr>
        <w:pStyle w:val="Heading3"/>
      </w:pPr>
      <w:r>
        <w:t xml:space="preserve">BR-002 — Identity resolution (Must · Phase 2)</w:t>
      </w:r>
    </w:p>
    <w:p>
      <w:pPr>
        <w:spacing w:after="120"/>
      </w:pPr>
      <w:r>
        <w:rPr>
          <w:b/>
          <w:bCs/>
        </w:rPr>
        <w:t xml:space="preserve">Requirement: </w:t>
      </w:r>
      <w:r>
        <w:t xml:space="preserve">The system shall resolve each touch to a Salesforce Lead, Contact, or hold it in a Pending Resolution state when no match exists, without dropping the touch.</w:t>
      </w:r>
    </w:p>
    <w:p>
      <w:pPr>
        <w:spacing w:after="120"/>
      </w:pPr>
      <w:r>
        <w:rPr>
          <w:b/>
          <w:bCs/>
        </w:rPr>
        <w:t xml:space="preserve">Acceptance: </w:t>
      </w:r>
      <w:r>
        <w:t xml:space="preserve">Touches with no matching Lead/Contact remain queryable and are auto-resolved when a matching record is created or imported.</w:t>
      </w:r>
    </w:p>
    <w:p>
      <w:pPr>
        <w:pStyle w:val="Heading3"/>
      </w:pPr>
      <w:r>
        <w:t xml:space="preserve">BR-003 — Account attribution (Must · Phase 2)</w:t>
      </w:r>
    </w:p>
    <w:p>
      <w:pPr>
        <w:spacing w:after="120"/>
      </w:pPr>
      <w:r>
        <w:rPr>
          <w:b/>
          <w:bCs/>
        </w:rPr>
        <w:t xml:space="preserve">Requirement: </w:t>
      </w:r>
      <w:r>
        <w:t xml:space="preserve">The system shall attribute resolved touches to the Account associated with the Contact (or, when applicable, the converted Lead).</w:t>
      </w:r>
    </w:p>
    <w:p>
      <w:pPr>
        <w:spacing w:after="120"/>
      </w:pPr>
      <w:r>
        <w:rPr>
          <w:b/>
          <w:bCs/>
        </w:rPr>
        <w:t xml:space="preserve">Acceptance: </w:t>
      </w:r>
      <w:r>
        <w:t xml:space="preserve">Every resolved touch displays at the Account level for reporting and component rendering.</w:t>
      </w:r>
    </w:p>
    <w:p>
      <w:pPr>
        <w:pStyle w:val="Heading3"/>
      </w:pPr>
      <w:r>
        <w:t xml:space="preserve">BR-004 — Opportunity attribution without OCR dependency (Must · Phase 3)</w:t>
      </w:r>
    </w:p>
    <w:p>
      <w:pPr>
        <w:spacing w:after="120"/>
      </w:pPr>
      <w:r>
        <w:rPr>
          <w:b/>
          <w:bCs/>
        </w:rPr>
        <w:t xml:space="preserve">Requirement: </w:t>
      </w:r>
      <w:r>
        <w:t xml:space="preserve">The system shall attribute relevant touches to open Opportunities through topic / product matching and account context, regardless of whether the engaged Contact is on the Opportunity Contact Role.</w:t>
      </w:r>
    </w:p>
    <w:p>
      <w:pPr>
        <w:spacing w:after="120"/>
      </w:pPr>
      <w:r>
        <w:rPr>
          <w:b/>
          <w:bCs/>
        </w:rPr>
        <w:t xml:space="preserve">Acceptance: </w:t>
      </w:r>
      <w:r>
        <w:t xml:space="preserve">A touch by a Contact who is NOT on the OCR but whose Account has an open, topic-matched Opportunity produces a signal on that Opportunity.</w:t>
      </w:r>
    </w:p>
    <w:p>
      <w:pPr>
        <w:pStyle w:val="Heading3"/>
      </w:pPr>
      <w:r>
        <w:t xml:space="preserve">BR-005 — Lead-conversion reparenting (Must · Phase 2)</w:t>
      </w:r>
    </w:p>
    <w:p>
      <w:pPr>
        <w:spacing w:after="120"/>
      </w:pPr>
      <w:r>
        <w:rPr>
          <w:b/>
          <w:bCs/>
        </w:rPr>
        <w:t xml:space="preserve">Requirement: </w:t>
      </w:r>
      <w:r>
        <w:t xml:space="preserve">When a Lead is converted, all historical touches attached to that Lead shall be reparented to the resulting Contact and Account, and re-evaluated for Opportunity signal creation.</w:t>
      </w:r>
    </w:p>
    <w:p>
      <w:pPr>
        <w:spacing w:after="120"/>
      </w:pPr>
      <w:r>
        <w:rPr>
          <w:b/>
          <w:bCs/>
        </w:rPr>
        <w:t xml:space="preserve">Acceptance: </w:t>
      </w:r>
      <w:r>
        <w:t xml:space="preserve">After conversion, the new Contact's page shows all prior Lead-attached engagement; signals appear on any matching opportunity.</w:t>
      </w:r>
    </w:p>
    <w:p>
      <w:pPr>
        <w:pStyle w:val="Heading3"/>
      </w:pPr>
      <w:r>
        <w:t xml:space="preserve">BR-006 — Raw history preservation (Must · Phase 2)</w:t>
      </w:r>
    </w:p>
    <w:p>
      <w:pPr>
        <w:spacing w:after="120"/>
      </w:pPr>
      <w:r>
        <w:rPr>
          <w:b/>
          <w:bCs/>
        </w:rPr>
        <w:t xml:space="preserve">Requirement: </w:t>
      </w:r>
      <w:r>
        <w:t xml:space="preserve">The system shall preserve raw touch records (immutable fact rows) for at least the configured retention period, supporting future AI / next-best-action analysis without re-ingestion.</w:t>
      </w:r>
    </w:p>
    <w:p>
      <w:pPr>
        <w:spacing w:after="120"/>
      </w:pPr>
      <w:r>
        <w:rPr>
          <w:b/>
          <w:bCs/>
        </w:rPr>
        <w:t xml:space="preserve">Acceptance: </w:t>
      </w:r>
      <w:r>
        <w:t xml:space="preserve">Raw touches remain queryable for the configured retention window; archival occurs only after the window expires.</w:t>
      </w:r>
    </w:p>
    <w:p>
      <w:pPr>
        <w:pStyle w:val="Heading2"/>
      </w:pPr>
      <w:r>
        <w:t xml:space="preserve">7.2 Sales Intelligence</w:t>
      </w:r>
    </w:p>
    <w:p>
      <w:pPr>
        <w:pStyle w:val="Heading3"/>
      </w:pPr>
      <w:r>
        <w:t xml:space="preserve">BR-007 — Deal team engagement on Opportunity (Must · Phase 1)</w:t>
      </w:r>
    </w:p>
    <w:p>
      <w:pPr>
        <w:spacing w:after="120"/>
      </w:pPr>
      <w:r>
        <w:rPr>
          <w:b/>
          <w:bCs/>
        </w:rPr>
        <w:t xml:space="preserve">Requirement: </w:t>
      </w:r>
      <w:r>
        <w:t xml:space="preserve">The Opportunity record shall display engagement activity by current OCR members (Deal Team) with recency and intent indicators.</w:t>
      </w:r>
    </w:p>
    <w:p>
      <w:pPr>
        <w:spacing w:after="120"/>
      </w:pPr>
      <w:r>
        <w:rPr>
          <w:b/>
          <w:bCs/>
        </w:rPr>
        <w:t xml:space="preserve">Acceptance: </w:t>
      </w:r>
      <w:r>
        <w:t xml:space="preserve">AE can identify which deal-team contacts engaged most recently with what content.</w:t>
      </w:r>
    </w:p>
    <w:p>
      <w:pPr>
        <w:pStyle w:val="Heading3"/>
      </w:pPr>
      <w:r>
        <w:t xml:space="preserve">BR-008 — Missing-stakeholder surfacing (Must · Phase 1)</w:t>
      </w:r>
    </w:p>
    <w:p>
      <w:pPr>
        <w:spacing w:after="120"/>
      </w:pPr>
      <w:r>
        <w:rPr>
          <w:b/>
          <w:bCs/>
        </w:rPr>
        <w:t xml:space="preserve">Requirement: </w:t>
      </w:r>
      <w:r>
        <w:t xml:space="preserve">The Opportunity record shall surface Contacts at the Account who are NOT on the OCR but have generated signals for this Opportunity.</w:t>
      </w:r>
    </w:p>
    <w:p>
      <w:pPr>
        <w:spacing w:after="120"/>
      </w:pPr>
      <w:r>
        <w:rPr>
          <w:b/>
          <w:bCs/>
        </w:rPr>
        <w:t xml:space="preserve">Acceptance: </w:t>
      </w:r>
      <w:r>
        <w:t xml:space="preserve">AE sees a distinct "Engaged but not on Deal Team" section with name, role, recent activity, and persona.</w:t>
      </w:r>
    </w:p>
    <w:p>
      <w:pPr>
        <w:pStyle w:val="Heading3"/>
      </w:pPr>
      <w:r>
        <w:t xml:space="preserve">BR-009 — Actionable intent signals (Must · Phase 3)</w:t>
      </w:r>
    </w:p>
    <w:p>
      <w:pPr>
        <w:spacing w:after="120"/>
      </w:pPr>
      <w:r>
        <w:rPr>
          <w:b/>
          <w:bCs/>
        </w:rPr>
        <w:t xml:space="preserve">Requirement: </w:t>
      </w:r>
      <w:r>
        <w:t xml:space="preserve">The system shall surface engagement signals annotated with persona, intent level, topic match, and frequency context (e.g., "CFO downloaded Zelis pricing 3 times in 5 days").</w:t>
      </w:r>
    </w:p>
    <w:p>
      <w:pPr>
        <w:spacing w:after="120"/>
      </w:pPr>
      <w:r>
        <w:rPr>
          <w:b/>
          <w:bCs/>
        </w:rPr>
        <w:t xml:space="preserve">Acceptance: </w:t>
      </w:r>
      <w:r>
        <w:t xml:space="preserve">Signals are interpretable at a glance and prioritized by confidence.</w:t>
      </w:r>
    </w:p>
    <w:p>
      <w:pPr>
        <w:pStyle w:val="Heading3"/>
      </w:pPr>
      <w:r>
        <w:t xml:space="preserve">BR-010 — Inline Add-to-OCR action (Should · Phase 1)</w:t>
      </w:r>
    </w:p>
    <w:p>
      <w:pPr>
        <w:spacing w:after="120"/>
      </w:pPr>
      <w:r>
        <w:rPr>
          <w:b/>
          <w:bCs/>
        </w:rPr>
        <w:t xml:space="preserve">Requirement: </w:t>
      </w:r>
      <w:r>
        <w:t xml:space="preserve">Sales users shall be able to add a suggested missing stakeholder to OCR directly from the Engagement Intelligence component on the Opportunity, without navigating away.</w:t>
      </w:r>
    </w:p>
    <w:p>
      <w:pPr>
        <w:spacing w:after="120"/>
      </w:pPr>
      <w:r>
        <w:rPr>
          <w:b/>
          <w:bCs/>
        </w:rPr>
        <w:t xml:space="preserve">Acceptance: </w:t>
      </w:r>
      <w:r>
        <w:t xml:space="preserve">A single-click action creates an OCR record with role defaulted from the signal suggestion.</w:t>
      </w:r>
    </w:p>
    <w:p>
      <w:pPr>
        <w:pStyle w:val="Heading3"/>
      </w:pPr>
      <w:r>
        <w:t xml:space="preserve">BR-011 — Signal dismissal (Should · Phase 1)</w:t>
      </w:r>
    </w:p>
    <w:p>
      <w:pPr>
        <w:spacing w:after="120"/>
      </w:pPr>
      <w:r>
        <w:rPr>
          <w:b/>
          <w:bCs/>
        </w:rPr>
        <w:t xml:space="preserve">Requirement: </w:t>
      </w:r>
      <w:r>
        <w:t xml:space="preserve">Sales users shall be able to dismiss false-positive signals with a captured reason; dismissed signals shall not reappear for the same touch context.</w:t>
      </w:r>
    </w:p>
    <w:p>
      <w:pPr>
        <w:spacing w:after="120"/>
      </w:pPr>
      <w:r>
        <w:rPr>
          <w:b/>
          <w:bCs/>
        </w:rPr>
        <w:t xml:space="preserve">Acceptance: </w:t>
      </w:r>
      <w:r>
        <w:t xml:space="preserve">A dismissed signal is removed from the active view and the dismissal reason is reportable.</w:t>
      </w:r>
    </w:p>
    <w:p>
      <w:pPr>
        <w:pStyle w:val="Heading3"/>
      </w:pPr>
      <w:r>
        <w:t xml:space="preserve">BR-012 — Ecosystem-influencer visibility (Must · Phase 1)</w:t>
      </w:r>
    </w:p>
    <w:p>
      <w:pPr>
        <w:spacing w:after="120"/>
      </w:pPr>
      <w:r>
        <w:rPr>
          <w:b/>
          <w:bCs/>
        </w:rPr>
        <w:t xml:space="preserve">Requirement: </w:t>
      </w:r>
      <w:r>
        <w:t xml:space="preserve">The system shall include engagement from non-employee ecosystem actors (consultants, partners, advisors) linked via AccountContactRelation when attributing touches to Accounts and Opportunities.</w:t>
      </w:r>
    </w:p>
    <w:p>
      <w:pPr>
        <w:spacing w:after="120"/>
      </w:pPr>
      <w:r>
        <w:rPr>
          <w:b/>
          <w:bCs/>
        </w:rPr>
        <w:t xml:space="preserve">Acceptance: </w:t>
      </w:r>
      <w:r>
        <w:t xml:space="preserve">A consultant ACR'd to multiple Accounts has their engagement appear at each Account and at relevant Opportunities.</w:t>
      </w:r>
    </w:p>
    <w:p>
      <w:pPr>
        <w:pStyle w:val="Heading2"/>
      </w:pPr>
      <w:r>
        <w:t xml:space="preserve">7.3 Account Visibility</w:t>
      </w:r>
    </w:p>
    <w:p>
      <w:pPr>
        <w:pStyle w:val="Heading3"/>
      </w:pPr>
      <w:r>
        <w:t xml:space="preserve">BR-013 — Account-level engagement view (Must · Phase 1)</w:t>
      </w:r>
    </w:p>
    <w:p>
      <w:pPr>
        <w:spacing w:after="120"/>
      </w:pPr>
      <w:r>
        <w:rPr>
          <w:b/>
          <w:bCs/>
        </w:rPr>
        <w:t xml:space="preserve">Requirement: </w:t>
      </w:r>
      <w:r>
        <w:t xml:space="preserve">The Account record shall display recent and historical engagement activity grouped by Contact and Topic.</w:t>
      </w:r>
    </w:p>
    <w:p>
      <w:pPr>
        <w:spacing w:after="120"/>
      </w:pPr>
      <w:r>
        <w:rPr>
          <w:b/>
          <w:bCs/>
        </w:rPr>
        <w:t xml:space="preserve">Acceptance: </w:t>
      </w:r>
      <w:r>
        <w:t xml:space="preserve">Marketing and sales can see who at an Account is engaging, on what topics, and how often.</w:t>
      </w:r>
    </w:p>
    <w:p>
      <w:pPr>
        <w:pStyle w:val="Heading3"/>
      </w:pPr>
      <w:r>
        <w:t xml:space="preserve">BR-014 — Engagement-spike awareness (Should · Phase 4)</w:t>
      </w:r>
    </w:p>
    <w:p>
      <w:pPr>
        <w:spacing w:after="120"/>
      </w:pPr>
      <w:r>
        <w:rPr>
          <w:b/>
          <w:bCs/>
        </w:rPr>
        <w:t xml:space="preserve">Requirement: </w:t>
      </w:r>
      <w:r>
        <w:t xml:space="preserve">The system shall highlight unusual engagement patterns at the account level (new-stakeholder clusters, frequency spikes, executive engagement).</w:t>
      </w:r>
    </w:p>
    <w:p>
      <w:pPr>
        <w:spacing w:after="120"/>
      </w:pPr>
      <w:r>
        <w:rPr>
          <w:b/>
          <w:bCs/>
        </w:rPr>
        <w:t xml:space="preserve">Acceptance: </w:t>
      </w:r>
      <w:r>
        <w:t xml:space="preserve">AE/marketing sees a visible indicator when an account's engagement pattern deviates materially from baseline.</w:t>
      </w:r>
    </w:p>
    <w:p>
      <w:pPr>
        <w:pStyle w:val="Heading3"/>
      </w:pPr>
      <w:r>
        <w:t xml:space="preserve">BR-015 — ACR-first display ordering (Should · Phase 1)</w:t>
      </w:r>
    </w:p>
    <w:p>
      <w:pPr>
        <w:spacing w:after="120"/>
      </w:pPr>
      <w:r>
        <w:rPr>
          <w:b/>
          <w:bCs/>
        </w:rPr>
        <w:t xml:space="preserve">Requirement: </w:t>
      </w:r>
      <w:r>
        <w:t xml:space="preserve">The Account engagement view shall display AccountContactRelation members (with engagement) before incidental contacts.</w:t>
      </w:r>
    </w:p>
    <w:p>
      <w:pPr>
        <w:spacing w:after="120"/>
      </w:pPr>
      <w:r>
        <w:rPr>
          <w:b/>
          <w:bCs/>
        </w:rPr>
        <w:t xml:space="preserve">Acceptance: </w:t>
      </w:r>
      <w:r>
        <w:t xml:space="preserve">ACR members appear in the top section; non-ACR engaged contacts appear in a secondary section.</w:t>
      </w:r>
    </w:p>
    <w:p>
      <w:pPr>
        <w:pStyle w:val="Heading2"/>
      </w:pPr>
      <w:r>
        <w:t xml:space="preserve">7.4 Admin / Configuration</w:t>
      </w:r>
    </w:p>
    <w:p>
      <w:pPr>
        <w:pStyle w:val="Heading3"/>
      </w:pPr>
      <w:r>
        <w:t xml:space="preserve">BR-016 — Admin-configurable routing (Must · Phase 3)</w:t>
      </w:r>
    </w:p>
    <w:p>
      <w:pPr>
        <w:spacing w:after="120"/>
      </w:pPr>
      <w:r>
        <w:rPr>
          <w:b/>
          <w:bCs/>
        </w:rPr>
        <w:t xml:space="preserve">Requirement: </w:t>
      </w:r>
      <w:r>
        <w:t xml:space="preserve">Salesforce administrators shall be able to define which HubSpot touch types map to which signal categories, topics, intent levels, and downstream actions, without developer involvement or code deployment.</w:t>
      </w:r>
    </w:p>
    <w:p>
      <w:pPr>
        <w:spacing w:after="120"/>
      </w:pPr>
      <w:r>
        <w:rPr>
          <w:b/>
          <w:bCs/>
        </w:rPr>
        <w:t xml:space="preserve">Acceptance: </w:t>
      </w:r>
      <w:r>
        <w:t xml:space="preserve">A Salesforce admin (System Administrator profile) can add, edit, deactivate, and prioritize routing rules through Setup.</w:t>
      </w:r>
    </w:p>
    <w:p>
      <w:pPr>
        <w:pStyle w:val="Heading3"/>
      </w:pPr>
      <w:r>
        <w:t xml:space="preserve">BR-017 — Routing-rule test harness (Must · Phase 4)</w:t>
      </w:r>
    </w:p>
    <w:p>
      <w:pPr>
        <w:spacing w:after="120"/>
      </w:pPr>
      <w:r>
        <w:rPr>
          <w:b/>
          <w:bCs/>
        </w:rPr>
        <w:t xml:space="preserve">Requirement: </w:t>
      </w:r>
      <w:r>
        <w:t xml:space="preserve">Admins shall be able to test a routing-rule configuration against a sample touch payload before activating, with visibility into which rule(s) fired and the resulting decision.</w:t>
      </w:r>
    </w:p>
    <w:p>
      <w:pPr>
        <w:spacing w:after="120"/>
      </w:pPr>
      <w:r>
        <w:rPr>
          <w:b/>
          <w:bCs/>
        </w:rPr>
        <w:t xml:space="preserve">Acceptance: </w:t>
      </w:r>
      <w:r>
        <w:t xml:space="preserve">A "Test a Touch" admin tool returns rule evaluation results without persisting test data.</w:t>
      </w:r>
    </w:p>
    <w:p>
      <w:pPr>
        <w:pStyle w:val="Heading3"/>
      </w:pPr>
      <w:r>
        <w:t xml:space="preserve">BR-018 — Rule coverage visibility (Must · Phase 3)</w:t>
      </w:r>
    </w:p>
    <w:p>
      <w:pPr>
        <w:spacing w:after="120"/>
      </w:pPr>
      <w:r>
        <w:rPr>
          <w:b/>
          <w:bCs/>
        </w:rPr>
        <w:t xml:space="preserve">Requirement: </w:t>
      </w:r>
      <w:r>
        <w:t xml:space="preserve">Admins shall have visibility into rule coverage: the percentage of incoming touches matched to an active rule versus uncategorized.</w:t>
      </w:r>
    </w:p>
    <w:p>
      <w:pPr>
        <w:spacing w:after="120"/>
      </w:pPr>
      <w:r>
        <w:rPr>
          <w:b/>
          <w:bCs/>
        </w:rPr>
        <w:t xml:space="preserve">Acceptance: </w:t>
      </w:r>
      <w:r>
        <w:t xml:space="preserve">A coverage dashboard or report shows matched %, uncategorized %, and a sortable list of unmatched touch types.</w:t>
      </w:r>
    </w:p>
    <w:p>
      <w:pPr>
        <w:pStyle w:val="Heading3"/>
      </w:pPr>
      <w:r>
        <w:t xml:space="preserve">BR-019 — Processing error visibility and reprocess (Must · Phase 4)</w:t>
      </w:r>
    </w:p>
    <w:p>
      <w:pPr>
        <w:spacing w:after="120"/>
      </w:pPr>
      <w:r>
        <w:rPr>
          <w:b/>
          <w:bCs/>
        </w:rPr>
        <w:t xml:space="preserve">Requirement: </w:t>
      </w:r>
      <w:r>
        <w:t xml:space="preserve">Admins shall have visibility into touch-processing errors with the ability to reprocess after resolution.</w:t>
      </w:r>
    </w:p>
    <w:p>
      <w:pPr>
        <w:spacing w:after="120"/>
      </w:pPr>
      <w:r>
        <w:rPr>
          <w:b/>
          <w:bCs/>
        </w:rPr>
        <w:t xml:space="preserve">Acceptance: </w:t>
      </w:r>
      <w:r>
        <w:t xml:space="preserve">An error queue surfaces failed touches with failure reason; admin can trigger a reprocess action.</w:t>
      </w:r>
    </w:p>
    <w:p>
      <w:pPr>
        <w:pStyle w:val="Heading2"/>
      </w:pPr>
      <w:r>
        <w:t xml:space="preserve">7.5 Data Lifecycle &amp; Compliance</w:t>
      </w:r>
    </w:p>
    <w:p>
      <w:pPr>
        <w:pStyle w:val="Heading3"/>
      </w:pPr>
      <w:r>
        <w:t xml:space="preserve">BR-020 — Configurable touch retention (Must · Phase 4)</w:t>
      </w:r>
    </w:p>
    <w:p>
      <w:pPr>
        <w:spacing w:after="120"/>
      </w:pPr>
      <w:r>
        <w:rPr>
          <w:b/>
          <w:bCs/>
        </w:rPr>
        <w:t xml:space="preserve">Requirement: </w:t>
      </w:r>
      <w:r>
        <w:t xml:space="preserve">Active touches shall be retained for a configurable operational window; touches older than the window shall be archived but remain queryable for analytics.</w:t>
      </w:r>
    </w:p>
    <w:p>
      <w:pPr>
        <w:spacing w:after="120"/>
      </w:pPr>
      <w:r>
        <w:rPr>
          <w:b/>
          <w:bCs/>
        </w:rPr>
        <w:t xml:space="preserve">Acceptance: </w:t>
      </w:r>
      <w:r>
        <w:t xml:space="preserve">Admin can set the active window (default 180 days); archived touches are accessible via report but not displayed in operational LWCs.</w:t>
      </w:r>
    </w:p>
    <w:p>
      <w:pPr>
        <w:pStyle w:val="Heading3"/>
      </w:pPr>
      <w:r>
        <w:t xml:space="preserve">BR-021 — Right-to-delete compliance (US privacy regulations) (Must · Phase 5)</w:t>
      </w:r>
    </w:p>
    <w:p>
      <w:pPr>
        <w:spacing w:after="120"/>
      </w:pPr>
      <w:r>
        <w:rPr>
          <w:b/>
          <w:bCs/>
        </w:rPr>
        <w:t xml:space="preserve">Requirement: </w:t>
      </w:r>
      <w:r>
        <w:t xml:space="preserve">Deletion of a Contact (e.g., per a CCPA or other applicable US state-law deletion request) shall cascade to the deletion of all associated touch and signal records, including archived/inactive records.</w:t>
      </w:r>
    </w:p>
    <w:p>
      <w:pPr>
        <w:spacing w:after="120"/>
      </w:pPr>
      <w:r>
        <w:rPr>
          <w:b/>
          <w:bCs/>
        </w:rPr>
        <w:t xml:space="preserve">Acceptance: </w:t>
      </w:r>
      <w:r>
        <w:t xml:space="preserve">Deleting a Contact removes related touches and signals within the contractual response window via a guaranteed cleanup job.</w:t>
      </w:r>
    </w:p>
    <w:p>
      <w:pPr>
        <w:pStyle w:val="Heading3"/>
      </w:pPr>
      <w:r>
        <w:t xml:space="preserve">BR-022 — Signal decay (Should · Phase 4)</w:t>
      </w:r>
    </w:p>
    <w:p>
      <w:pPr>
        <w:spacing w:after="120"/>
      </w:pPr>
      <w:r>
        <w:rPr>
          <w:b/>
          <w:bCs/>
        </w:rPr>
        <w:t xml:space="preserve">Requirement: </w:t>
      </w:r>
      <w:r>
        <w:t xml:space="preserve">Opportunity engagement signals shall age out per a configurable decay window to prevent stale signals influencing current attention.</w:t>
      </w:r>
    </w:p>
    <w:p>
      <w:pPr>
        <w:spacing w:after="120"/>
      </w:pPr>
      <w:r>
        <w:rPr>
          <w:b/>
          <w:bCs/>
        </w:rPr>
        <w:t xml:space="preserve">Acceptance: </w:t>
      </w:r>
      <w:r>
        <w:t xml:space="preserve">A scheduled job inactivates signals past the configured expiry; expired signals are not shown in active UI but remain reportable.</w:t>
      </w:r>
    </w:p>
    <w:p>
      <w:pPr>
        <w:pStyle w:val="Heading2"/>
      </w:pPr>
      <w:r>
        <w:t xml:space="preserve">7.6 Reporting</w:t>
      </w:r>
    </w:p>
    <w:p>
      <w:pPr>
        <w:pStyle w:val="Heading3"/>
      </w:pPr>
      <w:r>
        <w:t xml:space="preserve">BR-023 — Campaign Influence parity (Must · Phase 5)</w:t>
      </w:r>
    </w:p>
    <w:p>
      <w:pPr>
        <w:spacing w:after="120"/>
      </w:pPr>
      <w:r>
        <w:rPr>
          <w:b/>
          <w:bCs/>
        </w:rPr>
        <w:t xml:space="preserve">Requirement: </w:t>
      </w:r>
      <w:r>
        <w:t xml:space="preserve">Salesforce Customizable Campaign Influence shall continue to produce baseline marketing attribution reporting; the new system shall not break or replace it.</w:t>
      </w:r>
    </w:p>
    <w:p>
      <w:pPr>
        <w:spacing w:after="120"/>
      </w:pPr>
      <w:r>
        <w:rPr>
          <w:b/>
          <w:bCs/>
        </w:rPr>
        <w:t xml:space="preserve">Acceptance: </w:t>
      </w:r>
      <w:r>
        <w:t xml:space="preserve">Existing Campaign Influence reports continue to function on the same data.</w:t>
      </w:r>
    </w:p>
    <w:p>
      <w:pPr>
        <w:pStyle w:val="Heading3"/>
      </w:pPr>
      <w:r>
        <w:t xml:space="preserve">BR-024 — High-intent reports (Must · Phase 5)</w:t>
      </w:r>
    </w:p>
    <w:p>
      <w:pPr>
        <w:spacing w:after="120"/>
      </w:pPr>
      <w:r>
        <w:rPr>
          <w:b/>
          <w:bCs/>
        </w:rPr>
        <w:t xml:space="preserve">Requirement: </w:t>
      </w:r>
      <w:r>
        <w:t xml:space="preserve">Reports shall be available for high-intent touches grouped by Account, Opportunity, Topic, Campaign, and Persona.</w:t>
      </w:r>
    </w:p>
    <w:p>
      <w:pPr>
        <w:spacing w:after="120"/>
      </w:pPr>
      <w:r>
        <w:rPr>
          <w:b/>
          <w:bCs/>
        </w:rPr>
        <w:t xml:space="preserve">Acceptance: </w:t>
      </w:r>
      <w:r>
        <w:t xml:space="preserve">A standard report folder exposes these for marketing ops and sales leadership.</w:t>
      </w:r>
    </w:p>
    <w:p>
      <w:pPr>
        <w:pStyle w:val="Heading3"/>
      </w:pPr>
      <w:r>
        <w:t xml:space="preserve">BR-025 — Sales engagement-gap report (Should · Phase 5)</w:t>
      </w:r>
    </w:p>
    <w:p>
      <w:pPr>
        <w:spacing w:after="120"/>
      </w:pPr>
      <w:r>
        <w:rPr>
          <w:b/>
          <w:bCs/>
        </w:rPr>
        <w:t xml:space="preserve">Requirement: </w:t>
      </w:r>
      <w:r>
        <w:t xml:space="preserve">A report shall surface open opportunities with no signals or below-threshold signal coverage to help marketing and sales identify silent deals.</w:t>
      </w:r>
    </w:p>
    <w:p>
      <w:pPr>
        <w:spacing w:after="120"/>
      </w:pPr>
      <w:r>
        <w:rPr>
          <w:b/>
          <w:bCs/>
        </w:rPr>
        <w:t xml:space="preserve">Acceptance: </w:t>
      </w:r>
      <w:r>
        <w:t xml:space="preserve">The "Silent Opportunities" report lists open opps with last-signal-date older than threshold or count = 0.</w:t>
      </w:r>
    </w:p>
    <w:p>
      <w:pPr>
        <w:pStyle w:val="Heading3"/>
      </w:pPr>
      <w:r>
        <w:t xml:space="preserve">BR-026 — Routing-rule coverage report (Must · Phase 5)</w:t>
      </w:r>
    </w:p>
    <w:p>
      <w:pPr>
        <w:spacing w:after="120"/>
      </w:pPr>
      <w:r>
        <w:rPr>
          <w:b/>
          <w:bCs/>
        </w:rPr>
        <w:t xml:space="preserve">Requirement: </w:t>
      </w:r>
      <w:r>
        <w:t xml:space="preserve">A report shall expose unmatched touch types so admins can author additional routing rules.</w:t>
      </w:r>
    </w:p>
    <w:p>
      <w:pPr>
        <w:spacing w:after="120"/>
      </w:pPr>
      <w:r>
        <w:rPr>
          <w:b/>
          <w:bCs/>
        </w:rPr>
        <w:t xml:space="preserve">Acceptance: </w:t>
      </w:r>
      <w:r>
        <w:t xml:space="preserve">Report lists distinct HubSpot source types with count, last seen date, and percent uncategorized.</w:t>
      </w:r>
    </w:p>
    <w:p>
      <w:pPr>
        <w:pStyle w:val="Heading2"/>
      </w:pPr>
      <w:r>
        <w:t xml:space="preserve">7.7 Performance &amp; Operations</w:t>
      </w:r>
    </w:p>
    <w:p>
      <w:pPr>
        <w:pStyle w:val="Heading3"/>
      </w:pPr>
      <w:r>
        <w:t xml:space="preserve">BR-027 — Ingest throughput (Must · Phase 5)</w:t>
      </w:r>
    </w:p>
    <w:p>
      <w:pPr>
        <w:spacing w:after="120"/>
      </w:pPr>
      <w:r>
        <w:rPr>
          <w:b/>
          <w:bCs/>
        </w:rPr>
        <w:t xml:space="preserve">Requirement: </w:t>
      </w:r>
      <w:r>
        <w:t xml:space="preserve">The ingest API shall handle a sustained rate of at least 1,000 touches per day and burst spikes (trade-show days) of up to 10,000 touches per hour without missing events or breaching the inbound API SLA.</w:t>
      </w:r>
    </w:p>
    <w:p>
      <w:pPr>
        <w:spacing w:after="120"/>
      </w:pPr>
      <w:r>
        <w:rPr>
          <w:b/>
          <w:bCs/>
        </w:rPr>
        <w:t xml:space="preserve">Acceptance: </w:t>
      </w:r>
      <w:r>
        <w:t xml:space="preserve">Load test demonstrates the system absorbs the burst rate with no failed events and sub-second 99th-percentile ingest latency.</w:t>
      </w:r>
    </w:p>
    <w:p>
      <w:pPr>
        <w:pStyle w:val="Heading3"/>
      </w:pPr>
      <w:r>
        <w:t xml:space="preserve">BR-028 — UI render latency (Should · Phase 5)</w:t>
      </w:r>
    </w:p>
    <w:p>
      <w:pPr>
        <w:spacing w:after="120"/>
      </w:pPr>
      <w:r>
        <w:rPr>
          <w:b/>
          <w:bCs/>
        </w:rPr>
        <w:t xml:space="preserve">Requirement: </w:t>
      </w:r>
      <w:r>
        <w:t xml:space="preserve">The Opportunity Engagement Intelligence component shall render in under 2 seconds at the 95th percentile on an Opportunity with up to 5 years of accumulated touch history.</w:t>
      </w:r>
    </w:p>
    <w:p>
      <w:pPr>
        <w:spacing w:after="120"/>
      </w:pPr>
      <w:r>
        <w:rPr>
          <w:b/>
          <w:bCs/>
        </w:rPr>
        <w:t xml:space="preserve">Acceptance: </w:t>
      </w:r>
      <w:r>
        <w:t xml:space="preserve">Render-latency telemetry shows p95 &lt; 2s under realistic data volume.</w:t>
      </w:r>
    </w:p>
    <w:p>
      <w:r>
        <w:br w:type="page"/>
      </w:r>
    </w:p>
    <w:p>
      <w:pPr>
        <w:pStyle w:val="Heading1"/>
      </w:pPr>
      <w:r>
        <w:t xml:space="preserve">8.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Rule ID</w:t>
            </w:r>
          </w:p>
        </w:tc>
        <w:tc>
          <w:tcPr>
            <w:tcW w:type="dxa" w:w="75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Rule</w:t>
            </w:r>
          </w:p>
        </w:tc>
      </w:tr>
      <w:tr>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BR-RULE-01</w:t>
            </w:r>
          </w:p>
        </w:tc>
        <w:tc>
          <w:tcPr>
            <w:tcW w:type="dxa" w:w="75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A touch is created exactly once per source event. Repeated webhook deliveries with the same external ID are deduplicated.</w:t>
            </w:r>
          </w:p>
        </w:tc>
      </w:tr>
      <w:tr>
        <w:tc>
          <w:tcPr>
            <w:tcW w:type="dxa" w:w="18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BR-RULE-02</w:t>
            </w:r>
          </w:p>
        </w:tc>
        <w:tc>
          <w:tcPr>
            <w:tcW w:type="dxa" w:w="75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A touch that cannot be resolved to a Lead or Contact at ingest time remains in Pending Resolution state and is retried on a daily basis.</w:t>
            </w:r>
          </w:p>
        </w:tc>
      </w:tr>
      <w:tr>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BR-RULE-03</w:t>
            </w:r>
          </w:p>
        </w:tc>
        <w:tc>
          <w:tcPr>
            <w:tcW w:type="dxa" w:w="75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A signal is created only when the cumulative confidence score for a (Touch, Opportunity) pair meets or exceeds the configured threshold.</w:t>
            </w:r>
          </w:p>
        </w:tc>
      </w:tr>
      <w:tr>
        <w:tc>
          <w:tcPr>
            <w:tcW w:type="dxa" w:w="18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BR-RULE-04</w:t>
            </w:r>
          </w:p>
        </w:tc>
        <w:tc>
          <w:tcPr>
            <w:tcW w:type="dxa" w:w="75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Signal confidence is computed from match path (OCR &gt; ACR &gt; Account-only &gt; Domain-only) plus persona weighting plus a time-decay multiplier.</w:t>
            </w:r>
          </w:p>
        </w:tc>
      </w:tr>
      <w:tr>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BR-RULE-05</w:t>
            </w:r>
          </w:p>
        </w:tc>
        <w:tc>
          <w:tcPr>
            <w:tcW w:type="dxa" w:w="75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Touches older than the active retention window are archived; archived touches do not contribute to new signals.</w:t>
            </w:r>
          </w:p>
        </w:tc>
      </w:tr>
      <w:tr>
        <w:tc>
          <w:tcPr>
            <w:tcW w:type="dxa" w:w="18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BR-RULE-06</w:t>
            </w:r>
          </w:p>
        </w:tc>
        <w:tc>
          <w:tcPr>
            <w:tcW w:type="dxa" w:w="75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Signals older than the signal-decay window are marked Expired and excluded from active UI but remain in reports.</w:t>
            </w:r>
          </w:p>
        </w:tc>
      </w:tr>
      <w:tr>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BR-RULE-07</w:t>
            </w:r>
          </w:p>
        </w:tc>
        <w:tc>
          <w:tcPr>
            <w:tcW w:type="dxa" w:w="75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Deleting a Contact deletes (or anonymizes) all child touches and signals within the same compliance cycle.</w:t>
            </w:r>
          </w:p>
        </w:tc>
      </w:tr>
      <w:tr>
        <w:tc>
          <w:tcPr>
            <w:tcW w:type="dxa" w:w="18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BR-RULE-08</w:t>
            </w:r>
          </w:p>
        </w:tc>
        <w:tc>
          <w:tcPr>
            <w:tcW w:type="dxa" w:w="75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A signal's match path determines its provenance label in the UI ("OCR Member", "ACR / Ecosystem", "Account Match").</w:t>
            </w:r>
          </w:p>
        </w:tc>
      </w:tr>
      <w:tr>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BR-RULE-09</w:t>
            </w:r>
          </w:p>
        </w:tc>
        <w:tc>
          <w:tcPr>
            <w:tcW w:type="dxa" w:w="75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Admins cannot delete an active routing rule that has produced signals in the last 90 days; they must deactivate first.</w:t>
            </w:r>
          </w:p>
        </w:tc>
      </w:tr>
      <w:tr>
        <w:tc>
          <w:tcPr>
            <w:tcW w:type="dxa" w:w="18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BR-RULE-10</w:t>
            </w:r>
          </w:p>
        </w:tc>
        <w:tc>
          <w:tcPr>
            <w:tcW w:type="dxa" w:w="75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Sales-dismissed signals are excluded from rule-coverage calculations to prevent admins from over-weighting low-quality rules.</w:t>
            </w:r>
          </w:p>
        </w:tc>
      </w:tr>
    </w:tbl>
    <w:p>
      <w:r>
        <w:br w:type="page"/>
      </w:r>
    </w:p>
    <w:p>
      <w:pPr>
        <w:pStyle w:val="Heading1"/>
      </w:pPr>
      <w:r>
        <w:t xml:space="preserve">9.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rPr>
          <w:tblHeader/>
        </w:trPr>
        <w:tc>
          <w:tcPr>
            <w:tcW w:type="dxa" w:w="1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Story ID</w:t>
            </w:r>
          </w:p>
        </w:tc>
        <w:tc>
          <w:tcPr>
            <w:tcW w:type="dxa" w:w="21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Satisfies BR-IDs</w:t>
            </w:r>
          </w:p>
        </w:tc>
        <w:tc>
          <w:tcPr>
            <w:tcW w:type="dxa" w:w="60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Story</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US-01</w:t>
            </w:r>
          </w:p>
        </w:tc>
        <w:tc>
          <w:tcPr>
            <w:tcW w:type="dxa" w:w="21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BR-007, BR-008, BR-009</w:t>
            </w:r>
          </w:p>
        </w:tc>
        <w:tc>
          <w:tcPr>
            <w:tcW w:type="dxa" w:w="6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As an AE, I want to see who at this Account is currently engaging — including people not on my deal team — so I can identify hidden buying-committee members.</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US-02</w:t>
            </w:r>
          </w:p>
        </w:tc>
        <w:tc>
          <w:tcPr>
            <w:tcW w:type="dxa" w:w="21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BR-010</w:t>
            </w:r>
          </w:p>
        </w:tc>
        <w:tc>
          <w:tcPr>
            <w:tcW w:type="dxa" w:w="60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As an AE, I want to add an engaged but missing stakeholder to the OCR with one click so maintaining the deal team is no longer friction.</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US-03</w:t>
            </w:r>
          </w:p>
        </w:tc>
        <w:tc>
          <w:tcPr>
            <w:tcW w:type="dxa" w:w="21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BR-011</w:t>
            </w:r>
          </w:p>
        </w:tc>
        <w:tc>
          <w:tcPr>
            <w:tcW w:type="dxa" w:w="6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As an AE, I want to dismiss low-quality signals with a reason so my Opportunity view stays useful.</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US-04</w:t>
            </w:r>
          </w:p>
        </w:tc>
        <w:tc>
          <w:tcPr>
            <w:tcW w:type="dxa" w:w="21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BR-013, BR-015</w:t>
            </w:r>
          </w:p>
        </w:tc>
        <w:tc>
          <w:tcPr>
            <w:tcW w:type="dxa" w:w="60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As an AE, I want to see Account-wide engagement segmented by ACR vs incidental contacts so I can spot ecosystem influencers (consultants) early.</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US-05</w:t>
            </w:r>
          </w:p>
        </w:tc>
        <w:tc>
          <w:tcPr>
            <w:tcW w:type="dxa" w:w="21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BR-001, BR-006</w:t>
            </w:r>
          </w:p>
        </w:tc>
        <w:tc>
          <w:tcPr>
            <w:tcW w:type="dxa" w:w="6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As Marketing Ops, I want every HubSpot engagement preserved as a raw record so we can apply better attribution models later.</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US-06</w:t>
            </w:r>
          </w:p>
        </w:tc>
        <w:tc>
          <w:tcPr>
            <w:tcW w:type="dxa" w:w="21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BR-004, BR-009</w:t>
            </w:r>
          </w:p>
        </w:tc>
        <w:tc>
          <w:tcPr>
            <w:tcW w:type="dxa" w:w="60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As Marketing Ops, I want non-OCR stakeholders (CFOs, technical evaluators) to count toward Opportunity attribution so we get credit for real influence.</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US-07</w:t>
            </w:r>
          </w:p>
        </w:tc>
        <w:tc>
          <w:tcPr>
            <w:tcW w:type="dxa" w:w="21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BR-024, BR-025</w:t>
            </w:r>
          </w:p>
        </w:tc>
        <w:tc>
          <w:tcPr>
            <w:tcW w:type="dxa" w:w="6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As Sales Ops, I want reports showing open opportunities with low signal coverage so we can intervene early.</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US-08</w:t>
            </w:r>
          </w:p>
        </w:tc>
        <w:tc>
          <w:tcPr>
            <w:tcW w:type="dxa" w:w="21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BR-016, BR-017</w:t>
            </w:r>
          </w:p>
        </w:tc>
        <w:tc>
          <w:tcPr>
            <w:tcW w:type="dxa" w:w="60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As an Admin, I want to configure new HubSpot touch-to-signal mappings without engineering, with a test tool to verify the rule before going live.</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US-09</w:t>
            </w:r>
          </w:p>
        </w:tc>
        <w:tc>
          <w:tcPr>
            <w:tcW w:type="dxa" w:w="21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BR-018, BR-026</w:t>
            </w:r>
          </w:p>
        </w:tc>
        <w:tc>
          <w:tcPr>
            <w:tcW w:type="dxa" w:w="6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As an Admin, I want a dashboard of unmatched touch types so I know where to author new rules.</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US-10</w:t>
            </w:r>
          </w:p>
        </w:tc>
        <w:tc>
          <w:tcPr>
            <w:tcW w:type="dxa" w:w="21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BR-019</w:t>
            </w:r>
          </w:p>
        </w:tc>
        <w:tc>
          <w:tcPr>
            <w:tcW w:type="dxa" w:w="60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As an Admin, I want a queue of touches that failed processing with one-click reprocess once I fix the cause.</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US-11</w:t>
            </w:r>
          </w:p>
        </w:tc>
        <w:tc>
          <w:tcPr>
            <w:tcW w:type="dxa" w:w="21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BR-005</w:t>
            </w:r>
          </w:p>
        </w:tc>
        <w:tc>
          <w:tcPr>
            <w:tcW w:type="dxa" w:w="6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As a System, when a Lead converts I must reparent prior touches so the buying-signal history follows the person, not the record type.</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US-12</w:t>
            </w:r>
          </w:p>
        </w:tc>
        <w:tc>
          <w:tcPr>
            <w:tcW w:type="dxa" w:w="21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BR-021</w:t>
            </w:r>
          </w:p>
        </w:tc>
        <w:tc>
          <w:tcPr>
            <w:tcW w:type="dxa" w:w="60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As Compliance, when a Contact is deleted I require all related engagement data to be removed within the same compliance window.</w:t>
            </w:r>
          </w:p>
        </w:tc>
      </w:tr>
    </w:tbl>
    <w:p>
      <w:r>
        <w:br w:type="page"/>
      </w:r>
    </w:p>
    <w:p>
      <w:pPr>
        <w:pStyle w:val="Heading1"/>
      </w:pPr>
      <w: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NFR-ID</w:t>
            </w:r>
          </w:p>
        </w:tc>
        <w:tc>
          <w:tcPr>
            <w:tcW w:type="dxa" w:w="24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Category</w:t>
            </w:r>
          </w:p>
        </w:tc>
        <w:tc>
          <w:tcPr>
            <w:tcW w:type="dxa" w:w="57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Requirement</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NFR-01</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Performance — ingest</w:t>
            </w:r>
          </w:p>
        </w:tc>
        <w:tc>
          <w:tcPr>
            <w:tcW w:type="dxa" w:w="5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Inbound API p99 latency &lt; 1 second under sustained 10 touches/sec load.</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NFR-02</w:t>
            </w:r>
          </w:p>
        </w:tc>
        <w:tc>
          <w:tcPr>
            <w:tcW w:type="dxa" w:w="24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Performance — UI</w:t>
            </w:r>
          </w:p>
        </w:tc>
        <w:tc>
          <w:tcPr>
            <w:tcW w:type="dxa" w:w="57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Opportunity LWC p95 render &lt; 2 seconds with 5-year touch history on the Account.</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NFR-03</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Throughput</w:t>
            </w:r>
          </w:p>
        </w:tc>
        <w:tc>
          <w:tcPr>
            <w:tcW w:type="dxa" w:w="5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Capacity for sustained 1,000 touches/day and burst 10,000 touches/hour.</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NFR-04</w:t>
            </w:r>
          </w:p>
        </w:tc>
        <w:tc>
          <w:tcPr>
            <w:tcW w:type="dxa" w:w="24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Reliability</w:t>
            </w:r>
          </w:p>
        </w:tc>
        <w:tc>
          <w:tcPr>
            <w:tcW w:type="dxa" w:w="57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No event loss: every accepted touch must either persist or surface in the processing-error queue.</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NFR-05</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Security — data classification</w:t>
            </w:r>
          </w:p>
        </w:tc>
        <w:tc>
          <w:tcPr>
            <w:tcW w:type="dxa" w:w="5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Touches contain behavioral PII. Sharing model: Private OWD, share via account team and Apex managed sharing.</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NFR-06</w:t>
            </w:r>
          </w:p>
        </w:tc>
        <w:tc>
          <w:tcPr>
            <w:tcW w:type="dxa" w:w="24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Security — auth</w:t>
            </w:r>
          </w:p>
        </w:tc>
        <w:tc>
          <w:tcPr>
            <w:tcW w:type="dxa" w:w="57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Inbound ingest endpoint authenticated via Named Credential or Connected App with rotation policy.</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NFR-07</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Auditability</w:t>
            </w:r>
          </w:p>
        </w:tc>
        <w:tc>
          <w:tcPr>
            <w:tcW w:type="dxa" w:w="5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Every signal carries provenance (which touches contributed, which rule fired, when).</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NFR-08</w:t>
            </w:r>
          </w:p>
        </w:tc>
        <w:tc>
          <w:tcPr>
            <w:tcW w:type="dxa" w:w="24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Recoverability</w:t>
            </w:r>
          </w:p>
        </w:tc>
        <w:tc>
          <w:tcPr>
            <w:tcW w:type="dxa" w:w="57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Failed touches reprocessable within 24h without manual data correction in the source system.</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NFR-09</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Maintainability</w:t>
            </w:r>
          </w:p>
        </w:tc>
        <w:tc>
          <w:tcPr>
            <w:tcW w:type="dxa" w:w="5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Routing rules fully admin-managed via Custom Metadata; no code change required for new touch-type mappings.</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NFR-10</w:t>
            </w:r>
          </w:p>
        </w:tc>
        <w:tc>
          <w:tcPr>
            <w:tcW w:type="dxa" w:w="24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Observability</w:t>
            </w:r>
          </w:p>
        </w:tc>
        <w:tc>
          <w:tcPr>
            <w:tcW w:type="dxa" w:w="57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Time-to-signal latency and routing-rule coverage metrics exposed via dashboard.</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NFR-11</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Scalability</w:t>
            </w:r>
          </w:p>
        </w:tc>
        <w:tc>
          <w:tcPr>
            <w:tcW w:type="dxa" w:w="5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Data model and async pattern must accommodate 5x current volume without architectural change.</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NFR-12</w:t>
            </w:r>
          </w:p>
        </w:tc>
        <w:tc>
          <w:tcPr>
            <w:tcW w:type="dxa" w:w="24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Compliance</w:t>
            </w:r>
          </w:p>
        </w:tc>
        <w:tc>
          <w:tcPr>
            <w:tcW w:type="dxa" w:w="57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Right-to-delete requests under CCPA and applicable US state privacy laws (Colorado CPA, Connecticut CTDPA, Virginia VCDPA, Utah UCPA, Texas TDPSA, Delaware DPDPA, etc.) honored within the contractual response window (typically 45 days under CCPA).</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NFR-13</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Compliance</w:t>
            </w:r>
          </w:p>
        </w:tc>
        <w:tc>
          <w:tcPr>
            <w:tcW w:type="dxa" w:w="5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HIPAA boundary: this application processes marketing engagement data (downloads, webinar attendance, form submissions) only — not Protected Health Information. If a future change introduces clinical or claim-data touches, HIPAA controls must be re-evaluated by Security &amp; Compliance before deployment.</w:t>
            </w:r>
          </w:p>
        </w:tc>
      </w:tr>
    </w:tbl>
    <w:p>
      <w:r>
        <w:br w:type="page"/>
      </w:r>
    </w:p>
    <w:p>
      <w:pPr>
        <w:pStyle w:val="Heading1"/>
      </w:pPr>
      <w:r>
        <w:t xml:space="preserve">11. Assumptions</w:t>
      </w:r>
    </w:p>
    <w:p>
      <w:pPr>
        <w:pStyle w:val="ListParagraph"/>
        <w:numPr>
          <w:ilvl w:val="0"/>
          <w:numId w:val="2"/>
        </w:numPr>
      </w:pPr>
      <w:r>
        <w:t xml:space="preserve">HubSpot will deliver engagement events to a Salesforce Apex REST endpoint via webhook with a stable external identifier per event.</w:t>
      </w:r>
    </w:p>
    <w:p>
      <w:pPr>
        <w:pStyle w:val="ListParagraph"/>
        <w:numPr>
          <w:ilvl w:val="0"/>
          <w:numId w:val="2"/>
        </w:numPr>
      </w:pPr>
      <w:r>
        <w:t xml:space="preserve">HubSpot includes the engaged Contact's email (or another resolvable identifier) on every event payload.</w:t>
      </w:r>
    </w:p>
    <w:p>
      <w:pPr>
        <w:pStyle w:val="ListParagraph"/>
        <w:numPr>
          <w:ilvl w:val="0"/>
          <w:numId w:val="2"/>
        </w:numPr>
      </w:pPr>
      <w:r>
        <w:t xml:space="preserve">Salesforce edition supports Platform Events at sufficient daily allocation (Enterprise or higher; allocation to be confirmed).</w:t>
      </w:r>
    </w:p>
    <w:p>
      <w:pPr>
        <w:pStyle w:val="ListParagraph"/>
        <w:numPr>
          <w:ilvl w:val="0"/>
          <w:numId w:val="2"/>
        </w:numPr>
      </w:pPr>
      <w:r>
        <w:t xml:space="preserve">A Salesforce Logger framework (Nebula Logger or equivalent) is already in place per existing best-practices/.</w:t>
      </w:r>
    </w:p>
    <w:p>
      <w:pPr>
        <w:pStyle w:val="ListParagraph"/>
        <w:numPr>
          <w:ilvl w:val="0"/>
          <w:numId w:val="2"/>
        </w:numPr>
      </w:pPr>
      <w:r>
        <w:t xml:space="preserve">AccountContactRelation is already enabled and used to model consultants/ecosystem actors.</w:t>
      </w:r>
    </w:p>
    <w:p>
      <w:pPr>
        <w:pStyle w:val="ListParagraph"/>
        <w:numPr>
          <w:ilvl w:val="0"/>
          <w:numId w:val="2"/>
        </w:numPr>
      </w:pPr>
      <w:r>
        <w:t xml:space="preserve">Customizable Campaign Influence is enabled and will be retained for baseline reporting.</w:t>
      </w:r>
    </w:p>
    <w:p>
      <w:pPr>
        <w:pStyle w:val="ListParagraph"/>
        <w:numPr>
          <w:ilvl w:val="0"/>
          <w:numId w:val="2"/>
        </w:numPr>
      </w:pPr>
      <w:r>
        <w:t xml:space="preserve">Marketing has an asset/topic taxonomy that can be normalized into a Touch_Topic hierarchy.</w:t>
      </w:r>
    </w:p>
    <w:p>
      <w:r>
        <w:br w:type="page"/>
      </w:r>
    </w:p>
    <w:p>
      <w:pPr>
        <w:pStyle w:val="Heading1"/>
      </w:pPr>
      <w:r>
        <w:t xml:space="preserve">12.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Dependency</w:t>
            </w:r>
          </w:p>
        </w:tc>
        <w:tc>
          <w:tcPr>
            <w:tcW w:type="dxa" w:w="63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Detail</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Existing fflib-style utility classes</w:t>
            </w:r>
          </w:p>
        </w:tc>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DMLManager, Logger, TriggerHandler, TestFactory, Utilities — to be reused, not re-implemented (see Code Guidelines in best-practices/).</w:t>
            </w:r>
          </w:p>
        </w:tc>
      </w:tr>
      <w:tr>
        <w:tc>
          <w:tcPr>
            <w:tcW w:type="dxa" w:w="30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HubSpot side configuration</w:t>
            </w:r>
          </w:p>
        </w:tc>
        <w:tc>
          <w:tcPr>
            <w:tcW w:type="dxa" w:w="63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Webhook setup pointing to the Salesforce REST endpoint; event payload schema confirmation; asset taxonomy alignment.</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Salesforce permission set</w:t>
            </w:r>
          </w:p>
        </w:tc>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Engagement Attribution User permission set must be deployed and assigned before pilot.</w:t>
            </w:r>
          </w:p>
        </w:tc>
      </w:tr>
      <w:tr>
        <w:tc>
          <w:tcPr>
            <w:tcW w:type="dxa" w:w="30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Sales Cloud Customizable Campaign Influence</w:t>
            </w:r>
          </w:p>
        </w:tc>
        <w:tc>
          <w:tcPr>
            <w:tcW w:type="dxa" w:w="63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Must remain enabled; this initiative does not replace it.</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Identity reconciliation policy</w:t>
            </w:r>
          </w:p>
        </w:tc>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Marketing and IT must agree on email-domain handling for ambiguous identity resolution cases.</w:t>
            </w:r>
          </w:p>
        </w:tc>
      </w:tr>
    </w:tbl>
    <w:p>
      <w:r>
        <w:br w:type="page"/>
      </w:r>
    </w:p>
    <w:p>
      <w:pPr>
        <w:pStyle w:val="Heading1"/>
      </w:pPr>
      <w: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3500"/>
        <w:gridCol w:w="3660"/>
      </w:tblGrid>
      <w:tr>
        <w:trPr>
          <w:tblHeader/>
        </w:trPr>
        <w:tc>
          <w:tcPr>
            <w:tcW w:type="dxa" w:w="10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Risk ID</w:t>
            </w:r>
          </w:p>
        </w:tc>
        <w:tc>
          <w:tcPr>
            <w:tcW w:type="dxa" w:w="1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Severity</w:t>
            </w:r>
          </w:p>
        </w:tc>
        <w:tc>
          <w:tcPr>
            <w:tcW w:type="dxa" w:w="35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Risk</w:t>
            </w:r>
          </w:p>
        </w:tc>
        <w:tc>
          <w:tcPr>
            <w:tcW w:type="dxa" w:w="36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Mitigation</w:t>
            </w:r>
          </w:p>
        </w:tc>
      </w:tr>
      <w:tr>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R-01</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High</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Adoption — sales does not maintain OCR even with new incentives.</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Make engagement intelligence valuable enough on its own that OCR maintenance is reinforced rather than required. Pilot before broad rollout.</w:t>
            </w:r>
          </w:p>
        </w:tc>
      </w:tr>
      <w:tr>
        <w:tc>
          <w:tcPr>
            <w:tcW w:type="dxa" w:w="10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R-02</w:t>
            </w:r>
          </w:p>
        </w:tc>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High</w:t>
            </w:r>
          </w:p>
        </w:tc>
        <w:tc>
          <w:tcPr>
            <w:tcW w:type="dxa" w:w="35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Identity resolution — high volume of touches arrive with emails not yet in Salesforce.</w:t>
            </w:r>
          </w:p>
        </w:tc>
        <w:tc>
          <w:tcPr>
            <w:tcW w:type="dxa" w:w="36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Treat unresolved touches as first-class data, retry resolution on a daily job, surface to admins for review.</w:t>
            </w:r>
          </w:p>
        </w:tc>
      </w:tr>
      <w:tr>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R-03</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Medium</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Signal noise — too many signals dilute the value.</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Confidence threshold tunable via CMD. Pilot data informs default thresholds before broad release.</w:t>
            </w:r>
          </w:p>
        </w:tc>
      </w:tr>
      <w:tr>
        <w:tc>
          <w:tcPr>
            <w:tcW w:type="dxa" w:w="10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R-04</w:t>
            </w:r>
          </w:p>
        </w:tc>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Medium</w:t>
            </w:r>
          </w:p>
        </w:tc>
        <w:tc>
          <w:tcPr>
            <w:tcW w:type="dxa" w:w="35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Volume — HubSpot event spikes (trade-show days) exceed Salesforce platform-event allocations.</w:t>
            </w:r>
          </w:p>
        </w:tc>
        <w:tc>
          <w:tcPr>
            <w:tcW w:type="dxa" w:w="36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Throttle at the ingest endpoint; queue overflow to a Salesforce Big Object for reprocessing.</w:t>
            </w:r>
          </w:p>
        </w:tc>
      </w:tr>
      <w:tr>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R-05</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Medium</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Routing-rule complexity outgrows CMD.</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Provide a vetted Apex predicate hook for advanced rules; restrict via interface and security review.</w:t>
            </w:r>
          </w:p>
        </w:tc>
      </w:tr>
      <w:tr>
        <w:tc>
          <w:tcPr>
            <w:tcW w:type="dxa" w:w="10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R-06</w:t>
            </w:r>
          </w:p>
        </w:tc>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Medium</w:t>
            </w:r>
          </w:p>
        </w:tc>
        <w:tc>
          <w:tcPr>
            <w:tcW w:type="dxa" w:w="35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Privacy delete cascade misses archived records.</w:t>
            </w:r>
          </w:p>
        </w:tc>
        <w:tc>
          <w:tcPr>
            <w:tcW w:type="dxa" w:w="36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Run cascade against both active and archive stores; include in compliance test suite.</w:t>
            </w:r>
          </w:p>
        </w:tc>
      </w:tr>
      <w:tr>
        <w:tc>
          <w:tcPr>
            <w:tcW w:type="dxa" w:w="1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R-07</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Low</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Campaign Influence and the new signal model produce conflicting attribution numbers.</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Position the new model as the canonical view; document any divergence; report both side-by-side during pilot.</w:t>
            </w:r>
          </w:p>
        </w:tc>
      </w:tr>
      <w:tr>
        <w:tc>
          <w:tcPr>
            <w:tcW w:type="dxa" w:w="10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R-08</w:t>
            </w:r>
          </w:p>
        </w:tc>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Low</w:t>
            </w:r>
          </w:p>
        </w:tc>
        <w:tc>
          <w:tcPr>
            <w:tcW w:type="dxa" w:w="35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Sandbox seeding from production breaks identity links.</w:t>
            </w:r>
          </w:p>
        </w:tc>
        <w:tc>
          <w:tcPr>
            <w:tcW w:type="dxa" w:w="36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Provide a refresh playbook that re-runs the identity resolver after a sandbox refresh.</w:t>
            </w:r>
          </w:p>
        </w:tc>
      </w:tr>
    </w:tbl>
    <w:p>
      <w:r>
        <w:br w:type="page"/>
      </w:r>
    </w:p>
    <w:p>
      <w:pPr>
        <w:pStyle w:val="Heading1"/>
      </w:pPr>
      <w:r>
        <w:t xml:space="preserve">14. Cross-Cutting Acceptance Criteria</w:t>
      </w:r>
    </w:p>
    <w:p>
      <w:pPr>
        <w:spacing w:after="120"/>
      </w:pPr>
      <w:r>
        <w:t xml:space="preserve">The following end-to-end scenarios validate that the system as delivered meets the business intent. They are not exhaustive — each BR-ID carries its own specific acceptance criteria — but successful demonstration of these scenarios is required for stakeholder sign-off.</w:t>
      </w:r>
    </w:p>
    <w:p>
      <w:pPr>
        <w:pStyle w:val="ListParagraph"/>
        <w:numPr>
          <w:ilvl w:val="0"/>
          <w:numId w:val="2"/>
        </w:numPr>
      </w:pPr>
      <w:r>
        <w:t xml:space="preserve">A HubSpot trade-show booth-scan event for an unknown email creates a Touch in Pending state, then resolves to the matching Contact within 24 hours of that contact being created.</w:t>
      </w:r>
    </w:p>
    <w:p>
      <w:pPr>
        <w:pStyle w:val="ListParagraph"/>
        <w:numPr>
          <w:ilvl w:val="0"/>
          <w:numId w:val="2"/>
        </w:numPr>
      </w:pPr>
      <w:r>
        <w:t xml:space="preserve">A CFO at an Account with an open product-matched Opportunity downloads a related whitepaper. Within 5 minutes a signal appears on the Opportunity with persona = "Executive", topic match, intent level = "High", and confidence above threshold. The CFO is not on the OCR; the signal explicitly displays "Engaged — not on Deal Team" with an "Add to OCR" inline action.</w:t>
      </w:r>
    </w:p>
    <w:p>
      <w:pPr>
        <w:pStyle w:val="ListParagraph"/>
        <w:numPr>
          <w:ilvl w:val="0"/>
          <w:numId w:val="2"/>
        </w:numPr>
      </w:pPr>
      <w:r>
        <w:t xml:space="preserve">A consultant ACR'd to two Accounts engages with competitive comparison content. Both Accounts surface the touch; both relevant Opportunities receive a signal labeled "ACR / Ecosystem".</w:t>
      </w:r>
    </w:p>
    <w:p>
      <w:pPr>
        <w:pStyle w:val="ListParagraph"/>
        <w:numPr>
          <w:ilvl w:val="0"/>
          <w:numId w:val="2"/>
        </w:numPr>
      </w:pPr>
      <w:r>
        <w:t xml:space="preserve">After a Lead with three prior touches is converted to a Contact, all three touches re-appear on the new Contact within the same business day and re-evaluate against open Opportunities at the new Account.</w:t>
      </w:r>
    </w:p>
    <w:p>
      <w:pPr>
        <w:pStyle w:val="ListParagraph"/>
        <w:numPr>
          <w:ilvl w:val="0"/>
          <w:numId w:val="2"/>
        </w:numPr>
      </w:pPr>
      <w:r>
        <w:t xml:space="preserve">An admin authors a new routing rule via Custom Metadata and tests it against a sample payload. The rule fires on the next matching touch without a code deployment.</w:t>
      </w:r>
    </w:p>
    <w:p>
      <w:pPr>
        <w:pStyle w:val="ListParagraph"/>
        <w:numPr>
          <w:ilvl w:val="0"/>
          <w:numId w:val="2"/>
        </w:numPr>
      </w:pPr>
      <w:r>
        <w:t xml:space="preserve">An admin can view a coverage dashboard showing the percentage of touches mapped to a rule versus uncategorized.</w:t>
      </w:r>
    </w:p>
    <w:p>
      <w:pPr>
        <w:pStyle w:val="ListParagraph"/>
        <w:numPr>
          <w:ilvl w:val="0"/>
          <w:numId w:val="2"/>
        </w:numPr>
      </w:pPr>
      <w:r>
        <w:t xml:space="preserve">Marketing's existing Campaign Influence reports continue to produce values consistent with prior baselines.</w:t>
      </w:r>
    </w:p>
    <w:p>
      <w:r>
        <w:br w:type="page"/>
      </w:r>
    </w:p>
    <w:p>
      <w:pPr>
        <w:pStyle w:val="Heading1"/>
      </w:pPr>
      <w:r>
        <w:t xml:space="preserve">15. Phased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Phase</w:t>
            </w:r>
          </w:p>
        </w:tc>
        <w:tc>
          <w:tcPr>
            <w:tcW w:type="dxa" w:w="36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Focus</w:t>
            </w:r>
          </w:p>
        </w:tc>
        <w:tc>
          <w:tcPr>
            <w:tcW w:type="dxa" w:w="45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Approximate sequence</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1</w:t>
            </w:r>
          </w:p>
        </w:tc>
        <w:tc>
          <w:tcPr>
            <w:tcW w:type="dxa" w:w="3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UI + custom objects + Add-to-Deal-Team flow (seeded data)</w:t>
            </w:r>
          </w:p>
        </w:tc>
        <w:tc>
          <w:tcPr>
            <w:tcW w:type="dxa" w:w="45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First</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2</w:t>
            </w:r>
          </w:p>
        </w:tc>
        <w:tc>
          <w:tcPr>
            <w:tcW w:type="dxa" w:w="36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HubSpot ingest + identity resolution + lead-conversion reparenting</w:t>
            </w:r>
          </w:p>
        </w:tc>
        <w:tc>
          <w:tcPr>
            <w:tcW w:type="dxa" w:w="45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After 1</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3</w:t>
            </w:r>
          </w:p>
        </w:tc>
        <w:tc>
          <w:tcPr>
            <w:tcW w:type="dxa" w:w="3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Routing rules + opportunity matching + intent scoring</w:t>
            </w:r>
          </w:p>
        </w:tc>
        <w:tc>
          <w:tcPr>
            <w:tcW w:type="dxa" w:w="45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After 2</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4</w:t>
            </w:r>
          </w:p>
        </w:tc>
        <w:tc>
          <w:tcPr>
            <w:tcW w:type="dxa" w:w="36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Admin tooling: test harness, rule-coverage, error queue, decay/archival</w:t>
            </w:r>
          </w:p>
        </w:tc>
        <w:tc>
          <w:tcPr>
            <w:tcW w:type="dxa" w:w="45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After 2/3</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5</w:t>
            </w:r>
          </w:p>
        </w:tc>
        <w:tc>
          <w:tcPr>
            <w:tcW w:type="dxa" w:w="3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Reporting, compliance polish, performance hardening</w:t>
            </w:r>
          </w:p>
        </w:tc>
        <w:tc>
          <w:tcPr>
            <w:tcW w:type="dxa" w:w="45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Final</w:t>
            </w:r>
          </w:p>
        </w:tc>
      </w:tr>
    </w:tbl>
    <w:p>
      <w:pPr>
        <w:spacing w:after="120"/>
      </w:pPr>
      <w:r>
        <w:t xml:space="preserve">Phase boundaries are not contractual — they reflect the recommended build sequence to validate the experience before investing in integration and intelligence layers. Re-sequence as discovery and pilot data dictate.</w:t>
      </w:r>
    </w:p>
    <w:p>
      <w:r>
        <w:br w:type="page"/>
      </w:r>
    </w:p>
    <w:p>
      <w:pPr>
        <w:pStyle w:val="Heading1"/>
      </w:pPr>
      <w: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Term</w:t>
            </w:r>
          </w:p>
        </w:tc>
        <w:tc>
          <w:tcPr>
            <w:tcW w:type="dxa" w:w="69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Definition</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Touch</w:t>
            </w:r>
          </w:p>
        </w:tc>
        <w:tc>
          <w:tcPr>
            <w:tcW w:type="dxa" w:w="69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A single engagement event (e.g., a whitepaper download, webinar attendance, form submission). The atomic unit of attribution.</w:t>
            </w:r>
          </w:p>
        </w:tc>
      </w:tr>
      <w:tr>
        <w:tc>
          <w:tcPr>
            <w:tcW w:type="dxa" w:w="24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Signal</w:t>
            </w:r>
          </w:p>
        </w:tc>
        <w:tc>
          <w:tcPr>
            <w:tcW w:type="dxa" w:w="69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A derived, interpreted indicator that a Touch or set of Touches is relevant to a specific Opportunity. Signals are scored and dismissible.</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OCR</w:t>
            </w:r>
          </w:p>
        </w:tc>
        <w:tc>
          <w:tcPr>
            <w:tcW w:type="dxa" w:w="69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Opportunity Contact Role — Salesforce standard object representing sales-curated deal-team participation.</w:t>
            </w:r>
          </w:p>
        </w:tc>
      </w:tr>
      <w:tr>
        <w:tc>
          <w:tcPr>
            <w:tcW w:type="dxa" w:w="24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ACR</w:t>
            </w:r>
          </w:p>
        </w:tc>
        <w:tc>
          <w:tcPr>
            <w:tcW w:type="dxa" w:w="69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AccountContactRelation — Salesforce standard object representing broader account relationships including ecosystem actors (consultants, partners).</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Topic</w:t>
            </w:r>
          </w:p>
        </w:tc>
        <w:tc>
          <w:tcPr>
            <w:tcW w:type="dxa" w:w="69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A normalized taxonomy node representing product/solution interest. Touches and Opportunities are mapped to Topics for matching.</w:t>
            </w:r>
          </w:p>
        </w:tc>
      </w:tr>
      <w:tr>
        <w:tc>
          <w:tcPr>
            <w:tcW w:type="dxa" w:w="24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Match Path</w:t>
            </w:r>
          </w:p>
        </w:tc>
        <w:tc>
          <w:tcPr>
            <w:tcW w:type="dxa" w:w="69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The explanation of why a signal landed on an Opportunity: OCR, ACR, Account match, or Domain match. Drives confidence weighting.</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Confidence Score</w:t>
            </w:r>
          </w:p>
        </w:tc>
        <w:tc>
          <w:tcPr>
            <w:tcW w:type="dxa" w:w="69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A numerical 0–100 indicator of how strongly a Touch supports a signal on an Opportunity. Above-threshold signals are surfaced; below-threshold remain at the Account level only.</w:t>
            </w:r>
          </w:p>
        </w:tc>
      </w:tr>
      <w:tr>
        <w:tc>
          <w:tcPr>
            <w:tcW w:type="dxa" w:w="24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Pending Resolution</w:t>
            </w:r>
          </w:p>
        </w:tc>
        <w:tc>
          <w:tcPr>
            <w:tcW w:type="dxa" w:w="69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State of a touch whose email/identifier has not yet been matched to a Salesforce Lead or Contact.</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Persona</w:t>
            </w:r>
          </w:p>
        </w:tc>
        <w:tc>
          <w:tcPr>
            <w:tcW w:type="dxa" w:w="69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A normalized role descriptor (e.g., Executive, Finance, Technical) used to weight signal importance.</w:t>
            </w:r>
          </w:p>
        </w:tc>
      </w:tr>
    </w:tbl>
    <w:p>
      <w:r>
        <w:br w:type="page"/>
      </w:r>
    </w:p>
    <w:p>
      <w:pPr>
        <w:pStyle w:val="Heading1"/>
      </w:pPr>
      <w:r>
        <w:t xml:space="preserve">Appendix A — Traceability Matrix</w:t>
      </w:r>
    </w:p>
    <w:p>
      <w:pPr>
        <w:spacing w:after="120"/>
      </w:pPr>
      <w:r>
        <w:t xml:space="preserve">Each BR-ID maps to one or more Technical Requirements (TR-IDs) in the TDD, plus the user stories that exercise it. See TDD document for full TR specifications.</w:t>
      </w:r>
    </w:p>
    <w:p>
      <w:pPr>
        <w:spacing w:after="120"/>
      </w:pPr>
      <w:r>
        <w:t xml:space="preserve"/>
      </w:r>
    </w:p>
    <w:tbl>
      <w:tblPr>
        <w:tblW w:type="dxa" w:w="834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760"/>
        <w:gridCol w:w="780"/>
      </w:tblGrid>
      <w:tr>
        <w:trPr>
          <w:tblHeader/>
        </w:trPr>
        <w:tc>
          <w:tcPr>
            <w:tcW w:type="dxa" w:w="1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BR-ID</w:t>
            </w:r>
          </w:p>
        </w:tc>
        <w:tc>
          <w:tcPr>
            <w:tcW w:type="dxa" w:w="36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TR-IDs (see TDD)</w:t>
            </w:r>
          </w:p>
        </w:tc>
        <w:tc>
          <w:tcPr>
            <w:tcW w:type="dxa" w:w="27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User Story(ies)</w:t>
            </w:r>
          </w:p>
        </w:tc>
        <w:tc>
          <w:tcPr>
            <w:tcW w:type="dxa" w:w="78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Phase</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BR-001</w:t>
            </w:r>
          </w:p>
        </w:tc>
        <w:tc>
          <w:tcPr>
            <w:tcW w:type="dxa" w:w="3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TR-001, TR-010, TR-011</w:t>
            </w:r>
          </w:p>
        </w:tc>
        <w:tc>
          <w:tcPr>
            <w:tcW w:type="dxa" w:w="2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US-05</w:t>
            </w:r>
          </w:p>
        </w:tc>
        <w:tc>
          <w:tcPr>
            <w:tcW w:type="dxa" w:w="7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2</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BR-002</w:t>
            </w:r>
          </w:p>
        </w:tc>
        <w:tc>
          <w:tcPr>
            <w:tcW w:type="dxa" w:w="36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TR-009, TR-001</w:t>
            </w:r>
          </w:p>
        </w:tc>
        <w:tc>
          <w:tcPr>
            <w:tcW w:type="dxa" w:w="27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US-11 (impl. detail), US-05</w:t>
            </w:r>
          </w:p>
        </w:tc>
        <w:tc>
          <w:tcPr>
            <w:tcW w:type="dxa" w:w="78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2</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BR-003</w:t>
            </w:r>
          </w:p>
        </w:tc>
        <w:tc>
          <w:tcPr>
            <w:tcW w:type="dxa" w:w="3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TR-007, TR-013</w:t>
            </w:r>
          </w:p>
        </w:tc>
        <w:tc>
          <w:tcPr>
            <w:tcW w:type="dxa" w:w="2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US-04, US-06</w:t>
            </w:r>
          </w:p>
        </w:tc>
        <w:tc>
          <w:tcPr>
            <w:tcW w:type="dxa" w:w="7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2</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BR-004</w:t>
            </w:r>
          </w:p>
        </w:tc>
        <w:tc>
          <w:tcPr>
            <w:tcW w:type="dxa" w:w="36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TR-013, TR-014</w:t>
            </w:r>
          </w:p>
        </w:tc>
        <w:tc>
          <w:tcPr>
            <w:tcW w:type="dxa" w:w="27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US-06</w:t>
            </w:r>
          </w:p>
        </w:tc>
        <w:tc>
          <w:tcPr>
            <w:tcW w:type="dxa" w:w="78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3</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BR-005</w:t>
            </w:r>
          </w:p>
        </w:tc>
        <w:tc>
          <w:tcPr>
            <w:tcW w:type="dxa" w:w="3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TR-016, TR-007</w:t>
            </w:r>
          </w:p>
        </w:tc>
        <w:tc>
          <w:tcPr>
            <w:tcW w:type="dxa" w:w="2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US-11</w:t>
            </w:r>
          </w:p>
        </w:tc>
        <w:tc>
          <w:tcPr>
            <w:tcW w:type="dxa" w:w="7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2</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BR-006</w:t>
            </w:r>
          </w:p>
        </w:tc>
        <w:tc>
          <w:tcPr>
            <w:tcW w:type="dxa" w:w="36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TR-001, TR-018</w:t>
            </w:r>
          </w:p>
        </w:tc>
        <w:tc>
          <w:tcPr>
            <w:tcW w:type="dxa" w:w="27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US-05</w:t>
            </w:r>
          </w:p>
        </w:tc>
        <w:tc>
          <w:tcPr>
            <w:tcW w:type="dxa" w:w="78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2</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BR-007</w:t>
            </w:r>
          </w:p>
        </w:tc>
        <w:tc>
          <w:tcPr>
            <w:tcW w:type="dxa" w:w="3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TR-023, TR-008</w:t>
            </w:r>
          </w:p>
        </w:tc>
        <w:tc>
          <w:tcPr>
            <w:tcW w:type="dxa" w:w="2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US-01</w:t>
            </w:r>
          </w:p>
        </w:tc>
        <w:tc>
          <w:tcPr>
            <w:tcW w:type="dxa" w:w="7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1</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BR-008</w:t>
            </w:r>
          </w:p>
        </w:tc>
        <w:tc>
          <w:tcPr>
            <w:tcW w:type="dxa" w:w="36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TR-023, TR-008, TR-013</w:t>
            </w:r>
          </w:p>
        </w:tc>
        <w:tc>
          <w:tcPr>
            <w:tcW w:type="dxa" w:w="27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US-01</w:t>
            </w:r>
          </w:p>
        </w:tc>
        <w:tc>
          <w:tcPr>
            <w:tcW w:type="dxa" w:w="78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1</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BR-009</w:t>
            </w:r>
          </w:p>
        </w:tc>
        <w:tc>
          <w:tcPr>
            <w:tcW w:type="dxa" w:w="3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TR-014, TR-002, TR-008</w:t>
            </w:r>
          </w:p>
        </w:tc>
        <w:tc>
          <w:tcPr>
            <w:tcW w:type="dxa" w:w="2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US-01, US-06</w:t>
            </w:r>
          </w:p>
        </w:tc>
        <w:tc>
          <w:tcPr>
            <w:tcW w:type="dxa" w:w="7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3</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BR-010</w:t>
            </w:r>
          </w:p>
        </w:tc>
        <w:tc>
          <w:tcPr>
            <w:tcW w:type="dxa" w:w="36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TR-023</w:t>
            </w:r>
          </w:p>
        </w:tc>
        <w:tc>
          <w:tcPr>
            <w:tcW w:type="dxa" w:w="27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US-02</w:t>
            </w:r>
          </w:p>
        </w:tc>
        <w:tc>
          <w:tcPr>
            <w:tcW w:type="dxa" w:w="78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1</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BR-011</w:t>
            </w:r>
          </w:p>
        </w:tc>
        <w:tc>
          <w:tcPr>
            <w:tcW w:type="dxa" w:w="3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TR-023, TR-008</w:t>
            </w:r>
          </w:p>
        </w:tc>
        <w:tc>
          <w:tcPr>
            <w:tcW w:type="dxa" w:w="2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US-03</w:t>
            </w:r>
          </w:p>
        </w:tc>
        <w:tc>
          <w:tcPr>
            <w:tcW w:type="dxa" w:w="7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1</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BR-012</w:t>
            </w:r>
          </w:p>
        </w:tc>
        <w:tc>
          <w:tcPr>
            <w:tcW w:type="dxa" w:w="36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TR-013, TR-024</w:t>
            </w:r>
          </w:p>
        </w:tc>
        <w:tc>
          <w:tcPr>
            <w:tcW w:type="dxa" w:w="27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US-04</w:t>
            </w:r>
          </w:p>
        </w:tc>
        <w:tc>
          <w:tcPr>
            <w:tcW w:type="dxa" w:w="78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1</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BR-013</w:t>
            </w:r>
          </w:p>
        </w:tc>
        <w:tc>
          <w:tcPr>
            <w:tcW w:type="dxa" w:w="3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TR-024</w:t>
            </w:r>
          </w:p>
        </w:tc>
        <w:tc>
          <w:tcPr>
            <w:tcW w:type="dxa" w:w="2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US-04</w:t>
            </w:r>
          </w:p>
        </w:tc>
        <w:tc>
          <w:tcPr>
            <w:tcW w:type="dxa" w:w="7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1</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BR-014</w:t>
            </w:r>
          </w:p>
        </w:tc>
        <w:tc>
          <w:tcPr>
            <w:tcW w:type="dxa" w:w="36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TR-024, TR-031</w:t>
            </w:r>
          </w:p>
        </w:tc>
        <w:tc>
          <w:tcPr>
            <w:tcW w:type="dxa" w:w="27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US-04 (extension)</w:t>
            </w:r>
          </w:p>
        </w:tc>
        <w:tc>
          <w:tcPr>
            <w:tcW w:type="dxa" w:w="78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4</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BR-015</w:t>
            </w:r>
          </w:p>
        </w:tc>
        <w:tc>
          <w:tcPr>
            <w:tcW w:type="dxa" w:w="3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TR-024</w:t>
            </w:r>
          </w:p>
        </w:tc>
        <w:tc>
          <w:tcPr>
            <w:tcW w:type="dxa" w:w="2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US-04</w:t>
            </w:r>
          </w:p>
        </w:tc>
        <w:tc>
          <w:tcPr>
            <w:tcW w:type="dxa" w:w="7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1</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BR-016</w:t>
            </w:r>
          </w:p>
        </w:tc>
        <w:tc>
          <w:tcPr>
            <w:tcW w:type="dxa" w:w="36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TR-004, TR-012</w:t>
            </w:r>
          </w:p>
        </w:tc>
        <w:tc>
          <w:tcPr>
            <w:tcW w:type="dxa" w:w="27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US-08</w:t>
            </w:r>
          </w:p>
        </w:tc>
        <w:tc>
          <w:tcPr>
            <w:tcW w:type="dxa" w:w="78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3</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BR-017</w:t>
            </w:r>
          </w:p>
        </w:tc>
        <w:tc>
          <w:tcPr>
            <w:tcW w:type="dxa" w:w="3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TR-025, TR-012</w:t>
            </w:r>
          </w:p>
        </w:tc>
        <w:tc>
          <w:tcPr>
            <w:tcW w:type="dxa" w:w="2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US-08</w:t>
            </w:r>
          </w:p>
        </w:tc>
        <w:tc>
          <w:tcPr>
            <w:tcW w:type="dxa" w:w="7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4</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BR-018</w:t>
            </w:r>
          </w:p>
        </w:tc>
        <w:tc>
          <w:tcPr>
            <w:tcW w:type="dxa" w:w="36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TR-026, TR-028</w:t>
            </w:r>
          </w:p>
        </w:tc>
        <w:tc>
          <w:tcPr>
            <w:tcW w:type="dxa" w:w="27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US-09</w:t>
            </w:r>
          </w:p>
        </w:tc>
        <w:tc>
          <w:tcPr>
            <w:tcW w:type="dxa" w:w="78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3</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BR-019</w:t>
            </w:r>
          </w:p>
        </w:tc>
        <w:tc>
          <w:tcPr>
            <w:tcW w:type="dxa" w:w="3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TR-005, TR-029</w:t>
            </w:r>
          </w:p>
        </w:tc>
        <w:tc>
          <w:tcPr>
            <w:tcW w:type="dxa" w:w="2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US-10</w:t>
            </w:r>
          </w:p>
        </w:tc>
        <w:tc>
          <w:tcPr>
            <w:tcW w:type="dxa" w:w="7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4</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BR-020</w:t>
            </w:r>
          </w:p>
        </w:tc>
        <w:tc>
          <w:tcPr>
            <w:tcW w:type="dxa" w:w="36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TR-018</w:t>
            </w:r>
          </w:p>
        </w:tc>
        <w:tc>
          <w:tcPr>
            <w:tcW w:type="dxa" w:w="27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w:t>
            </w:r>
          </w:p>
        </w:tc>
        <w:tc>
          <w:tcPr>
            <w:tcW w:type="dxa" w:w="78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4</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BR-021</w:t>
            </w:r>
          </w:p>
        </w:tc>
        <w:tc>
          <w:tcPr>
            <w:tcW w:type="dxa" w:w="3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TR-021</w:t>
            </w:r>
          </w:p>
        </w:tc>
        <w:tc>
          <w:tcPr>
            <w:tcW w:type="dxa" w:w="2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US-12</w:t>
            </w:r>
          </w:p>
        </w:tc>
        <w:tc>
          <w:tcPr>
            <w:tcW w:type="dxa" w:w="7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5</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BR-022</w:t>
            </w:r>
          </w:p>
        </w:tc>
        <w:tc>
          <w:tcPr>
            <w:tcW w:type="dxa" w:w="36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TR-017</w:t>
            </w:r>
          </w:p>
        </w:tc>
        <w:tc>
          <w:tcPr>
            <w:tcW w:type="dxa" w:w="27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w:t>
            </w:r>
          </w:p>
        </w:tc>
        <w:tc>
          <w:tcPr>
            <w:tcW w:type="dxa" w:w="78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4</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BR-023</w:t>
            </w:r>
          </w:p>
        </w:tc>
        <w:tc>
          <w:tcPr>
            <w:tcW w:type="dxa" w:w="3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 (preserves existing)</w:t>
            </w:r>
          </w:p>
        </w:tc>
        <w:tc>
          <w:tcPr>
            <w:tcW w:type="dxa" w:w="2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w:t>
            </w:r>
          </w:p>
        </w:tc>
        <w:tc>
          <w:tcPr>
            <w:tcW w:type="dxa" w:w="7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5</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BR-024</w:t>
            </w:r>
          </w:p>
        </w:tc>
        <w:tc>
          <w:tcPr>
            <w:tcW w:type="dxa" w:w="36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TR-027, TR-028</w:t>
            </w:r>
          </w:p>
        </w:tc>
        <w:tc>
          <w:tcPr>
            <w:tcW w:type="dxa" w:w="27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US-07</w:t>
            </w:r>
          </w:p>
        </w:tc>
        <w:tc>
          <w:tcPr>
            <w:tcW w:type="dxa" w:w="78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5</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BR-025</w:t>
            </w:r>
          </w:p>
        </w:tc>
        <w:tc>
          <w:tcPr>
            <w:tcW w:type="dxa" w:w="3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TR-028</w:t>
            </w:r>
          </w:p>
        </w:tc>
        <w:tc>
          <w:tcPr>
            <w:tcW w:type="dxa" w:w="2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US-07</w:t>
            </w:r>
          </w:p>
        </w:tc>
        <w:tc>
          <w:tcPr>
            <w:tcW w:type="dxa" w:w="7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5</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BR-026</w:t>
            </w:r>
          </w:p>
        </w:tc>
        <w:tc>
          <w:tcPr>
            <w:tcW w:type="dxa" w:w="36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TR-028, TR-026</w:t>
            </w:r>
          </w:p>
        </w:tc>
        <w:tc>
          <w:tcPr>
            <w:tcW w:type="dxa" w:w="27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US-09</w:t>
            </w:r>
          </w:p>
        </w:tc>
        <w:tc>
          <w:tcPr>
            <w:tcW w:type="dxa" w:w="78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5</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BR-027</w:t>
            </w:r>
          </w:p>
        </w:tc>
        <w:tc>
          <w:tcPr>
            <w:tcW w:type="dxa" w:w="3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TR-010, TR-015</w:t>
            </w:r>
          </w:p>
        </w:tc>
        <w:tc>
          <w:tcPr>
            <w:tcW w:type="dxa" w:w="2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w:t>
            </w:r>
          </w:p>
        </w:tc>
        <w:tc>
          <w:tcPr>
            <w:tcW w:type="dxa" w:w="7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rPr>
              <w:t xml:space="preserve">5</w:t>
            </w:r>
          </w:p>
        </w:tc>
      </w:tr>
      <w:tr>
        <w:tc>
          <w:tcPr>
            <w:tcW w:type="dxa" w:w="12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BR-028</w:t>
            </w:r>
          </w:p>
        </w:tc>
        <w:tc>
          <w:tcPr>
            <w:tcW w:type="dxa" w:w="360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TR-023, TR-024</w:t>
            </w:r>
          </w:p>
        </w:tc>
        <w:tc>
          <w:tcPr>
            <w:tcW w:type="dxa" w:w="276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w:t>
            </w:r>
          </w:p>
        </w:tc>
        <w:tc>
          <w:tcPr>
            <w:tcW w:type="dxa" w:w="780"/>
            <w:tcBorders>
              <w:top w:val="single" w:color="CCCCCC" w:sz="6"/>
              <w:left w:val="single" w:color="CCCCCC" w:sz="6"/>
              <w:bottom w:val="single" w:color="CCCCCC" w:sz="6"/>
              <w:right w:val="single" w:color="CCCCCC" w:sz="6"/>
            </w:tcBorders>
            <w:shd w:fill="F4F8FB" w:val="clear"/>
            <w:tcMar>
              <w:top w:type="dxa" w:w="80"/>
              <w:left w:type="dxa" w:w="120"/>
              <w:bottom w:type="dxa" w:w="80"/>
              <w:right w:type="dxa" w:w="120"/>
            </w:tcMar>
          </w:tcPr>
          <w:p>
            <w:r>
              <w:rPr>
                <w:b w:val="false"/>
                <w:bCs w:val="false"/>
              </w:rPr>
              <w:t xml:space="preserve">5</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BRD — Engagement Attribution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180"/>
      <w:outlineLvl w:val="2"/>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Engagement Attribution — BRD</dc:title>
  <dc:creator>Salesforce Technical Architect</dc:creator>
  <dc:description>Business Requirements Document for the Salesforce Engagement Attribution feature.</dc:description>
  <cp:lastModifiedBy>Un-named</cp:lastModifiedBy>
  <cp:revision>1</cp:revision>
  <dcterms:created xsi:type="dcterms:W3CDTF">2026-05-11T17:11:08.129Z</dcterms:created>
  <dcterms:modified xsi:type="dcterms:W3CDTF">2026-05-11T17:11:08.130Z</dcterms:modified>
</cp:coreProperties>
</file>

<file path=docProps/custom.xml><?xml version="1.0" encoding="utf-8"?>
<Properties xmlns="http://schemas.openxmlformats.org/officeDocument/2006/custom-properties" xmlns:vt="http://schemas.openxmlformats.org/officeDocument/2006/docPropsVTypes"/>
</file>