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2"/>
        </w:numPr>
        <w:spacing w:line="360" w:lineRule="auto"/>
        <w:ind w:left="0" w:firstLine="0"/>
        <w:contextualSpacing w:val="0"/>
        <w:jc w:val="center"/>
        <w:rPr>
          <w:rFonts w:ascii="Lucida Sans" w:cs="Lucida Sans" w:eastAsia="Lucida Sans" w:hAnsi="Lucida Sans"/>
          <w:smallCaps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smallCaps w:val="1"/>
          <w:sz w:val="40"/>
          <w:szCs w:val="40"/>
          <w:rtl w:val="0"/>
        </w:rPr>
        <w:t xml:space="preserve">Vysoké u</w:t>
      </w:r>
      <w:r w:rsidDel="00000000" w:rsidR="00000000" w:rsidRPr="00000000">
        <w:rPr>
          <w:rFonts w:ascii="Arial" w:cs="Arial" w:eastAsia="Arial" w:hAnsi="Arial"/>
          <w:smallCaps w:val="1"/>
          <w:sz w:val="40"/>
          <w:szCs w:val="40"/>
          <w:rtl w:val="0"/>
        </w:rPr>
        <w:t xml:space="preserve">č</w:t>
      </w:r>
      <w:r w:rsidDel="00000000" w:rsidR="00000000" w:rsidRPr="00000000">
        <w:rPr>
          <w:rFonts w:ascii="Lucida Sans" w:cs="Lucida Sans" w:eastAsia="Lucida Sans" w:hAnsi="Lucida Sans"/>
          <w:smallCaps w:val="1"/>
          <w:sz w:val="40"/>
          <w:szCs w:val="40"/>
          <w:rtl w:val="0"/>
        </w:rPr>
        <w:t xml:space="preserve">ení technické v Brn</w:t>
      </w:r>
      <w:r w:rsidDel="00000000" w:rsidR="00000000" w:rsidRPr="00000000">
        <w:rPr>
          <w:rFonts w:ascii="Arial" w:cs="Arial" w:eastAsia="Arial" w:hAnsi="Arial"/>
          <w:smallCaps w:val="1"/>
          <w:sz w:val="40"/>
          <w:szCs w:val="40"/>
          <w:rtl w:val="0"/>
        </w:rPr>
        <w:t xml:space="preserve">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z w:val="40"/>
          <w:szCs w:val="40"/>
        </w:rPr>
        <w:drawing>
          <wp:inline distB="0" distT="0" distL="0" distR="0">
            <wp:extent cx="2921666" cy="12702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smallCaps w:val="1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mallCaps w:val="1"/>
          <w:sz w:val="40"/>
          <w:szCs w:val="40"/>
          <w:rtl w:val="0"/>
        </w:rPr>
        <w:t xml:space="preserve">IMS - Modelování a simulace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z w:val="40"/>
          <w:szCs w:val="40"/>
          <w:rtl w:val="0"/>
        </w:rPr>
        <w:t xml:space="preserve">2018/2019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rFonts w:ascii="Yu Gothic Medium" w:cs="Yu Gothic Medium" w:eastAsia="Yu Gothic Medium" w:hAnsi="Yu Gothic Medium"/>
          <w:b w:val="1"/>
          <w:sz w:val="44"/>
          <w:szCs w:val="44"/>
        </w:rPr>
      </w:pPr>
      <w:r w:rsidDel="00000000" w:rsidR="00000000" w:rsidRPr="00000000">
        <w:rPr>
          <w:rFonts w:ascii="Yu Gothic Medium" w:cs="Yu Gothic Medium" w:eastAsia="Yu Gothic Medium" w:hAnsi="Yu Gothic Medium"/>
          <w:b w:val="1"/>
          <w:sz w:val="44"/>
          <w:szCs w:val="44"/>
          <w:rtl w:val="0"/>
        </w:rPr>
        <w:t xml:space="preserve">Model a simulace výroby řepkového oleje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rFonts w:ascii="Lucida Sans" w:cs="Lucida Sans" w:eastAsia="Lucida Sans" w:hAnsi="Lucida Sa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Lucida Sans" w:cs="Lucida Sans" w:eastAsia="Lucida Sans" w:hAnsi="Lucida Sans"/>
        </w:rPr>
      </w:pPr>
      <w:bookmarkStart w:colFirst="0" w:colLast="0" w:name="_30j0zll" w:id="1"/>
      <w:bookmarkEnd w:id="1"/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Roman Janík (xjanik20)</w:t>
        <w:tab/>
        <w:tab/>
        <w:tab/>
        <w:tab/>
        <w:tab/>
        <w:t xml:space="preserve">Brno, 30. </w:t>
      </w:r>
      <w:r w:rsidDel="00000000" w:rsidR="00000000" w:rsidRPr="00000000">
        <w:rPr>
          <w:rFonts w:ascii="Arial" w:cs="Arial" w:eastAsia="Arial" w:hAnsi="Arial"/>
          <w:rtl w:val="0"/>
        </w:rPr>
        <w:t xml:space="preserve">října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Karel Kle</w:t>
      </w:r>
      <w:r w:rsidDel="00000000" w:rsidR="00000000" w:rsidRPr="00000000">
        <w:rPr>
          <w:rFonts w:ascii="Arial" w:cs="Arial" w:eastAsia="Arial" w:hAnsi="Arial"/>
          <w:rtl w:val="0"/>
        </w:rPr>
        <w:t xml:space="preserve">čka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(xkleck04)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Vysoké u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</w:t>
            </w:r>
          </w:hyperlink>
          <w:hyperlink w:anchor="_gjdgxs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ení technické v Brn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ě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Úvod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Zdroje informací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Auto</w:t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Ov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ěř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ování validity modelu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Rozbor tématu a použitých metod/technologií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Postupy vytváření modelu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Použité metody a technologie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Koncepce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Forma konceptuálního modelu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Architektura simulačního modelu/simulátoru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Podstata a průběh simulačních experimentů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Postup experimentování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Dokumentace jednotlivých experimentů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 Referenční experiment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 Zvýšení vstupu řepky o 30 %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 Vliv zvýšení teploty při rafinaci na kvalitu oleje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Shrnutí simulačních experimentů a závěr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Zdroje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Lucida Sans" w:cs="Lucida Sans" w:eastAsia="Lucida Sans" w:hAnsi="Lucida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</w:t>
        <w:tab/>
        <w:t xml:space="preserve">Úvod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Tato technická zpráva vznikla jako součást řešení projektu IMS. Zabývá se vytvořením modelu SHO (systému hromadné obsluhy) [1, str. 7] a simulací [1, str. 8] výroby řepkového oleje [4]. Cílem práce je na základě modelu výrobní linky ukázat pomocí experimentů [1, str. 9 ] možné optimalizace výrobního procesu, konkrétně zvýšení vstupu řepky o 30 % a optimalizace linky tak, aby byla schopna zpracovávat toto množství ve stejném čase jako předtím. Vychází z úvahy o zvýšení zisku zpracováním většího množství suroviny.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Dalším experimentem se bude ověřovat návratnost uvažované investice do nových lisů s vyšším výkonem a nižší spotřebou elektrické energie.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</w:t>
        <w:tab/>
        <w:t xml:space="preserve">Zdroje informací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Jako zdroje informací jsme použili dostupné materiály ze slajdů k přednáškám a demonstračním cvičením předmětu IMS.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Dále jsme čerpali z internetových zdrojů uvedených na konci dokumentu. Význačným zdrojem je díl Slunečnicové a řepkové oleje [5] z pořadu Jídlo s.r.o. na internetové televizi Stream.cz.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1.2</w:t>
        <w:tab/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ř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práci se podíleli Roman Janík a Karel Klečka.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1.3</w:t>
        <w:tab/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ěř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ování validity modelu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Výsledky simulace přibližně odpovídají reálným datům z výrobny řepkového oleje. 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</w:t>
        <w:tab/>
        <w:t xml:space="preserve">Rozbor tématu a použitých metod/technologií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Výroba řepkového oleje zahrnuje tyto fáze: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vstupní kontrola,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lisování,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filtrace,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rafinace,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výstupní kontrola.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720" cy="3223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 lisovny obr. 1, zdroj [10]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Výrobní linka začíná příjmem řepkového semene. To je dováženo kamionem. Semeno pokračuje na vstupní kontrolu kvality, kde pracovník odebere vzorky, v laboratoři vyhodnotí kvalitu a rozhodne, zda je surovina vyhovující. Nevyhovující řepkové semeno, například obsahující spory plísně nebo příliš vlhké, nesmí být puštěno do výroby.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Vyhovující surovina pokračuje do lisu 1. stupně. První lisování probíhá za studena, vzniká 10% extra panenského oleje (přepočítáno z 10 kg / 100 kg [5]), zbytek suroviny pokračuje do zásobníku lisu 2. stupně. Druhé lisování probíhá za vyšších teplot a tlaků, díky čemuž je z částečně vylisovaných semínek získáno ještě 20% panenského oleje (přepočítáno z 20 kg / 100 kg [5]). Zbytky vylisovaných semen se nazývají výlisky nebo pokrutiny, které mají využití jako součást krmiva hospodářských zvířat.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 druhy olejů je nutno přefiltrovat, extra panenský pokračuje na výstupní kontrolu kvality, panenský na rafinaci.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Rafinace je označení pro úpravy oleje tak, aby olej mohl být použit v teplé kuchyni na smažení, pečení nebo fritování. Takto upravený olej má vyšší bod přepálení [12]. Rafinace se skládá z odslizení, bělení a dezodorace [7][8].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Výstupní kontrola kvality rozhoduje o kvalitě výsledného oleje a tedy jestli může být stočen do lahví.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</w:t>
        <w:tab/>
        <w:t xml:space="preserve">Postupy vytváření modelu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První fází vytváření modelu bylo vyhledávání informací o výrobě řepkového oleje z různých zdrojů. Ze získaných informací bylo vytvořeno několik konceptů, které sloužily pro tvorbu abstraktního modelu [1, str. 36]. Pro finální abstraktní model byla vytvořena Petriho síť [1, str. 123,124], podle které byl následně implementován simulační model[1, str. 44].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2.2</w:t>
        <w:tab/>
        <w:t xml:space="preserve">Použité metody a technologie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 Petriho sítě byl vytvořen v online nástroji draw.io [3]. Dle zadání projektu byl k implementaci simulačního modelu použit jazyk C++ s knihovnou SIMLIB/C++ [2]. Výsledné programy byly spuštěny na operačním systému Linux, distribuce Ubuntu 14.04. Grafy byly vytvořeny v aplikaci Microsoft Word. </w:t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3</w:t>
        <w:tab/>
        <w:t xml:space="preserve">Koncepce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výrobní linky se skládá z následujících důležitých částí (části jsou seřazeny ve stejném pořadí v jakém jimi řepkové semeno/surový olej/rafinovaný olej prochází):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Kamion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Vstupní kontrola kvality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Zásobník semene před lisem 1. stupně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Lis 1. stupně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Zásobník semene před lisem 2. stupně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Lis 2. stupně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Zásobník před filtrem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Filtr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Zásobník před rafinační jednotkou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Rafinační jednotka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Výstupní kontrola kvality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  <w:t xml:space="preserve">Zásobníky na výsledný řepkový olej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Výše uvedený model se týká delší části výrobní linky pro rafinovaný olej, extra panenský olej vynechává části Zásobník před rafinační jednotkou a Rafinační jednotka.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Uvažujeme plně naložený kamion, který přiváží vždy 25 tun [11] řepkového semene. Poté oddělení vstupní kvality rozhoduje, zda je řepka vyhovující, či ne. Doba kontroly je 25 – 35 min rovnoměrně. Nevyhovující řepka opouští systém. Vyhovující řepka je dále modelována jako proces 1 tuny řepky, která žádá o obsluhu lisy.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První lisování probíhá za studena, vzniká 100 kg extra panenského oleje (přepočítáno z 10 kg / 100 kg [5]), zbytek suroviny pokračuje do zásobníku lisu 2. stupně. První lisování trvá 29 - 31 min (přepočítáno z [9]) s rovnoměrným rozložením. Druhé lisování trvá déle – 3</w:t>
      </w: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7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- 40 min s rovnoměrným rozložením, protože je nutno dosáhnout vyšších teplot a tlaků. Získáme tím dalších 200 kg oleje (přepočítáno z 20 kg / 100 kg [5]).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Zbytky tvoří výlisky, kterých vzniká 700 kg (přepočítáno ze 70 kg / 100 kg [5]).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Olej je nutné přefiltrovat, filtrace extra panenského i panenského oleje trvá 10 – 12 min s rovnoměrným rozložením.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Rafinační jednotka začne svou činnost poté, co je 400 kg panenského oleje k dispozici a pracovní cyklus trvá 55 - 65 min s rovnoměrným rozložením. Současně se panenský olej přetváří na olej stolní (rafinovaný).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závěr oba druhy olejů projdou výstupní kontrolou kvality, za nevyhovující je olej označen s pravděpodobností 0.00001 %, tato kontrola trvá 10 – 16 min rovnoměrně.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modelu jsou vypuštěny zanedbatelné doby přesunu mezi zařízeními linky. 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3.1</w:t>
        <w:tab/>
        <w:t xml:space="preserve">Forma konceptuálního modelu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Petriho síť je vyobrazena na obrázku 2: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4</w:t>
        <w:tab/>
        <w:t xml:space="preserve">Architektura simulačního modelu/simulátoru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Transakce [1, str. 136] systému jsou generovány událostí [1, str. 169]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Generator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která dědí od třídy Event [1, str. 169]. Transakce reprezentuje příjezd kamionu a každých 8 hodin spouští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Kamion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který dědí od třídy Process [1, str. 171].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Kamion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nejprve zabere zařízení [1, str. 180]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VstupniKontrolaKvality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Na vstupní kontrole kvality se rozhodne, zda je přivezené řepkové semeno vyhovující, a pokud ano, vytváří 25 procesů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Repka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kde každý proces modeluje 1 tunu řepky.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Repka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obsloužen skladištěm [1, str. 184]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Lis1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 vzniku 100 kg extra panenského oleje, který je modelován procesem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ExtraPanenskyOlej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Poté je obsloužen skladištěm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Lis2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současně vznikají 2 procesy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PanenskyOlej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(200 kg) a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Vylisky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(700 kg).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Vylisky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modeluje výlisky a slouží pro statistiku.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 procesy olejů pokračují zabráním skladiště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PanenskyOlej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podstupuje navíc rafinaci ve skladišti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RafinacniJednotka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Při rafinaci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PanenskyOlej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zaniká a vzniká proces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StolniOlej.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závěr oba procesy vstupují do skladiště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VystupniKontrolaKvality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kde probíhá kontrola kvality.</w:t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5</w:t>
        <w:tab/>
        <w:t xml:space="preserve">Podstata a průběh simulačních experimentů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5.1</w:t>
        <w:tab/>
        <w:t xml:space="preserve">Postup experimentování</w:t>
      </w:r>
    </w:p>
    <w:p w:rsidR="00000000" w:rsidDel="00000000" w:rsidP="00000000" w:rsidRDefault="00000000" w:rsidRPr="00000000" w14:paraId="0000007C">
      <w:pPr>
        <w:contextualSpacing w:val="0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Cílem experimentů je zvýšit výrobu řepkového oleje alespoň o 30%. Tento úkol jsme si rozdělili do jednotlivých experimentů: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contextualSpacing w:val="1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Optimalizovat základní model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contextualSpacing w:val="1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Zvýšit příjem řepky o 30%.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contextualSpacing w:val="1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Upravit počty linek, aby byly schopny pojmout zvětšený příjem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contextualSpacing w:val="1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Zkusit jiné zlepšení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5.2</w:t>
        <w:tab/>
        <w:t xml:space="preserve">Dokumentace jednotlivých experimentů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Následující podkapitoly popisují jednotlivé </w:t>
      </w: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experimenty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jejich cíle, výsledky simulace a jejich interpretace.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5.2.1  Referenční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Simulace byla spuštěna se základním nastavením. Tento experiment slouží k ověření validity modelu. Simulace běžela 7 dní modelového času. Kamiony přijížděl</w:t>
      </w: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y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 intervalu 16 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Celkem bylo vyprodukováno x l extra panenského oleje, y l stolního oleje a z kg výlisků. Dalšími sledovanými veličinami byly průměrné délky front u všech obslužných linek v systému a průměrná a maximální kapacita obslužných linek.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Ze statistik jednotlivých linek vyplývá, že Filtr postačí pouze jeden.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5.2.</w:t>
      </w:r>
      <w:r w:rsidDel="00000000" w:rsidR="00000000" w:rsidRPr="00000000">
        <w:rPr>
          <w:rFonts w:ascii="Yu Gothic Medium" w:cs="Yu Gothic Medium" w:eastAsia="Yu Gothic Medium" w:hAnsi="Yu Gothic Medium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Zvýšení vstupu řepky o 30 %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Simulace byla spuštěna se zvýšeným vstupem řepkového semene o 30 %, kamiony tedy přijížděly v intervalu 12 h 18 min. Cílem experimentu je odhalit úzká hrdla v systému.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Celkem bylo vyprodukováno x l extra panenského oleje, y l stolního oleje a z kg výlisků. Níže jsou výsledné histogramy: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první pohled můžeme vidět, že …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jsme proto upravili zkrácení doby … a simulaci spustili znovu. Očekávali jsme přibližně stejné výsledky jako při referenčním experimentu.</w:t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right="0"/>
        <w:contextualSpacing w:val="1"/>
        <w:jc w:val="left"/>
        <w:rPr>
          <w:rFonts w:ascii="Yu Gothic Medium" w:cs="Yu Gothic Medium" w:eastAsia="Yu Gothic Medium" w:hAnsi="Yu Gothic Medium"/>
          <w:u w:val="none"/>
        </w:rPr>
      </w:pPr>
      <w:bookmarkStart w:colFirst="0" w:colLast="0" w:name="_brj4ynxjh028" w:id="17"/>
      <w:bookmarkEnd w:id="17"/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Jako součást tohoto experimentu jsme také zvýšili počet linek v odhalených úzkých hrdlech.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wv5uppakkmb" w:id="18"/>
      <w:bookmarkEnd w:id="18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5.2.</w:t>
      </w:r>
      <w:r w:rsidDel="00000000" w:rsidR="00000000" w:rsidRPr="00000000">
        <w:rPr>
          <w:rFonts w:ascii="Yu Gothic Medium" w:cs="Yu Gothic Medium" w:eastAsia="Yu Gothic Medium" w:hAnsi="Yu Gothic Medium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Vliv zvýšení teploty při rafinaci na kvalitu oleje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</w:rPr>
      </w:pPr>
      <w:bookmarkStart w:colFirst="0" w:colLast="0" w:name="_z337ya" w:id="19"/>
      <w:bookmarkEnd w:id="19"/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V předchozím experimentu jsme zdvojili linky, ze statistik ale můžeme vyčíst, že i když budeme mít 2 rafinační jednotky, jejichž pořizovací cena není nízká, tak jen velmi zřídka budou v provozu obě. Ovšem při používání pouze jedné, zde vznikne úzké hrdlo.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</w:rPr>
      </w:pPr>
      <w:bookmarkStart w:colFirst="0" w:colLast="0" w:name="_se3na5la1tl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hgb8wdmboys" w:id="21"/>
      <w:bookmarkEnd w:id="21"/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Proto jsme se rozhodli za pomocí zvýšením teplot během rafinace, rafinaci zrychlit v průměru o 12,5 min. Tím se však zvýší počet škodlivých látek, které v oleji vzniknou. Pravděpodobnost, že výsledný stolní olej bude nekvalitní tedy roste na 0,1 %.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Celkem bylo vyprodukováno x l extra panenského oleje, y l stolního oleje a z kg výlisků.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 toho lze usoudit, že …</w:t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j2qqm3" w:id="22"/>
      <w:bookmarkEnd w:id="22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6</w:t>
        <w:tab/>
        <w:t xml:space="preserve">Shrnutí simulačních experimentů a závěr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7</w:t>
        <w:tab/>
        <w:t xml:space="preserve">Zdroje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Slajdy k přednáškám předmětu IMS</w:t>
        <w:br w:type="textWrapping"/>
      </w:r>
      <w:hyperlink r:id="rId8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https://www.fit.vutbr.cz/study/courses/IMS/public/prednasky/IMS.pdf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Peringer P., SIMLIB/C++</w:t>
        <w:br w:type="textWrapping"/>
      </w:r>
      <w:hyperlink r:id="rId9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http://www.fit.vutbr.cz/~peringer/SIMLIB/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nástroj na tvorbu diagramů</w:t>
        <w:br w:type="textWrapping"/>
      </w:r>
      <w:hyperlink r:id="rId10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Řepkový olej</w:t>
        <w:br w:type="textWrapping"/>
      </w:r>
      <w:hyperlink r:id="rId11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https://cs.wikipedia.org/wiki/%C5%98epkov%C3%BD_olej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Slunečnicové a řepkové oleje</w:t>
        <w:br w:type="textWrapping"/>
      </w:r>
      <w:hyperlink r:id="rId12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https://www.stream.cz/jidlo-s-r-o/10005480-slunecnicove-a-repkove-oleje</w:t>
        </w:r>
      </w:hyperlink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[19:10]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Rostlinný olej - Jak se vyrábí rostlinný olej</w:t>
        <w:br w:type="textWrapping"/>
      </w:r>
      <w:hyperlink r:id="rId13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https://www.jaksetodela.cz/video/1131/rostlinny-olej-jak-se-vyrabi-rostlinny-olej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Řepkový olej</w:t>
        <w:br w:type="textWrapping"/>
      </w:r>
      <w:hyperlink r:id="rId14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http://www.bioenergo-komplex.cz/faq/repkovy-olej/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 výroby olejů</w:t>
        <w:br w:type="textWrapping"/>
      </w:r>
      <w:hyperlink r:id="rId15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http://www.glencoreagriculture.cz/proces-vyroby-oleju.html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 HLO-01 EKONOM</w:t>
        <w:br w:type="textWrapping"/>
      </w:r>
      <w:hyperlink r:id="rId16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http://www.filtrex.cz/cs/produkty/hlo-01-ekonom.html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Modulová lisovna Compact, Farmet a.s.</w:t>
        <w:br w:type="textWrapping"/>
      </w:r>
      <w:hyperlink r:id="rId17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https://livefarmet.blob.core.windows.net/farmetwebdata/ContentItems/4390_04390/compact-cz-email-web.pdf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Pravidelné přepravy řepky olejné, 1x denně</w:t>
        <w:br w:type="textWrapping"/>
      </w:r>
      <w:hyperlink r:id="rId18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http://www.centrum-preprav.cz/vyberove-rizeni-Pravidelne-prepravy-repky-olejne--1x-denne-1948.htm?fbclid=IwAR0rG8lLjaWn1-vOwvp8KaYHk1Vu35_mhMDm-J7DhCzYZeoOyvYW8qXhwu0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Yu Gothic Medium" w:cs="Yu Gothic Medium" w:eastAsia="Yu Gothic Medium" w:hAnsi="Yu Gothi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 přepálení u olejů</w:t>
        <w:br w:type="textWrapping"/>
      </w:r>
      <w:hyperlink r:id="rId19">
        <w:r w:rsidDel="00000000" w:rsidR="00000000" w:rsidRPr="00000000">
          <w:rPr>
            <w:rFonts w:ascii="Yu Gothic Medium" w:cs="Yu Gothic Medium" w:eastAsia="Yu Gothic Medium" w:hAnsi="Yu Gothic Medium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https://www.gourmet-partners.cz/Bod-prepaleni-u-oleju/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Lucida Sans"/>
  <w:font w:name="Yu Gothi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contextualSpacing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left="0" w:firstLine="0"/>
      <w:contextualSpacing w:val="0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0" w:firstLine="0"/>
      <w:contextualSpacing w:val="0"/>
      <w:jc w:val="center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spacing w:line="360" w:lineRule="auto"/>
      <w:ind w:left="0" w:firstLine="0"/>
      <w:contextualSpacing w:val="0"/>
      <w:jc w:val="center"/>
    </w:pPr>
    <w:rPr>
      <w:smallCaps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wikipedia.org/wiki/%C5%98epkov%C3%BD_olej" TargetMode="External"/><Relationship Id="rId10" Type="http://schemas.openxmlformats.org/officeDocument/2006/relationships/hyperlink" Target="https://www.draw.io/" TargetMode="External"/><Relationship Id="rId13" Type="http://schemas.openxmlformats.org/officeDocument/2006/relationships/hyperlink" Target="https://www.jaksetodela.cz/video/1131/rostlinny-olej-jak-se-vyrabi-rostlinny-olej" TargetMode="External"/><Relationship Id="rId12" Type="http://schemas.openxmlformats.org/officeDocument/2006/relationships/hyperlink" Target="https://www.stream.cz/jidlo-s-r-o/10005480-slunecnicove-a-repkove-oleje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it.vutbr.cz/~peringer/SIMLIB/" TargetMode="External"/><Relationship Id="rId15" Type="http://schemas.openxmlformats.org/officeDocument/2006/relationships/hyperlink" Target="http://www.glencoreagriculture.cz/proces-vyroby-oleju.html" TargetMode="External"/><Relationship Id="rId14" Type="http://schemas.openxmlformats.org/officeDocument/2006/relationships/hyperlink" Target="http://www.bioenergo-komplex.cz/faq/repkovy-olej/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16" Type="http://schemas.openxmlformats.org/officeDocument/2006/relationships/hyperlink" Target="http://www.filtrex.cz/cs/produkty/hlo-01-ekon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urmet-partners.cz/Bod-prepaleni-u-oleju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it.vutbr.cz/study/courses/IMS/public/prednasky/I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