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 xml:space="preserve">:  Python, C/C++, Java, Arduino, MATLAB, Bash, </w:t>
      </w:r>
      <w:r>
        <w:rPr>
          <w:rFonts w:eastAsia="Arial"/>
          <w:sz w:val="18"/>
          <w:szCs w:val="18"/>
        </w:rPr>
        <w:t>Embedded C</w:t>
      </w:r>
      <w:r>
        <w:rPr>
          <w:rFonts w:eastAsia="Arial"/>
          <w:sz w:val="18"/>
          <w:szCs w:val="18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OOP,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1</Pages>
  <Words>820</Words>
  <Characters>4749</Characters>
  <CharactersWithSpaces>5493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2023-11-28T00:05:45Z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