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60" w:after="320"/>
        <w:jc w:val="center"/>
      </w:pPr>
      <w:r>
        <w:rPr>
          <w:rFonts w:ascii="DejaVu Sans" w:hAnsi="DejaVu Sans"/>
          <w:b/>
          <w:i w:val="0"/>
          <w:color w:val="C4931A"/>
          <w:sz w:val="18"/>
        </w:rPr>
        <w:t>EXPERT BUSINESS ACADEMY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1944000" cy="19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t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19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DejaVu Sans" w:hAnsi="DejaVu Sans"/>
          <w:b/>
          <w:i w:val="0"/>
          <w:color w:val="C4931A"/>
          <w:sz w:val="20"/>
        </w:rPr>
        <w:t>PROGRAMA PERSONALIZADO</w:t>
      </w:r>
    </w:p>
    <w:p>
      <w:pPr>
        <w:keepNext w:val="0"/>
        <w:spacing w:before="0" w:after="120"/>
        <w:jc w:val="center"/>
      </w:pPr>
      <w:r>
        <w:rPr>
          <w:rFonts w:ascii="DejaVu Sans" w:hAnsi="DejaVu Sans"/>
          <w:b/>
          <w:i w:val="0"/>
          <w:color w:val="082A4D"/>
          <w:sz w:val="58"/>
        </w:rPr>
        <w:t>Gestión Laboral Integral</w:t>
      </w:r>
    </w:p>
    <w:p>
      <w:pPr>
        <w:keepNext w:val="0"/>
        <w:spacing w:before="0" w:after="440"/>
        <w:jc w:val="center"/>
      </w:pPr>
      <w:r>
        <w:rPr>
          <w:rFonts w:ascii="DejaVu Sans" w:hAnsi="DejaVu Sans"/>
          <w:b w:val="0"/>
          <w:i w:val="0"/>
          <w:color w:val="0E3A64"/>
          <w:sz w:val="28"/>
        </w:rPr>
        <w:t>De la normativa a la ejecución autónoma</w:t>
      </w:r>
    </w:p>
    <w:p>
      <w:pPr>
        <w:keepNext w:val="0"/>
        <w:spacing w:before="0" w:after="440"/>
        <w:jc w:val="center"/>
      </w:pPr>
      <w:r>
        <w:rPr>
          <w:rFonts w:ascii="DejaVu Sans" w:hAnsi="DejaVu Sans"/>
          <w:b w:val="0"/>
          <w:i w:val="0"/>
          <w:color w:val="5B6875"/>
          <w:sz w:val="21"/>
        </w:rPr>
        <w:t>Formación práctica con Holded, Sistema RED / SILTRA y soluciones de Creative Quality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061"/>
            <w:shd w:fill="082A4D"/>
            <w:tcMar>
              <w:top w:w="180" w:type="dxa"/>
              <w:start w:w="100" w:type="dxa"/>
              <w:bottom w:w="180" w:type="dxa"/>
              <w:end w:w="10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32"/>
              </w:rPr>
              <w:t>20 h</w:t>
            </w:r>
          </w:p>
          <w:p>
            <w:pPr>
              <w:spacing w:after="0"/>
              <w:jc w:val="center"/>
            </w:pPr>
            <w:r>
              <w:rPr>
                <w:rFonts w:ascii="DejaVu Sans" w:hAnsi="DejaVu Sans"/>
                <w:color w:val="FFFFFF"/>
                <w:sz w:val="16"/>
              </w:rPr>
              <w:t>Formación individual</w:t>
            </w:r>
          </w:p>
        </w:tc>
        <w:tc>
          <w:tcPr>
            <w:tcW w:type="dxa" w:w="3061"/>
            <w:shd w:fill="C4931A"/>
            <w:tcMar>
              <w:top w:w="180" w:type="dxa"/>
              <w:start w:w="100" w:type="dxa"/>
              <w:bottom w:w="180" w:type="dxa"/>
              <w:end w:w="10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32"/>
              </w:rPr>
              <w:t>5 h</w:t>
            </w:r>
          </w:p>
          <w:p>
            <w:pPr>
              <w:spacing w:after="0"/>
              <w:jc w:val="center"/>
            </w:pPr>
            <w:r>
              <w:rPr>
                <w:rFonts w:ascii="DejaVu Sans" w:hAnsi="DejaVu Sans"/>
                <w:color w:val="FFFFFF"/>
                <w:sz w:val="16"/>
              </w:rPr>
              <w:t>Tutorías incluidas</w:t>
            </w:r>
          </w:p>
        </w:tc>
        <w:tc>
          <w:tcPr>
            <w:tcW w:type="dxa" w:w="3061"/>
            <w:shd w:fill="082A4D"/>
            <w:tcMar>
              <w:top w:w="180" w:type="dxa"/>
              <w:start w:w="100" w:type="dxa"/>
              <w:bottom w:w="180" w:type="dxa"/>
              <w:end w:w="10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32"/>
              </w:rPr>
              <w:t>1.200 €</w:t>
            </w:r>
          </w:p>
          <w:p>
            <w:pPr>
              <w:spacing w:after="0"/>
              <w:jc w:val="center"/>
            </w:pPr>
            <w:r>
              <w:rPr>
                <w:rFonts w:ascii="DejaVu Sans" w:hAnsi="DejaVu Sans"/>
                <w:color w:val="FFFFFF"/>
                <w:sz w:val="16"/>
              </w:rPr>
              <w:t>Precio del programa</w:t>
            </w:r>
          </w:p>
        </w:tc>
      </w:tr>
    </w:tbl>
    <w:p>
      <w:pPr>
        <w:keepNext w:val="0"/>
        <w:spacing w:before="440" w:after="360"/>
        <w:jc w:val="center"/>
      </w:pPr>
      <w:r>
        <w:rPr>
          <w:rFonts w:ascii="DejaVu Sans" w:hAnsi="DejaVu Sans"/>
          <w:b w:val="0"/>
          <w:i w:val="0"/>
          <w:color w:val="17212B"/>
          <w:sz w:val="20"/>
        </w:rPr>
        <w:t>Diseñado para pymes que quieren asumir su gestión laboral ordinaria con procesos claros, control documental y criterio profesional.</w:t>
      </w:r>
    </w:p>
    <w:p>
      <w:pPr>
        <w:keepNext w:val="0"/>
        <w:spacing w:before="440" w:after="0"/>
        <w:jc w:val="center"/>
      </w:pPr>
      <w:r>
        <w:rPr>
          <w:rFonts w:ascii="DejaVu Sans" w:hAnsi="DejaVu Sans"/>
          <w:b w:val="0"/>
          <w:i w:val="0"/>
          <w:color w:val="5B6875"/>
          <w:sz w:val="17"/>
        </w:rPr>
        <w:t>EXPERT ESTUDIOS PROFESIONALES  ·  expertconsulting.es  ·  +34 669 04 55 28</w:t>
      </w:r>
    </w:p>
    <w:p>
      <w:r>
        <w:br w:type="page"/>
      </w:r>
    </w:p>
    <w:p>
      <w:pPr>
        <w:pStyle w:val="Heading1"/>
      </w:pPr>
      <w:r>
        <w:t>Una formación orientada a resultados</w:t>
      </w:r>
    </w:p>
    <w:p>
      <w:pPr>
        <w:keepNext w:val="0"/>
        <w:spacing w:before="0" w:after="100"/>
      </w:pPr>
      <w:r>
        <w:rPr>
          <w:rFonts w:ascii="DejaVu Sans" w:hAnsi="DejaVu Sans"/>
          <w:b w:val="0"/>
          <w:i w:val="0"/>
          <w:sz w:val="20"/>
        </w:rPr>
        <w:t>El programa combina fundamentos laborales, aplicación del convenio colectivo y ejecución práctica de los procedimientos reales de la empresa. El objetivo no es solo aprender a calcular una nómina, sino dominar el circuito completo: contratación, afiliación, retribución, cotización, bajas, cierres y archivo.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1F7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40"/>
            </w:pPr>
            <w:r>
              <w:rPr>
                <w:rFonts w:ascii="DejaVu Sans" w:hAnsi="DejaVu Sans"/>
                <w:b/>
                <w:color w:val="082A4D"/>
                <w:sz w:val="16"/>
              </w:rPr>
              <w:t>PROPUESTA DE VALOR</w:t>
            </w:r>
          </w:p>
          <w:p>
            <w:pPr>
              <w:spacing w:after="0" w:line="259" w:lineRule="auto"/>
            </w:pPr>
            <w:r>
              <w:rPr>
                <w:rFonts w:ascii="DejaVu Sans" w:hAnsi="DejaVu Sans"/>
                <w:color w:val="17212B"/>
                <w:sz w:val="20"/>
              </w:rPr>
              <w:t>Al finalizar, el participante dispondrá de un sistema de trabajo documentado para gestionar la operativa laboral ordinaria con Holded, Sistema RED / SILTRA y las soluciones de Creative Quality.</w:t>
            </w:r>
          </w:p>
        </w:tc>
      </w:tr>
    </w:tbl>
    <w:p>
      <w:pPr>
        <w:spacing w:after="0"/>
      </w:pPr>
    </w:p>
    <w:p>
      <w:pPr>
        <w:pStyle w:val="Heading2"/>
      </w:pPr>
      <w:r>
        <w:t>Ficha técnica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rPr>
          <w:tblHeader w:val="true"/>
        </w:trP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82A4D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CONCEPTO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82A4D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ALCANCE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/>
                <w:color w:val="082A4D"/>
                <w:sz w:val="17"/>
              </w:rPr>
              <w:t>Modalidad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 w:val="0"/>
                <w:color w:val="17212B"/>
                <w:sz w:val="17"/>
              </w:rPr>
              <w:t>Formación individual online y aplicada sobre casos reales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/>
                <w:color w:val="082A4D"/>
                <w:sz w:val="17"/>
              </w:rPr>
              <w:t>Duración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 w:val="0"/>
                <w:color w:val="17212B"/>
                <w:sz w:val="17"/>
              </w:rPr>
              <w:t>20 horas lectivas + 5 horas de tutoría y acompañamiento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/>
                <w:color w:val="082A4D"/>
                <w:sz w:val="17"/>
              </w:rPr>
              <w:t>Formato recomendado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 w:val="0"/>
                <w:color w:val="17212B"/>
                <w:sz w:val="17"/>
              </w:rPr>
              <w:t>10 sesiones de 2 horas + tutorías programadas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/>
                <w:color w:val="082A4D"/>
                <w:sz w:val="17"/>
              </w:rPr>
              <w:t>Nivel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 w:val="0"/>
                <w:color w:val="17212B"/>
                <w:sz w:val="17"/>
              </w:rPr>
              <w:t>Práctico, desde fundamentos hasta cierre laboral completo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/>
                <w:color w:val="082A4D"/>
                <w:sz w:val="17"/>
              </w:rPr>
              <w:t>Ámbito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 w:val="0"/>
                <w:color w:val="17212B"/>
                <w:sz w:val="17"/>
              </w:rPr>
              <w:t>Gestión laboral ordinaria de pymes; especial aplicación a hostelería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/>
                <w:color w:val="082A4D"/>
                <w:sz w:val="17"/>
              </w:rPr>
              <w:t>Herramientas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 w:val="0"/>
                <w:color w:val="17212B"/>
                <w:sz w:val="17"/>
              </w:rPr>
              <w:t>Holded Nóminas, Sistema RED / SILTRA y Creative Quality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/>
                <w:color w:val="082A4D"/>
                <w:sz w:val="17"/>
              </w:rPr>
              <w:t>Materiales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 w:val="0"/>
                <w:color w:val="17212B"/>
                <w:sz w:val="17"/>
              </w:rPr>
              <w:t>Manuales paso a paso, checklists y base de conocimientos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/>
                <w:color w:val="082A4D"/>
                <w:sz w:val="17"/>
              </w:rPr>
              <w:t>Precio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 w:val="0"/>
                <w:color w:val="17212B"/>
                <w:sz w:val="17"/>
              </w:rPr>
              <w:t>1.200 € - formación exenta de IVA cuando resulte aplicable</w:t>
            </w:r>
          </w:p>
        </w:tc>
      </w:tr>
    </w:tbl>
    <w:p>
      <w:pPr>
        <w:pStyle w:val="Heading2"/>
      </w:pPr>
      <w:r>
        <w:t>Resultados de aprendizaje</w:t>
      </w:r>
    </w:p>
    <w:p>
      <w:pPr>
        <w:pStyle w:val="ListBullet"/>
        <w:keepLines/>
        <w:spacing w:after="80" w:line="259" w:lineRule="auto"/>
        <w:ind w:left="312" w:hanging="142"/>
      </w:pPr>
      <w:r>
        <w:rPr>
          <w:rFonts w:ascii="DejaVu Sans" w:hAnsi="DejaVu Sans"/>
          <w:sz w:val="20"/>
        </w:rPr>
        <w:t>Interpretar el convenio colectivo y aplicar correctamente las tablas salariales.</w:t>
      </w:r>
    </w:p>
    <w:p>
      <w:pPr>
        <w:pStyle w:val="ListBullet"/>
        <w:keepLines/>
        <w:spacing w:after="80" w:line="259" w:lineRule="auto"/>
        <w:ind w:left="312" w:hanging="142"/>
      </w:pPr>
      <w:r>
        <w:rPr>
          <w:rFonts w:ascii="DejaVu Sans" w:hAnsi="DejaVu Sans"/>
          <w:sz w:val="20"/>
        </w:rPr>
        <w:t>Configurar trabajadores, contratos, conceptos retributivos y cotizaciones en Holded.</w:t>
      </w:r>
    </w:p>
    <w:p>
      <w:pPr>
        <w:pStyle w:val="ListBullet"/>
        <w:keepLines/>
        <w:spacing w:after="80" w:line="259" w:lineRule="auto"/>
        <w:ind w:left="312" w:hanging="142"/>
      </w:pPr>
      <w:r>
        <w:rPr>
          <w:rFonts w:ascii="DejaVu Sans" w:hAnsi="DejaVu Sans"/>
          <w:sz w:val="20"/>
        </w:rPr>
        <w:t>Ejecutar altas, bajas y variaciones mediante Sistema RED y las soluciones de Creative Quality.</w:t>
      </w:r>
    </w:p>
    <w:p>
      <w:pPr>
        <w:pStyle w:val="ListBullet"/>
        <w:keepLines/>
        <w:spacing w:after="80" w:line="259" w:lineRule="auto"/>
        <w:ind w:left="312" w:hanging="142"/>
      </w:pPr>
      <w:r>
        <w:rPr>
          <w:rFonts w:ascii="DejaVu Sans" w:hAnsi="DejaVu Sans"/>
          <w:sz w:val="20"/>
        </w:rPr>
        <w:t>Generar, revisar, aprobar, pagar y contabilizar nóminas ordinarias y especiales.</w:t>
      </w:r>
    </w:p>
    <w:p>
      <w:pPr>
        <w:pStyle w:val="ListBullet"/>
        <w:keepLines/>
        <w:spacing w:after="80" w:line="259" w:lineRule="auto"/>
        <w:ind w:left="312" w:hanging="142"/>
      </w:pPr>
      <w:r>
        <w:rPr>
          <w:rFonts w:ascii="DejaVu Sans" w:hAnsi="DejaVu Sans"/>
          <w:sz w:val="20"/>
        </w:rPr>
        <w:t>Preparar y conciliar SILTRA, CRA, RNT y RLC.</w:t>
      </w:r>
    </w:p>
    <w:p>
      <w:pPr>
        <w:pStyle w:val="ListBullet"/>
        <w:keepLines/>
        <w:spacing w:after="80" w:line="259" w:lineRule="auto"/>
        <w:ind w:left="312" w:hanging="142"/>
      </w:pPr>
      <w:r>
        <w:rPr>
          <w:rFonts w:ascii="DejaVu Sans" w:hAnsi="DejaVu Sans"/>
          <w:sz w:val="20"/>
        </w:rPr>
        <w:t>Gestionar finiquitos, certificados de empresa y cierres laborales con trazabilidad documental.</w:t>
      </w:r>
    </w:p>
    <w:p>
      <w:r>
        <w:br w:type="page"/>
      </w:r>
    </w:p>
    <w:p>
      <w:pPr>
        <w:pStyle w:val="Heading1"/>
      </w:pPr>
      <w:r>
        <w:t>Estructura del programa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7087"/>
        <w:gridCol w:w="1474"/>
      </w:tblGrid>
      <w:tr>
        <w:trPr>
          <w:tblHeader w:val="true"/>
        </w:trP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82A4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N.º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82A4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82A4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DURACIÓN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C4931A"/>
                <w:sz w:val="18"/>
              </w:rPr>
              <w:t>1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 w:val="0"/>
                <w:color w:val="17212B"/>
                <w:sz w:val="18"/>
              </w:rPr>
              <w:t>Arquitectura de la gestión laboral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082A4D"/>
                <w:sz w:val="18"/>
              </w:rPr>
              <w:t>1 h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C4931A"/>
                <w:sz w:val="18"/>
              </w:rPr>
              <w:t>2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 w:val="0"/>
                <w:color w:val="17212B"/>
                <w:sz w:val="18"/>
              </w:rPr>
              <w:t>Convenio colectivo de hostelería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082A4D"/>
                <w:sz w:val="18"/>
              </w:rPr>
              <w:t>2,5 h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C4931A"/>
                <w:sz w:val="18"/>
              </w:rPr>
              <w:t>3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 w:val="0"/>
                <w:color w:val="17212B"/>
                <w:sz w:val="18"/>
              </w:rPr>
              <w:t>Conceptos retributivos y tablas salariales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082A4D"/>
                <w:sz w:val="18"/>
              </w:rPr>
              <w:t>2,5 h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C4931A"/>
                <w:sz w:val="18"/>
              </w:rPr>
              <w:t>4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 w:val="0"/>
                <w:color w:val="17212B"/>
                <w:sz w:val="18"/>
              </w:rPr>
              <w:t>Configuración laboral y contractual en Holded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082A4D"/>
                <w:sz w:val="18"/>
              </w:rPr>
              <w:t>2,5 h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C4931A"/>
                <w:sz w:val="18"/>
              </w:rPr>
              <w:t>5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 w:val="0"/>
                <w:color w:val="17212B"/>
                <w:sz w:val="18"/>
              </w:rPr>
              <w:t>Contratación y afiliación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082A4D"/>
                <w:sz w:val="18"/>
              </w:rPr>
              <w:t>2,5 h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C4931A"/>
                <w:sz w:val="18"/>
              </w:rPr>
              <w:t>6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 w:val="0"/>
                <w:color w:val="17212B"/>
                <w:sz w:val="18"/>
              </w:rPr>
              <w:t>Gestión mensual de nóminas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082A4D"/>
                <w:sz w:val="18"/>
              </w:rPr>
              <w:t>3 h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C4931A"/>
                <w:sz w:val="18"/>
              </w:rPr>
              <w:t>7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 w:val="0"/>
                <w:color w:val="17212B"/>
                <w:sz w:val="18"/>
              </w:rPr>
              <w:t>Cotización: Holded + SILTRA/TGSS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082A4D"/>
                <w:sz w:val="18"/>
              </w:rPr>
              <w:t>3 h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C4931A"/>
                <w:sz w:val="18"/>
              </w:rPr>
              <w:t>8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 w:val="0"/>
                <w:color w:val="17212B"/>
                <w:sz w:val="18"/>
              </w:rPr>
              <w:t>Variaciones, bajas y finiquitos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082A4D"/>
                <w:sz w:val="18"/>
              </w:rPr>
              <w:t>2 h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C4931A"/>
                <w:sz w:val="18"/>
              </w:rPr>
              <w:t>9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 w:val="0"/>
                <w:color w:val="17212B"/>
                <w:sz w:val="18"/>
              </w:rPr>
              <w:t>Cierre laboral y fiscal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082A4D"/>
                <w:sz w:val="18"/>
              </w:rPr>
              <w:t>1 h</w:t>
            </w:r>
          </w:p>
        </w:tc>
      </w:tr>
    </w:tbl>
    <w:p>
      <w:pPr>
        <w:keepNext w:val="0"/>
        <w:spacing w:before="100" w:after="100"/>
        <w:jc w:val="right"/>
      </w:pPr>
      <w:r>
        <w:rPr>
          <w:rFonts w:ascii="DejaVu Sans" w:hAnsi="DejaVu Sans"/>
          <w:b/>
          <w:i w:val="0"/>
          <w:color w:val="082A4D"/>
          <w:sz w:val="20"/>
        </w:rPr>
        <w:t>Total lectivo: 20 horas</w:t>
      </w:r>
    </w:p>
    <w:p>
      <w:pPr>
        <w:pStyle w:val="Heading2"/>
      </w:pPr>
      <w:r>
        <w:t>Tutorías y acompañamiento incluidos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1F7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40"/>
            </w:pPr>
            <w:r>
              <w:rPr>
                <w:rFonts w:ascii="DejaVu Sans" w:hAnsi="DejaVu Sans"/>
                <w:b/>
                <w:color w:val="082A4D"/>
                <w:sz w:val="16"/>
              </w:rPr>
              <w:t>5 HORAS INCLUIDAS SIN COSTE ADICIONAL</w:t>
            </w:r>
          </w:p>
          <w:p>
            <w:pPr>
              <w:spacing w:after="0" w:line="259" w:lineRule="auto"/>
            </w:pPr>
            <w:r>
              <w:rPr>
                <w:rFonts w:ascii="DejaVu Sans" w:hAnsi="DejaVu Sans"/>
                <w:color w:val="17212B"/>
                <w:sz w:val="20"/>
              </w:rPr>
              <w:t>Las tutorías se destinan a resolver dudas, revisar casos reales y acompañar la aplicación de los procedimientos. Su valor económico es de 250 €, incluido en el precio del programa.</w:t>
            </w:r>
          </w:p>
        </w:tc>
      </w:tr>
    </w:tbl>
    <w:p>
      <w:pPr>
        <w:spacing w:after="0"/>
      </w:pPr>
    </w:p>
    <w:p>
      <w:pPr>
        <w:pStyle w:val="ListBullet"/>
        <w:keepLines/>
        <w:spacing w:after="80" w:line="259" w:lineRule="auto"/>
        <w:ind w:left="312" w:hanging="142"/>
      </w:pPr>
      <w:r>
        <w:rPr>
          <w:rFonts w:ascii="DejaVu Sans" w:hAnsi="DejaVu Sans"/>
          <w:sz w:val="20"/>
        </w:rPr>
        <w:t>Resolución de dudas surgidas durante la implantación.</w:t>
      </w:r>
    </w:p>
    <w:p>
      <w:pPr>
        <w:pStyle w:val="ListBullet"/>
        <w:keepLines/>
        <w:spacing w:after="80" w:line="259" w:lineRule="auto"/>
        <w:ind w:left="312" w:hanging="142"/>
      </w:pPr>
      <w:r>
        <w:rPr>
          <w:rFonts w:ascii="DejaVu Sans" w:hAnsi="DejaVu Sans"/>
          <w:sz w:val="20"/>
        </w:rPr>
        <w:t>Revisión de nóminas, incidencias o comunicaciones preparadas por el participante.</w:t>
      </w:r>
    </w:p>
    <w:p>
      <w:pPr>
        <w:pStyle w:val="ListBullet"/>
        <w:keepLines/>
        <w:spacing w:after="80" w:line="259" w:lineRule="auto"/>
        <w:ind w:left="312" w:hanging="142"/>
      </w:pPr>
      <w:r>
        <w:rPr>
          <w:rFonts w:ascii="DejaVu Sans" w:hAnsi="DejaVu Sans"/>
          <w:sz w:val="20"/>
        </w:rPr>
        <w:t>Apoyo en un cierre laboral real y seguimiento posterior.</w:t>
      </w:r>
    </w:p>
    <w:p>
      <w:pPr>
        <w:pStyle w:val="ListBullet"/>
        <w:keepLines/>
        <w:spacing w:after="80" w:line="259" w:lineRule="auto"/>
        <w:ind w:left="312" w:hanging="142"/>
      </w:pPr>
      <w:r>
        <w:rPr>
          <w:rFonts w:ascii="DejaVu Sans" w:hAnsi="DejaVu Sans"/>
          <w:sz w:val="20"/>
        </w:rPr>
        <w:t>Corrección de errores y consolidación del método de trabajo.</w:t>
      </w:r>
    </w:p>
    <w:p>
      <w:pPr>
        <w:pStyle w:val="Heading2"/>
      </w:pPr>
      <w:r>
        <w:t>Metodología</w:t>
      </w:r>
    </w:p>
    <w:p>
      <w:pPr>
        <w:pStyle w:val="ListBullet"/>
        <w:keepLines/>
        <w:spacing w:after="80" w:line="259" w:lineRule="auto"/>
        <w:ind w:left="312" w:hanging="142"/>
      </w:pPr>
      <w:r>
        <w:rPr>
          <w:rFonts w:ascii="DejaVu Sans" w:hAnsi="DejaVu Sans"/>
          <w:sz w:val="20"/>
        </w:rPr>
        <w:t>Explicación teórica breve y directamente vinculada con la práctica.</w:t>
      </w:r>
    </w:p>
    <w:p>
      <w:pPr>
        <w:pStyle w:val="ListBullet"/>
        <w:keepLines/>
        <w:spacing w:after="80" w:line="259" w:lineRule="auto"/>
        <w:ind w:left="312" w:hanging="142"/>
      </w:pPr>
      <w:r>
        <w:rPr>
          <w:rFonts w:ascii="DejaVu Sans" w:hAnsi="DejaVu Sans"/>
          <w:sz w:val="20"/>
        </w:rPr>
        <w:t>Demostración guiada en las plataformas utilizadas por la empresa.</w:t>
      </w:r>
    </w:p>
    <w:p>
      <w:pPr>
        <w:pStyle w:val="ListBullet"/>
        <w:keepLines/>
        <w:spacing w:after="80" w:line="259" w:lineRule="auto"/>
        <w:ind w:left="312" w:hanging="142"/>
      </w:pPr>
      <w:r>
        <w:rPr>
          <w:rFonts w:ascii="DejaVu Sans" w:hAnsi="DejaVu Sans"/>
          <w:sz w:val="20"/>
        </w:rPr>
        <w:t>Ejecución del procedimiento por el participante bajo supervisión.</w:t>
      </w:r>
    </w:p>
    <w:p>
      <w:pPr>
        <w:pStyle w:val="ListBullet"/>
        <w:keepLines/>
        <w:spacing w:after="80" w:line="259" w:lineRule="auto"/>
        <w:ind w:left="312" w:hanging="142"/>
      </w:pPr>
      <w:r>
        <w:rPr>
          <w:rFonts w:ascii="DejaVu Sans" w:hAnsi="DejaVu Sans"/>
          <w:sz w:val="20"/>
        </w:rPr>
        <w:t>Checklist de control y descarga de justificantes.</w:t>
      </w:r>
    </w:p>
    <w:p>
      <w:pPr>
        <w:pStyle w:val="ListBullet"/>
        <w:keepLines/>
        <w:spacing w:after="80" w:line="259" w:lineRule="auto"/>
        <w:ind w:left="312" w:hanging="142"/>
      </w:pPr>
      <w:r>
        <w:rPr>
          <w:rFonts w:ascii="DejaVu Sans" w:hAnsi="DejaVu Sans"/>
          <w:sz w:val="20"/>
        </w:rPr>
        <w:t>Manual operativo asociado a cada procedimiento.</w:t>
      </w:r>
    </w:p>
    <w:p>
      <w:r>
        <w:br w:type="page"/>
      </w:r>
    </w:p>
    <w:p>
      <w:pPr>
        <w:pStyle w:val="Heading1"/>
      </w:pPr>
      <w:r>
        <w:t>Bloque I · Fundamentos y retribución</w:t>
      </w:r>
    </w:p>
    <w:p>
      <w:pPr>
        <w:pStyle w:val="ModuleLabel"/>
      </w:pPr>
      <w:r>
        <w:t>MÓDULO 1  |  1 hora</w:t>
      </w:r>
    </w:p>
    <w:p>
      <w:pPr>
        <w:pStyle w:val="Heading2"/>
        <w:spacing w:before="0"/>
      </w:pPr>
      <w:r>
        <w:t>Arquitectura de la gestión laboral</w:t>
      </w:r>
    </w:p>
    <w:p>
      <w:pPr>
        <w:keepNext w:val="0"/>
        <w:spacing w:before="0" w:after="100"/>
      </w:pPr>
      <w:r>
        <w:rPr>
          <w:rFonts w:ascii="DejaVu Sans" w:hAnsi="DejaVu Sans"/>
          <w:b w:val="0"/>
          <w:i/>
          <w:color w:val="5B6875"/>
          <w:sz w:val="19"/>
        </w:rPr>
        <w:t>Comprender el circuito laboral y distribuir correctamente cada proceso entre Holded, Creative Quality, TGSS, SILTRA y SEPE.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Relación laboral y elementos esenciales.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TGSS, SEPE y AEAT: competencias y comunicaciones.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Mapa Holded - DelegaRed/NetContrata - Sistema RED - SILTRA - Contrat@/Certific@2.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Diferencia entre dato preparado, envío, aceptación y justificante.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Calendario laboral, archivo y trazabilidad.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EED8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40"/>
            </w:pPr>
            <w:r>
              <w:rPr>
                <w:rFonts w:ascii="DejaVu Sans" w:hAnsi="DejaVu Sans"/>
                <w:b/>
                <w:color w:val="C4931A"/>
                <w:sz w:val="16"/>
              </w:rPr>
              <w:t>RESULTADO DEL MÓDULO</w:t>
            </w:r>
          </w:p>
          <w:p>
            <w:pPr>
              <w:spacing w:after="0" w:line="259" w:lineRule="auto"/>
            </w:pPr>
            <w:r>
              <w:rPr>
                <w:rFonts w:ascii="DejaVu Sans" w:hAnsi="DejaVu Sans"/>
                <w:color w:val="17212B"/>
                <w:sz w:val="20"/>
              </w:rPr>
              <w:t>Mapa operativo de obligaciones, responsables, plazos y evidencias.</w:t>
            </w:r>
          </w:p>
        </w:tc>
      </w:tr>
    </w:tbl>
    <w:p>
      <w:pPr>
        <w:spacing w:after="0"/>
      </w:pPr>
    </w:p>
    <w:p>
      <w:pPr>
        <w:pStyle w:val="ModuleLabel"/>
      </w:pPr>
      <w:r>
        <w:t>MÓDULO 2  |  2,5 horas</w:t>
      </w:r>
    </w:p>
    <w:p>
      <w:pPr>
        <w:pStyle w:val="Heading2"/>
        <w:spacing w:before="0"/>
      </w:pPr>
      <w:r>
        <w:t>Convenio colectivo de hostelería</w:t>
      </w:r>
    </w:p>
    <w:p>
      <w:pPr>
        <w:keepNext w:val="0"/>
        <w:spacing w:before="0" w:after="100"/>
      </w:pPr>
      <w:r>
        <w:rPr>
          <w:rFonts w:ascii="DejaVu Sans" w:hAnsi="DejaVu Sans"/>
          <w:b w:val="0"/>
          <w:i/>
          <w:color w:val="5B6875"/>
          <w:sz w:val="19"/>
        </w:rPr>
        <w:t>Localizar, interpretar y aplicar correctamente el convenio colectivo vigente.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Ámbitos territorial, funcional, personal y temporal.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Vigencia, prórroga y actualización del convenio.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Grupos profesionales, categorías, funciones y clasificación.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Jornada anual, descansos, vacaciones y periodo de prueba.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Pagas extraordinarias, nocturnidad, festivos y complementos.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Incapacidad temporal y mejoras de convenio.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Revisión y documentación del criterio aplicado.</w:t>
      </w:r>
    </w:p>
    <w:p>
      <w:pPr>
        <w:keepNext/>
        <w:spacing w:before="40" w:after="20"/>
      </w:pPr>
      <w:r>
        <w:rPr>
          <w:rFonts w:ascii="DejaVu Sans" w:hAnsi="DejaVu Sans"/>
          <w:b/>
          <w:i w:val="0"/>
          <w:color w:val="082A4D"/>
          <w:sz w:val="18"/>
        </w:rPr>
        <w:t>Aplicación práctica</w:t>
      </w:r>
    </w:p>
    <w:p>
      <w:pPr>
        <w:keepNext w:val="0"/>
        <w:spacing w:before="0" w:after="60"/>
      </w:pPr>
      <w:r>
        <w:rPr>
          <w:rFonts w:ascii="DejaVu Sans" w:hAnsi="DejaVu Sans"/>
          <w:b w:val="0"/>
          <w:i w:val="0"/>
          <w:sz w:val="18"/>
        </w:rPr>
        <w:t>Contraste de categoría, jornada y condiciones de una muestra de trabajadores.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EED8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40"/>
            </w:pPr>
            <w:r>
              <w:rPr>
                <w:rFonts w:ascii="DejaVu Sans" w:hAnsi="DejaVu Sans"/>
                <w:b/>
                <w:color w:val="C4931A"/>
                <w:sz w:val="16"/>
              </w:rPr>
              <w:t>RESULTADO DEL MÓDULO</w:t>
            </w:r>
          </w:p>
          <w:p>
            <w:pPr>
              <w:spacing w:after="0" w:line="259" w:lineRule="auto"/>
            </w:pPr>
            <w:r>
              <w:rPr>
                <w:rFonts w:ascii="DejaVu Sans" w:hAnsi="DejaVu Sans"/>
                <w:color w:val="17212B"/>
                <w:sz w:val="20"/>
              </w:rPr>
              <w:t>Ficha de criterios del convenio aplicable a la empresa.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ModuleLabel"/>
      </w:pPr>
      <w:r>
        <w:t>MÓDULO 3  |  2,5 horas</w:t>
      </w:r>
    </w:p>
    <w:p>
      <w:pPr>
        <w:pStyle w:val="Heading2"/>
        <w:spacing w:before="0"/>
      </w:pPr>
      <w:r>
        <w:t>Conceptos retributivos y aplicación de tablas salariales</w:t>
      </w:r>
    </w:p>
    <w:p>
      <w:pPr>
        <w:keepNext w:val="0"/>
        <w:spacing w:before="0" w:after="100"/>
      </w:pPr>
      <w:r>
        <w:rPr>
          <w:rFonts w:ascii="DejaVu Sans" w:hAnsi="DejaVu Sans"/>
          <w:b w:val="0"/>
          <w:i/>
          <w:color w:val="5B6875"/>
          <w:sz w:val="19"/>
        </w:rPr>
        <w:t>Construir correctamente la retribución y comprobar que el salario respeta el convenio.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Salario base y complementos personales, funcionales y de puesto.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Antigüedad, nocturnidad, festividad, incentivos y bonus.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Horas extraordinarias y horas complementarias.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Pagas extraordinarias: devengo y prorrateo.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Percepciones salariales y extrasalariales.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Salario anual, mensual y proporcionalidad en jornada parcial.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Compensación y absorción.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Actualización de tablas y cálculo de atrasos.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Bases de cotización, conceptos cotizables y base sujeta a IRPF.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Regularización del tipo de retención.</w:t>
      </w:r>
    </w:p>
    <w:p>
      <w:pPr>
        <w:keepNext/>
        <w:spacing w:before="40" w:after="20"/>
      </w:pPr>
      <w:r>
        <w:rPr>
          <w:rFonts w:ascii="DejaVu Sans" w:hAnsi="DejaVu Sans"/>
          <w:b/>
          <w:i w:val="0"/>
          <w:color w:val="082A4D"/>
          <w:sz w:val="18"/>
        </w:rPr>
        <w:t>Aplicación práctica</w:t>
      </w:r>
    </w:p>
    <w:p>
      <w:pPr>
        <w:keepNext w:val="0"/>
        <w:spacing w:before="0" w:after="60"/>
      </w:pPr>
      <w:r>
        <w:rPr>
          <w:rFonts w:ascii="DejaVu Sans" w:hAnsi="DejaVu Sans"/>
          <w:b w:val="0"/>
          <w:i w:val="0"/>
          <w:sz w:val="18"/>
        </w:rPr>
        <w:t>Reconstrucción de una nómina y aplicación de una tabla salarial a jornada completa y parcial.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EED8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40"/>
            </w:pPr>
            <w:r>
              <w:rPr>
                <w:rFonts w:ascii="DejaVu Sans" w:hAnsi="DejaVu Sans"/>
                <w:b/>
                <w:color w:val="C4931A"/>
                <w:sz w:val="16"/>
              </w:rPr>
              <w:t>RESULTADO DEL MÓDULO</w:t>
            </w:r>
          </w:p>
          <w:p>
            <w:pPr>
              <w:spacing w:after="0" w:line="259" w:lineRule="auto"/>
            </w:pPr>
            <w:r>
              <w:rPr>
                <w:rFonts w:ascii="DejaVu Sans" w:hAnsi="DejaVu Sans"/>
                <w:color w:val="17212B"/>
                <w:sz w:val="20"/>
              </w:rPr>
              <w:t>Plantilla de comprobación salario pactado vs. salario mínimo de convenio.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Bloque II · Configuración, contratación y nóminas</w:t>
      </w:r>
    </w:p>
    <w:p>
      <w:pPr>
        <w:pStyle w:val="ModuleLabel"/>
      </w:pPr>
      <w:r>
        <w:t>MÓDULO 4  |  2,5 horas</w:t>
      </w:r>
    </w:p>
    <w:p>
      <w:pPr>
        <w:pStyle w:val="Heading2"/>
        <w:spacing w:before="0"/>
      </w:pPr>
      <w:r>
        <w:t>Configuración laboral y contractual en Holded</w:t>
      </w:r>
    </w:p>
    <w:p>
      <w:pPr>
        <w:keepNext w:val="0"/>
        <w:spacing w:before="0" w:after="100"/>
      </w:pPr>
      <w:r>
        <w:rPr>
          <w:rFonts w:ascii="DejaVu Sans" w:hAnsi="DejaVu Sans"/>
          <w:b w:val="0"/>
          <w:i/>
          <w:color w:val="5B6875"/>
          <w:sz w:val="19"/>
        </w:rPr>
        <w:t>Preparar Equipo Pro y Nóminas para que contratos internos, cálculo, cotización y contabilidad funcionen de forma coherente.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Gemas Nóminas y Equipo Pro, roles y permisos.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Organización, centro, CCC, CNAE, régimen y convenio.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Cuentas y conceptos salariales.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Ficha personal, fiscal, bancaria y de afiliación.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Grupo, jornada, calendario, retribución, pagas e IRPF.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Creación, simulación y aprobación del contrato interno.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Auditoría de coherencia de perfiles.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EED8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40"/>
            </w:pPr>
            <w:r>
              <w:rPr>
                <w:rFonts w:ascii="DejaVu Sans" w:hAnsi="DejaVu Sans"/>
                <w:b/>
                <w:color w:val="C4931A"/>
                <w:sz w:val="16"/>
              </w:rPr>
              <w:t>RESULTADO DEL MÓDULO</w:t>
            </w:r>
          </w:p>
          <w:p>
            <w:pPr>
              <w:spacing w:after="0" w:line="259" w:lineRule="auto"/>
            </w:pPr>
            <w:r>
              <w:rPr>
                <w:rFonts w:ascii="DejaVu Sans" w:hAnsi="DejaVu Sans"/>
                <w:color w:val="17212B"/>
                <w:sz w:val="20"/>
              </w:rPr>
              <w:t>Checklist de configuración y validación de Holded.</w:t>
            </w:r>
          </w:p>
        </w:tc>
      </w:tr>
    </w:tbl>
    <w:p>
      <w:pPr>
        <w:spacing w:after="0"/>
      </w:pPr>
    </w:p>
    <w:p>
      <w:pPr>
        <w:pStyle w:val="ModuleLabel"/>
      </w:pPr>
      <w:r>
        <w:t>MÓDULO 5  |  2,5 horas</w:t>
      </w:r>
    </w:p>
    <w:p>
      <w:pPr>
        <w:pStyle w:val="Heading2"/>
        <w:spacing w:before="0"/>
      </w:pPr>
      <w:r>
        <w:t>Contratación y afiliación</w:t>
      </w:r>
    </w:p>
    <w:p>
      <w:pPr>
        <w:keepNext w:val="0"/>
        <w:spacing w:before="0" w:after="100"/>
      </w:pPr>
      <w:r>
        <w:rPr>
          <w:rFonts w:ascii="DejaVu Sans" w:hAnsi="DejaVu Sans"/>
          <w:b w:val="0"/>
          <w:i/>
          <w:color w:val="5B6875"/>
          <w:sz w:val="19"/>
        </w:rPr>
        <w:t>Ejecutar una incorporación completa y verificarla en todas las plataformas.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Documentación previa y modelo 145.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Elección del contrato, jornada, categoría, salario y periodo de prueba.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Alta mediante DelegaRed/NetContrata y Sistema RED.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Obtención y archivo de TA e IDC.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Preparación, firma y comunicación a Contrat@.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Huella electrónica.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Contrato interno en Holded.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Comprobación cruzada entre TGSS, SEPE y Holded.</w:t>
      </w:r>
    </w:p>
    <w:p>
      <w:pPr>
        <w:keepNext/>
        <w:spacing w:before="40" w:after="20"/>
      </w:pPr>
      <w:r>
        <w:rPr>
          <w:rFonts w:ascii="DejaVu Sans" w:hAnsi="DejaVu Sans"/>
          <w:b/>
          <w:i w:val="0"/>
          <w:color w:val="082A4D"/>
          <w:sz w:val="18"/>
        </w:rPr>
        <w:t>Aplicación práctica</w:t>
      </w:r>
    </w:p>
    <w:p>
      <w:pPr>
        <w:keepNext w:val="0"/>
        <w:spacing w:before="0" w:after="60"/>
      </w:pPr>
      <w:r>
        <w:rPr>
          <w:rFonts w:ascii="DejaVu Sans" w:hAnsi="DejaVu Sans"/>
          <w:b w:val="0"/>
          <w:i w:val="0"/>
          <w:sz w:val="18"/>
        </w:rPr>
        <w:t>Simulación completa de una nueva incorporación.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EED8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40"/>
            </w:pPr>
            <w:r>
              <w:rPr>
                <w:rFonts w:ascii="DejaVu Sans" w:hAnsi="DejaVu Sans"/>
                <w:b/>
                <w:color w:val="C4931A"/>
                <w:sz w:val="16"/>
              </w:rPr>
              <w:t>RESULTADO DEL MÓDULO</w:t>
            </w:r>
          </w:p>
          <w:p>
            <w:pPr>
              <w:spacing w:after="0" w:line="259" w:lineRule="auto"/>
            </w:pPr>
            <w:r>
              <w:rPr>
                <w:rFonts w:ascii="DejaVu Sans" w:hAnsi="DejaVu Sans"/>
                <w:color w:val="17212B"/>
                <w:sz w:val="20"/>
              </w:rPr>
              <w:t>Expediente de alta completo, validado y archivado.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ModuleLabel"/>
      </w:pPr>
      <w:r>
        <w:t>MÓDULO 6  |  3 horas</w:t>
      </w:r>
    </w:p>
    <w:p>
      <w:pPr>
        <w:pStyle w:val="Heading2"/>
        <w:spacing w:before="0"/>
      </w:pPr>
      <w:r>
        <w:t>Gestión mensual de nóminas</w:t>
      </w:r>
    </w:p>
    <w:p>
      <w:pPr>
        <w:keepNext w:val="0"/>
        <w:spacing w:before="0" w:after="100"/>
      </w:pPr>
      <w:r>
        <w:rPr>
          <w:rFonts w:ascii="DejaVu Sans" w:hAnsi="DejaVu Sans"/>
          <w:b w:val="0"/>
          <w:i/>
          <w:color w:val="5B6875"/>
          <w:sz w:val="19"/>
        </w:rPr>
        <w:t>Gestionar el proceso mensual desde las incidencias hasta el pago y la contabilización.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Calendario de incidencias y cierre.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Altas, bajas, vacaciones, ausencias e IT con impacto salarial.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Nocturnidad, festivos, horas extra, horas complementarias y variables.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Anticipos, embargos y ajustes, cuando procedan.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Generación masiva de borradores.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Revisión de devengos, deducciones, bases e IRPF.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Aprobación, PDF y entrega al trabajador.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Remesa SEPA, registro del pago y asiento contable.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Corrección de nóminas y control de versiones.</w:t>
      </w:r>
    </w:p>
    <w:p>
      <w:pPr>
        <w:keepNext/>
        <w:spacing w:before="40" w:after="20"/>
      </w:pPr>
      <w:r>
        <w:rPr>
          <w:rFonts w:ascii="DejaVu Sans" w:hAnsi="DejaVu Sans"/>
          <w:b/>
          <w:i w:val="0"/>
          <w:color w:val="082A4D"/>
          <w:sz w:val="18"/>
        </w:rPr>
        <w:t>Aplicación práctica</w:t>
      </w:r>
    </w:p>
    <w:p>
      <w:pPr>
        <w:keepNext w:val="0"/>
        <w:spacing w:before="0" w:after="60"/>
      </w:pPr>
      <w:r>
        <w:rPr>
          <w:rFonts w:ascii="DejaVu Sans" w:hAnsi="DejaVu Sans"/>
          <w:b w:val="0"/>
          <w:i w:val="0"/>
          <w:sz w:val="18"/>
        </w:rPr>
        <w:t>Preparación y revisión de un cierre mensual real.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EED8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40"/>
            </w:pPr>
            <w:r>
              <w:rPr>
                <w:rFonts w:ascii="DejaVu Sans" w:hAnsi="DejaVu Sans"/>
                <w:b/>
                <w:color w:val="C4931A"/>
                <w:sz w:val="16"/>
              </w:rPr>
              <w:t>RESULTADO DEL MÓDULO</w:t>
            </w:r>
          </w:p>
          <w:p>
            <w:pPr>
              <w:spacing w:after="0" w:line="259" w:lineRule="auto"/>
            </w:pPr>
            <w:r>
              <w:rPr>
                <w:rFonts w:ascii="DejaVu Sans" w:hAnsi="DejaVu Sans"/>
                <w:color w:val="17212B"/>
                <w:sz w:val="20"/>
              </w:rPr>
              <w:t>Checklist de revisión de nómina antes de aprobar y pagar.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Bloque III · Cotización, bajas y cierres</w:t>
      </w:r>
    </w:p>
    <w:p>
      <w:pPr>
        <w:pStyle w:val="ModuleLabel"/>
      </w:pPr>
      <w:r>
        <w:t>MÓDULO 7  |  3 horas</w:t>
      </w:r>
    </w:p>
    <w:p>
      <w:pPr>
        <w:pStyle w:val="Heading2"/>
        <w:spacing w:before="0"/>
      </w:pPr>
      <w:r>
        <w:t>Cotización: Holded + SILTRA/TGSS</w:t>
      </w:r>
    </w:p>
    <w:p>
      <w:pPr>
        <w:keepNext w:val="0"/>
        <w:spacing w:before="0" w:after="100"/>
      </w:pPr>
      <w:r>
        <w:rPr>
          <w:rFonts w:ascii="DejaVu Sans" w:hAnsi="DejaVu Sans"/>
          <w:b w:val="0"/>
          <w:i/>
          <w:color w:val="5B6875"/>
          <w:sz w:val="19"/>
        </w:rPr>
        <w:t>Preparar, enviar, corregir y conciliar la liquidación mensual de cotizaciones.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Preparación en Holded y transmisión externa en SILTRA.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Liquidación ordinaria L00 y complementarias aplicables.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Fichero de bases, CRA y L03 documentado por Holded.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Validación, envío y respuestas SILTRA.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Tramos, discrepancias y corrección del dato de origen.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DCL, confirmación, RNT y RLC.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Modalidad de pago, incorporación a Holded y archivo.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Conciliación entre nóminas, contabilidad y TGSS.</w:t>
      </w:r>
    </w:p>
    <w:p>
      <w:pPr>
        <w:keepNext/>
        <w:spacing w:before="40" w:after="20"/>
      </w:pPr>
      <w:r>
        <w:rPr>
          <w:rFonts w:ascii="DejaVu Sans" w:hAnsi="DejaVu Sans"/>
          <w:b/>
          <w:i w:val="0"/>
          <w:color w:val="082A4D"/>
          <w:sz w:val="18"/>
        </w:rPr>
        <w:t>Aplicación práctica</w:t>
      </w:r>
    </w:p>
    <w:p>
      <w:pPr>
        <w:keepNext w:val="0"/>
        <w:spacing w:before="0" w:after="60"/>
      </w:pPr>
      <w:r>
        <w:rPr>
          <w:rFonts w:ascii="DejaVu Sans" w:hAnsi="DejaVu Sans"/>
          <w:b w:val="0"/>
          <w:i w:val="0"/>
          <w:sz w:val="18"/>
        </w:rPr>
        <w:t>Preparación y comprobación de una liquidación mensual.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EED8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40"/>
            </w:pPr>
            <w:r>
              <w:rPr>
                <w:rFonts w:ascii="DejaVu Sans" w:hAnsi="DejaVu Sans"/>
                <w:b/>
                <w:color w:val="C4931A"/>
                <w:sz w:val="16"/>
              </w:rPr>
              <w:t>RESULTADO DEL MÓDULO</w:t>
            </w:r>
          </w:p>
          <w:p>
            <w:pPr>
              <w:spacing w:after="0" w:line="259" w:lineRule="auto"/>
            </w:pPr>
            <w:r>
              <w:rPr>
                <w:rFonts w:ascii="DejaVu Sans" w:hAnsi="DejaVu Sans"/>
                <w:color w:val="17212B"/>
                <w:sz w:val="20"/>
              </w:rPr>
              <w:t>Protocolo de conciliación Holded - SILTRA - RNT/RLC.</w:t>
            </w:r>
          </w:p>
        </w:tc>
      </w:tr>
    </w:tbl>
    <w:p>
      <w:pPr>
        <w:spacing w:after="0"/>
      </w:pPr>
    </w:p>
    <w:p>
      <w:pPr>
        <w:pStyle w:val="ModuleLabel"/>
      </w:pPr>
      <w:r>
        <w:t>MÓDULO 8  |  2 horas</w:t>
      </w:r>
    </w:p>
    <w:p>
      <w:pPr>
        <w:pStyle w:val="Heading2"/>
        <w:spacing w:before="0"/>
      </w:pPr>
      <w:r>
        <w:t>Variaciones, bajas y finiquitos</w:t>
      </w:r>
    </w:p>
    <w:p>
      <w:pPr>
        <w:keepNext w:val="0"/>
        <w:spacing w:before="0" w:after="100"/>
      </w:pPr>
      <w:r>
        <w:rPr>
          <w:rFonts w:ascii="DejaVu Sans" w:hAnsi="DejaVu Sans"/>
          <w:b w:val="0"/>
          <w:i/>
          <w:color w:val="5B6875"/>
          <w:sz w:val="19"/>
        </w:rPr>
        <w:t>Gestionar modificaciones y extinciones con coherencia documental y económica.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Cambios y finiquito calculados en Holded.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Prórrogas y transformaciones mediante Creative Quality/Contrat@.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Variaciones y baja mediante DelegaRed/NetContrata y Sistema RED.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Verificación mediante IDC.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Salario pendiente, extras, vacaciones e indemnización.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Liquidación L13 cuando corresponda.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Certificado mediante Creative Quality/Certific@2.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Entrega y cierre del expediente.</w:t>
      </w:r>
    </w:p>
    <w:p>
      <w:pPr>
        <w:keepNext/>
        <w:spacing w:before="40" w:after="20"/>
      </w:pPr>
      <w:r>
        <w:rPr>
          <w:rFonts w:ascii="DejaVu Sans" w:hAnsi="DejaVu Sans"/>
          <w:b/>
          <w:i w:val="0"/>
          <w:color w:val="082A4D"/>
          <w:sz w:val="18"/>
        </w:rPr>
        <w:t>Aplicación práctica</w:t>
      </w:r>
    </w:p>
    <w:p>
      <w:pPr>
        <w:keepNext w:val="0"/>
        <w:spacing w:before="0" w:after="60"/>
      </w:pPr>
      <w:r>
        <w:rPr>
          <w:rFonts w:ascii="DejaVu Sans" w:hAnsi="DejaVu Sans"/>
          <w:b w:val="0"/>
          <w:i w:val="0"/>
          <w:sz w:val="18"/>
        </w:rPr>
        <w:t>Simulación de una baja con finiquito y certificado de empresa.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EED8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40"/>
            </w:pPr>
            <w:r>
              <w:rPr>
                <w:rFonts w:ascii="DejaVu Sans" w:hAnsi="DejaVu Sans"/>
                <w:b/>
                <w:color w:val="C4931A"/>
                <w:sz w:val="16"/>
              </w:rPr>
              <w:t>RESULTADO DEL MÓDULO</w:t>
            </w:r>
          </w:p>
          <w:p>
            <w:pPr>
              <w:spacing w:after="0" w:line="259" w:lineRule="auto"/>
            </w:pPr>
            <w:r>
              <w:rPr>
                <w:rFonts w:ascii="DejaVu Sans" w:hAnsi="DejaVu Sans"/>
                <w:color w:val="17212B"/>
                <w:sz w:val="20"/>
              </w:rPr>
              <w:t>Checklist de variación y checklist completo de baja.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ModuleLabel"/>
      </w:pPr>
      <w:r>
        <w:t>MÓDULO 9  |  1 hora</w:t>
      </w:r>
    </w:p>
    <w:p>
      <w:pPr>
        <w:pStyle w:val="Heading2"/>
        <w:spacing w:before="0"/>
      </w:pPr>
      <w:r>
        <w:t>Cierre laboral y fiscal</w:t>
      </w:r>
    </w:p>
    <w:p>
      <w:pPr>
        <w:keepNext w:val="0"/>
        <w:spacing w:before="0" w:after="100"/>
      </w:pPr>
      <w:r>
        <w:rPr>
          <w:rFonts w:ascii="DejaVu Sans" w:hAnsi="DejaVu Sans"/>
          <w:b w:val="0"/>
          <w:i/>
          <w:color w:val="5B6875"/>
          <w:sz w:val="19"/>
        </w:rPr>
        <w:t>Cerrar el periodo con conciliación contable, tributaria y documental.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Conciliación de nóminas, banco, RNT/RLC y asiento contable.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Control acumulado de retenciones.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Preparación y presentación del modelo 111 desde Holded.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Modelo 190 y certificados anuales de retenciones.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Archivo mensual y anual.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Calendario de revisión y control de justificantes.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EED8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40"/>
            </w:pPr>
            <w:r>
              <w:rPr>
                <w:rFonts w:ascii="DejaVu Sans" w:hAnsi="DejaVu Sans"/>
                <w:b/>
                <w:color w:val="C4931A"/>
                <w:sz w:val="16"/>
              </w:rPr>
              <w:t>RESULTADO DEL MÓDULO</w:t>
            </w:r>
          </w:p>
          <w:p>
            <w:pPr>
              <w:spacing w:after="0" w:line="259" w:lineRule="auto"/>
            </w:pPr>
            <w:r>
              <w:rPr>
                <w:rFonts w:ascii="DejaVu Sans" w:hAnsi="DejaVu Sans"/>
                <w:color w:val="17212B"/>
                <w:sz w:val="20"/>
              </w:rPr>
              <w:t>Checklist único de cierre laboral mensual y anual.</w:t>
            </w:r>
          </w:p>
        </w:tc>
      </w:tr>
    </w:tbl>
    <w:p>
      <w:pPr>
        <w:spacing w:after="0"/>
      </w:pPr>
    </w:p>
    <w:p>
      <w:pPr>
        <w:pStyle w:val="Heading2"/>
      </w:pPr>
      <w:r>
        <w:t>Áreas coordinadas con proveedores externos</w:t>
      </w:r>
    </w:p>
    <w:p>
      <w:pPr>
        <w:keepNext w:val="0"/>
        <w:spacing w:before="0" w:after="100"/>
      </w:pPr>
      <w:r>
        <w:rPr>
          <w:rFonts w:ascii="DejaVu Sans" w:hAnsi="DejaVu Sans"/>
          <w:b w:val="0"/>
          <w:i w:val="0"/>
          <w:sz w:val="19"/>
        </w:rPr>
        <w:t>El programa integra el efecto salarial y documental de estas materias, pero su tramitación especializada permanece coordinada con los proveedores contratados por la empresa: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FIE/INSS y gestión con la mutua.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Accidentes de trabajo y Delt@.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Registro horario, turnos y ausencias.</w:t>
      </w:r>
    </w:p>
    <w:p>
      <w:r>
        <w:br w:type="page"/>
      </w:r>
    </w:p>
    <w:p>
      <w:pPr>
        <w:pStyle w:val="Heading1"/>
      </w:pPr>
      <w:r>
        <w:t>Materiales y base de conocimientos</w:t>
      </w:r>
    </w:p>
    <w:p>
      <w:pPr>
        <w:keepNext w:val="0"/>
        <w:spacing w:before="0" w:after="100"/>
      </w:pPr>
      <w:r>
        <w:rPr>
          <w:rFonts w:ascii="DejaVu Sans" w:hAnsi="DejaVu Sans"/>
          <w:b w:val="0"/>
          <w:i w:val="0"/>
          <w:sz w:val="20"/>
        </w:rPr>
        <w:t>Cada procedimiento se convertirá progresivamente en un manual operativo accesible desde la futura sección /docs/laboral de expertconsulting.es. Los materiales combinarán instrucciones, capturas, plazos, evidencias y controles posteriores.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551"/>
        <w:gridCol w:w="6066"/>
      </w:tblGrid>
      <w:tr>
        <w:trPr>
          <w:tblHeader w:val="true"/>
        </w:trP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82A4D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N.º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82A4D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MANUAL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82A4D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ALCANCE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C4931A"/>
                <w:sz w:val="17"/>
              </w:rPr>
              <w:t>01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/>
                <w:color w:val="082A4D"/>
                <w:sz w:val="17"/>
              </w:rPr>
              <w:t>Alta y contratación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 w:val="0"/>
                <w:color w:val="17212B"/>
                <w:sz w:val="17"/>
              </w:rPr>
              <w:t>Desde documentación previa hasta comprobación en TGSS, SEPE y Holded.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C4931A"/>
                <w:sz w:val="17"/>
              </w:rPr>
              <w:t>02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/>
                <w:color w:val="082A4D"/>
                <w:sz w:val="17"/>
              </w:rPr>
              <w:t>Variaciones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 w:val="0"/>
                <w:color w:val="17212B"/>
                <w:sz w:val="17"/>
              </w:rPr>
              <w:t>Jornada, salario, categoría, grupo, prórrogas y transformaciones.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C4931A"/>
                <w:sz w:val="17"/>
              </w:rPr>
              <w:t>03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/>
                <w:color w:val="082A4D"/>
                <w:sz w:val="17"/>
              </w:rPr>
              <w:t>Nómina mensual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 w:val="0"/>
                <w:color w:val="17212B"/>
                <w:sz w:val="17"/>
              </w:rPr>
              <w:t>Incidencias, borradores, revisión, aprobación, entrega y pago.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C4931A"/>
                <w:sz w:val="17"/>
              </w:rPr>
              <w:t>04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/>
                <w:color w:val="082A4D"/>
                <w:sz w:val="17"/>
              </w:rPr>
              <w:t>SILTRA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 w:val="0"/>
                <w:color w:val="17212B"/>
                <w:sz w:val="17"/>
              </w:rPr>
              <w:t>Bases, CRA, respuestas, correcciones, RNT y RLC.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C4931A"/>
                <w:sz w:val="17"/>
              </w:rPr>
              <w:t>05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/>
                <w:color w:val="082A4D"/>
                <w:sz w:val="17"/>
              </w:rPr>
              <w:t>Baja y finiquito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 w:val="0"/>
                <w:color w:val="17212B"/>
                <w:sz w:val="17"/>
              </w:rPr>
              <w:t>Baja, liquidación, vacaciones, L13 y certificado de empresa.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C4931A"/>
                <w:sz w:val="17"/>
              </w:rPr>
              <w:t>06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/>
                <w:color w:val="082A4D"/>
                <w:sz w:val="17"/>
              </w:rPr>
              <w:t>Cierres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 w:val="0"/>
                <w:color w:val="17212B"/>
                <w:sz w:val="17"/>
              </w:rPr>
              <w:t>Conciliación laboral, contable, fiscal y archivo documental.</w:t>
            </w:r>
          </w:p>
        </w:tc>
      </w:tr>
    </w:tbl>
    <w:p>
      <w:pPr>
        <w:pStyle w:val="Heading2"/>
      </w:pPr>
      <w:r>
        <w:t>Formato estándar de los manuales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Finalidad y plazo.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Responsable y documentación necesaria.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Paso a paso por plataforma.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Resultado esperado y justificantes.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Archivo y comprobaciones posteriores.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Errores frecuentes y criterios de escalado profesional.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Fuentes y fecha de revisión.</w:t>
      </w:r>
    </w:p>
    <w:p>
      <w:pPr>
        <w:pStyle w:val="Heading2"/>
      </w:pPr>
      <w:r>
        <w:t>Tutorías incluidas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1F7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40"/>
            </w:pPr>
            <w:r>
              <w:rPr>
                <w:rFonts w:ascii="DejaVu Sans" w:hAnsi="DejaVu Sans"/>
                <w:b/>
                <w:color w:val="082A4D"/>
                <w:sz w:val="16"/>
              </w:rPr>
              <w:t>ACOMPAÑAMIENTO REAL</w:t>
            </w:r>
          </w:p>
          <w:p>
            <w:pPr>
              <w:spacing w:after="0" w:line="259" w:lineRule="auto"/>
            </w:pPr>
            <w:r>
              <w:rPr>
                <w:rFonts w:ascii="DejaVu Sans" w:hAnsi="DejaVu Sans"/>
                <w:color w:val="17212B"/>
                <w:sz w:val="20"/>
              </w:rPr>
              <w:t>Las 5 horas incluidas se programarán después de los bloques principales para consolidar el aprendizaje con casos reales. El participante ejecuta; EXPERT supervisa, corrige y documenta.</w:t>
            </w:r>
          </w:p>
        </w:tc>
      </w:tr>
    </w:tbl>
    <w:p>
      <w:pPr>
        <w:spacing w:after="0"/>
      </w:pP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Tutoría de implantación y dudas: 1,5 horas.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Acompañamiento en un cierre laboral: 2,5 horas.</w:t>
      </w:r>
    </w:p>
    <w:p>
      <w:pPr>
        <w:pStyle w:val="ListBullet"/>
        <w:keepLines/>
        <w:spacing w:after="50" w:line="259" w:lineRule="auto"/>
        <w:ind w:left="312" w:hanging="142"/>
      </w:pPr>
      <w:r>
        <w:rPr>
          <w:rFonts w:ascii="DejaVu Sans" w:hAnsi="DejaVu Sans"/>
          <w:sz w:val="18"/>
        </w:rPr>
        <w:t>Revisión final y plan de autonomía: 1 hora.</w:t>
      </w:r>
    </w:p>
    <w:p>
      <w:r>
        <w:br w:type="page"/>
      </w:r>
    </w:p>
    <w:p>
      <w:pPr>
        <w:pStyle w:val="Heading1"/>
      </w:pPr>
      <w:r>
        <w:t>Inversión y 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1871"/>
        <w:gridCol w:w="1871"/>
      </w:tblGrid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82A4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82A4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VALOR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82A4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6"/>
              </w:rPr>
              <w:t>INCLUIDO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/>
                <w:color w:val="17212B"/>
                <w:sz w:val="18"/>
              </w:rPr>
              <w:t>20 horas de formación individual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 w:val="0"/>
                <w:color w:val="17212B"/>
                <w:sz w:val="18"/>
              </w:rPr>
              <w:t>1.000 €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1D6B53"/>
                <w:sz w:val="18"/>
              </w:rPr>
              <w:t>Sí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/>
                <w:color w:val="17212B"/>
                <w:sz w:val="18"/>
              </w:rPr>
              <w:t>Manuales y materiales personalizados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 w:val="0"/>
                <w:color w:val="17212B"/>
                <w:sz w:val="18"/>
              </w:rPr>
              <w:t>200 €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1D6B53"/>
                <w:sz w:val="18"/>
              </w:rPr>
              <w:t>Sí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EED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" w:hAnsi="DejaVu Sans"/>
                <w:b/>
                <w:color w:val="17212B"/>
                <w:sz w:val="18"/>
              </w:rPr>
              <w:t>5 horas de tutoría y acompañamiento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EED8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 w:val="0"/>
                <w:color w:val="17212B"/>
                <w:sz w:val="18"/>
              </w:rPr>
              <w:t>250 €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EED8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DejaVu Sans" w:hAnsi="DejaVu Sans"/>
                <w:b/>
                <w:color w:val="1D6B53"/>
                <w:sz w:val="18"/>
              </w:rPr>
              <w:t>Sin coste adicional</w:t>
            </w:r>
          </w:p>
        </w:tc>
      </w:tr>
    </w:tbl>
    <w:p>
      <w:pPr>
        <w:keepNext w:val="0"/>
        <w:spacing w:before="200" w:after="40"/>
        <w:jc w:val="right"/>
      </w:pPr>
      <w:r>
        <w:rPr>
          <w:rFonts w:ascii="DejaVu Sans" w:hAnsi="DejaVu Sans"/>
          <w:b/>
          <w:i w:val="0"/>
          <w:color w:val="5B6875"/>
          <w:sz w:val="22"/>
        </w:rPr>
        <w:t>Valor total del programa: 1.450 €</w:t>
      </w:r>
    </w:p>
    <w:p>
      <w:pPr>
        <w:keepNext w:val="0"/>
        <w:spacing w:before="0" w:after="60"/>
        <w:jc w:val="right"/>
      </w:pPr>
      <w:r>
        <w:rPr>
          <w:rFonts w:ascii="DejaVu Sans" w:hAnsi="DejaVu Sans"/>
          <w:b/>
          <w:i w:val="0"/>
          <w:color w:val="082A4D"/>
          <w:sz w:val="40"/>
        </w:rPr>
        <w:t>Precio final: 1.200 €</w:t>
      </w:r>
    </w:p>
    <w:p>
      <w:pPr>
        <w:keepNext w:val="0"/>
        <w:spacing w:before="0" w:after="240"/>
        <w:jc w:val="right"/>
      </w:pPr>
      <w:r>
        <w:rPr>
          <w:rFonts w:ascii="DejaVu Sans" w:hAnsi="DejaVu Sans"/>
          <w:b w:val="0"/>
          <w:i w:val="0"/>
          <w:color w:val="5B6875"/>
          <w:sz w:val="18"/>
        </w:rPr>
        <w:t>Pago único · Formación exenta de IVA cuando resulte aplicable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</w:tblGrid>
      <w:tr>
        <w:tc>
          <w:tcPr>
            <w:tcW w:type="dxa" w:w="4989"/>
            <w:shd w:fill="C4931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0"/>
              <w:jc w:val="center"/>
            </w:pPr>
            <w:hyperlink r:id="rId12">
              <w:r>
                <w:rPr>
                  <w:rFonts w:ascii="DejaVu Sans" w:hAnsi="DejaVu Sans"/>
                  <w:color w:val="FFFFFF"/>
                  <w:sz w:val="18"/>
                  <w:b/>
                  <w:u w:val="none"/>
                </w:rPr>
                <w:t>INSCRIBIRME Y REALIZAR EL PAGO SEGURO</w:t>
              </w:r>
            </w:hyperlink>
          </w:p>
        </w:tc>
      </w:tr>
    </w:tbl>
    <w:p>
      <w:pPr>
        <w:spacing w:before="60" w:after="100"/>
        <w:jc w:val="center"/>
      </w:pPr>
      <w:r>
        <w:rPr>
          <w:rFonts w:ascii="DejaVu Sans" w:hAnsi="DejaVu Sans"/>
          <w:color w:val="5B6875"/>
          <w:sz w:val="15"/>
        </w:rPr>
        <w:t>https://buy.stripe.com/6oU00kftqgMs9jU5gJ8EM0i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1F7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40"/>
            </w:pPr>
            <w:r>
              <w:rPr>
                <w:rFonts w:ascii="DejaVu Sans" w:hAnsi="DejaVu Sans"/>
                <w:b/>
                <w:color w:val="082A4D"/>
                <w:sz w:val="16"/>
              </w:rPr>
              <w:t>GARANTÍA OPERATIVA</w:t>
            </w:r>
          </w:p>
          <w:p>
            <w:pPr>
              <w:spacing w:after="0" w:line="259" w:lineRule="auto"/>
            </w:pPr>
            <w:r>
              <w:rPr>
                <w:rFonts w:ascii="DejaVu Sans" w:hAnsi="DejaVu Sans"/>
                <w:color w:val="17212B"/>
                <w:sz w:val="20"/>
              </w:rPr>
              <w:t>El programa incluye materiales reutilizables y acompañamiento suficiente para validar la aplicación práctica. Los trámites extraordinarios, litigiosos o que requieran interpretación jurídica específica no forman parte de la ejecución ordinaria del curso.</w:t>
            </w:r>
          </w:p>
        </w:tc>
      </w:tr>
    </w:tbl>
    <w:p>
      <w:pPr>
        <w:spacing w:after="0"/>
      </w:pPr>
    </w:p>
    <w:p>
      <w:pPr>
        <w:pStyle w:val="Heading2"/>
      </w:pPr>
      <w:r>
        <w:t>Incluye</w:t>
      </w:r>
    </w:p>
    <w:p>
      <w:pPr>
        <w:pStyle w:val="ListBullet"/>
        <w:keepLines/>
        <w:spacing w:after="80" w:line="259" w:lineRule="auto"/>
        <w:ind w:left="312" w:hanging="142"/>
      </w:pPr>
      <w:r>
        <w:rPr>
          <w:rFonts w:ascii="DejaVu Sans" w:hAnsi="DejaVu Sans"/>
          <w:sz w:val="20"/>
        </w:rPr>
        <w:t>20 horas de formación personalizada en directo.</w:t>
      </w:r>
    </w:p>
    <w:p>
      <w:pPr>
        <w:pStyle w:val="ListBullet"/>
        <w:keepLines/>
        <w:spacing w:after="80" w:line="259" w:lineRule="auto"/>
        <w:ind w:left="312" w:hanging="142"/>
      </w:pPr>
      <w:r>
        <w:rPr>
          <w:rFonts w:ascii="DejaVu Sans" w:hAnsi="DejaVu Sans"/>
          <w:sz w:val="20"/>
        </w:rPr>
        <w:t>5 horas de tutoría y acompañamiento.</w:t>
      </w:r>
    </w:p>
    <w:p>
      <w:pPr>
        <w:pStyle w:val="ListBullet"/>
        <w:keepLines/>
        <w:spacing w:after="80" w:line="259" w:lineRule="auto"/>
        <w:ind w:left="312" w:hanging="142"/>
      </w:pPr>
      <w:r>
        <w:rPr>
          <w:rFonts w:ascii="DejaVu Sans" w:hAnsi="DejaVu Sans"/>
          <w:sz w:val="20"/>
        </w:rPr>
        <w:t>Manuales y checklists operativos.</w:t>
      </w:r>
    </w:p>
    <w:p>
      <w:pPr>
        <w:pStyle w:val="ListBullet"/>
        <w:keepLines/>
        <w:spacing w:after="80" w:line="259" w:lineRule="auto"/>
        <w:ind w:left="312" w:hanging="142"/>
      </w:pPr>
      <w:r>
        <w:rPr>
          <w:rFonts w:ascii="DejaVu Sans" w:hAnsi="DejaVu Sans"/>
          <w:sz w:val="20"/>
        </w:rPr>
        <w:t>Aplicación sobre casos reales de la empresa.</w:t>
      </w:r>
    </w:p>
    <w:p>
      <w:pPr>
        <w:pStyle w:val="ListBullet"/>
        <w:keepLines/>
        <w:spacing w:after="80" w:line="259" w:lineRule="auto"/>
        <w:ind w:left="312" w:hanging="142"/>
      </w:pPr>
      <w:r>
        <w:rPr>
          <w:rFonts w:ascii="DejaVu Sans" w:hAnsi="DejaVu Sans"/>
          <w:sz w:val="20"/>
        </w:rPr>
        <w:t>Acceso a las actualizaciones de los materiales vinculados al programa.</w:t>
      </w:r>
    </w:p>
    <w:p>
      <w:pPr>
        <w:pStyle w:val="ListBullet"/>
        <w:keepLines/>
        <w:spacing w:after="80" w:line="259" w:lineRule="auto"/>
        <w:ind w:left="312" w:hanging="142"/>
      </w:pPr>
      <w:r>
        <w:rPr>
          <w:rFonts w:ascii="DejaVu Sans" w:hAnsi="DejaVu Sans"/>
          <w:sz w:val="20"/>
        </w:rPr>
        <w:t>Plan final de trabajo autónomo.</w:t>
      </w:r>
    </w:p>
    <w:p>
      <w:pPr>
        <w:pStyle w:val="Heading2"/>
      </w:pPr>
      <w:r>
        <w:t>Requisitos previos</w:t>
      </w:r>
    </w:p>
    <w:p>
      <w:pPr>
        <w:pStyle w:val="ListBullet"/>
        <w:keepLines/>
        <w:spacing w:after="80" w:line="259" w:lineRule="auto"/>
        <w:ind w:left="312" w:hanging="142"/>
      </w:pPr>
      <w:r>
        <w:rPr>
          <w:rFonts w:ascii="DejaVu Sans" w:hAnsi="DejaVu Sans"/>
          <w:sz w:val="20"/>
        </w:rPr>
        <w:t>Acceso administrativo a Holded y módulos necesarios.</w:t>
      </w:r>
    </w:p>
    <w:p>
      <w:pPr>
        <w:pStyle w:val="ListBullet"/>
        <w:keepLines/>
        <w:spacing w:after="80" w:line="259" w:lineRule="auto"/>
        <w:ind w:left="312" w:hanging="142"/>
      </w:pPr>
      <w:r>
        <w:rPr>
          <w:rFonts w:ascii="DejaVu Sans" w:hAnsi="DejaVu Sans"/>
          <w:sz w:val="20"/>
        </w:rPr>
        <w:t>Autorización y acceso operativo a Sistema RED / SILTRA.</w:t>
      </w:r>
    </w:p>
    <w:p>
      <w:pPr>
        <w:pStyle w:val="ListBullet"/>
        <w:keepLines/>
        <w:spacing w:after="80" w:line="259" w:lineRule="auto"/>
        <w:ind w:left="312" w:hanging="142"/>
      </w:pPr>
      <w:r>
        <w:rPr>
          <w:rFonts w:ascii="DejaVu Sans" w:hAnsi="DejaVu Sans"/>
          <w:sz w:val="20"/>
        </w:rPr>
        <w:t>Acceso a las soluciones contratadas de Creative Quality.</w:t>
      </w:r>
    </w:p>
    <w:p>
      <w:pPr>
        <w:pStyle w:val="ListBullet"/>
        <w:keepLines/>
        <w:spacing w:after="80" w:line="259" w:lineRule="auto"/>
        <w:ind w:left="312" w:hanging="142"/>
      </w:pPr>
      <w:r>
        <w:rPr>
          <w:rFonts w:ascii="DejaVu Sans" w:hAnsi="DejaVu Sans"/>
          <w:sz w:val="20"/>
        </w:rPr>
        <w:t>Información laboral y contractual actualizada de la plantilla.</w:t>
      </w:r>
    </w:p>
    <w:p>
      <w:pPr>
        <w:pStyle w:val="ListBullet"/>
        <w:keepLines/>
        <w:spacing w:after="80" w:line="259" w:lineRule="auto"/>
        <w:ind w:left="312" w:hanging="142"/>
      </w:pPr>
      <w:r>
        <w:rPr>
          <w:rFonts w:ascii="DejaVu Sans" w:hAnsi="DejaVu Sans"/>
          <w:sz w:val="20"/>
        </w:rPr>
        <w:t>Disponibilidad de un entorno seguro para trabajar con datos personales.</w:t>
      </w:r>
    </w:p>
    <w:p>
      <w:pPr>
        <w:pStyle w:val="Heading2"/>
      </w:pPr>
      <w:r>
        <w:t>Condiciones</w:t>
      </w:r>
    </w:p>
    <w:p>
      <w:pPr>
        <w:keepNext w:val="0"/>
        <w:spacing w:before="0" w:after="100"/>
      </w:pPr>
      <w:r>
        <w:rPr>
          <w:rFonts w:ascii="DejaVu Sans" w:hAnsi="DejaVu Sans"/>
          <w:b w:val="0"/>
          <w:i w:val="0"/>
          <w:color w:val="5B6875"/>
          <w:sz w:val="17"/>
        </w:rPr>
        <w:t>La planificación definitiva se acordará después de una revisión inicial de accesos, configuración y documentación. La exención de IVA se aplicará cuando concurran los requisitos del artículo 20.Uno.9.º de la Ley 37/1992. Las actuaciones profesionales realizadas directamente por EXPERT fuera del marco formativo se presupuestarán separadamente.</w:t>
      </w:r>
    </w:p>
    <w:p>
      <w:r>
        <w:br w:type="page"/>
      </w:r>
    </w:p>
    <w:p>
      <w:pPr>
        <w:keepNext w:val="0"/>
        <w:spacing w:before="760" w:after="360"/>
        <w:jc w:val="center"/>
      </w:pPr>
      <w:r>
        <w:rPr>
          <w:rFonts w:ascii="DejaVu Sans" w:hAnsi="DejaVu Sans"/>
          <w:b/>
          <w:i w:val="0"/>
          <w:color w:val="C4931A"/>
          <w:sz w:val="18"/>
        </w:rPr>
        <w:t>EXPERT BUSINESS ACADEMY</w:t>
      </w:r>
    </w:p>
    <w:p>
      <w:pPr>
        <w:spacing w:after="400"/>
        <w:jc w:val="center"/>
      </w:pPr>
      <w:r>
        <w:drawing>
          <wp:inline xmlns:a="http://schemas.openxmlformats.org/drawingml/2006/main" xmlns:pic="http://schemas.openxmlformats.org/drawingml/2006/picture">
            <wp:extent cx="1728000" cy="17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t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80"/>
        <w:jc w:val="center"/>
      </w:pPr>
      <w:r>
        <w:rPr>
          <w:rFonts w:ascii="DejaVu Sans" w:hAnsi="DejaVu Sans"/>
          <w:b/>
          <w:i w:val="0"/>
          <w:color w:val="082A4D"/>
          <w:sz w:val="38"/>
        </w:rPr>
        <w:t>Convertimos la gestión laboral en un proceso claro, documentado y controlable.</w:t>
      </w:r>
    </w:p>
    <w:p>
      <w:pPr>
        <w:keepNext w:val="0"/>
        <w:spacing w:before="0" w:after="600"/>
        <w:jc w:val="center"/>
      </w:pPr>
      <w:r>
        <w:rPr>
          <w:rFonts w:ascii="DejaVu Sans" w:hAnsi="DejaVu Sans"/>
          <w:b w:val="0"/>
          <w:i w:val="0"/>
          <w:color w:val="5B6875"/>
          <w:sz w:val="22"/>
        </w:rPr>
        <w:t>Formación práctica para que la empresa gane autonomía sin perder criterio profesional.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EED8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40"/>
            </w:pPr>
            <w:r>
              <w:rPr>
                <w:rFonts w:ascii="DejaVu Sans" w:hAnsi="DejaVu Sans"/>
                <w:b/>
                <w:color w:val="C4931A"/>
                <w:sz w:val="16"/>
              </w:rPr>
              <w:t>SIGUIENTE PASO</w:t>
            </w:r>
          </w:p>
          <w:p>
            <w:pPr>
              <w:spacing w:after="0" w:line="259" w:lineRule="auto"/>
            </w:pPr>
            <w:r>
              <w:rPr>
                <w:rFonts w:ascii="DejaVu Sans" w:hAnsi="DejaVu Sans"/>
                <w:color w:val="17212B"/>
                <w:sz w:val="20"/>
              </w:rPr>
              <w:t>Revisión inicial de la configuración y definición del calendario de sesiones.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</w:tblGrid>
      <w:tr>
        <w:tc>
          <w:tcPr>
            <w:tcW w:type="dxa" w:w="4989"/>
            <w:shd w:fill="C4931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0"/>
              <w:jc w:val="center"/>
            </w:pPr>
            <w:hyperlink r:id="rId12">
              <w:r>
                <w:rPr>
                  <w:rFonts w:ascii="DejaVu Sans" w:hAnsi="DejaVu Sans"/>
                  <w:color w:val="FFFFFF"/>
                  <w:sz w:val="18"/>
                  <w:b/>
                  <w:u w:val="none"/>
                </w:rPr>
                <w:t>INSCRIBIRME Y REALIZAR EL PAGO SEGURO</w:t>
              </w:r>
            </w:hyperlink>
          </w:p>
        </w:tc>
      </w:tr>
    </w:tbl>
    <w:p>
      <w:pPr>
        <w:spacing w:before="80" w:after="80"/>
        <w:jc w:val="center"/>
      </w:pPr>
      <w:r>
        <w:rPr>
          <w:rFonts w:ascii="DejaVu Sans" w:hAnsi="DejaVu Sans"/>
          <w:color w:val="5B6875"/>
          <w:sz w:val="15"/>
        </w:rPr>
        <w:t>https://buy.stripe.com/6oU00kftqgMs9jU5gJ8EM0i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</w:tblGrid>
      <w:tr>
        <w:tc>
          <w:tcPr>
            <w:tcW w:type="dxa" w:w="5556"/>
            <w:shd w:fill="0E3A6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0"/>
              <w:jc w:val="center"/>
            </w:pPr>
            <w:hyperlink r:id="rId13">
              <w:r>
                <w:rPr>
                  <w:rFonts w:ascii="DejaVu Sans" w:hAnsi="DejaVu Sans"/>
                  <w:color w:val="FFFFFF"/>
                  <w:sz w:val="18"/>
                  <w:b/>
                  <w:u w:val="none"/>
                </w:rPr>
                <w:t>SOLICITAR INFORMACIÓN O RESOLVER DUDAS</w:t>
              </w:r>
            </w:hyperlink>
          </w:p>
        </w:tc>
      </w:tr>
    </w:tbl>
    <w:p>
      <w:pPr>
        <w:spacing w:before="20" w:after="20"/>
        <w:jc w:val="center"/>
      </w:pPr>
      <w:r>
        <w:rPr>
          <w:rFonts w:ascii="DejaVu Sans" w:hAnsi="DejaVu Sans"/>
          <w:color w:val="5B6875"/>
          <w:sz w:val="15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</w:tblGrid>
      <w:tr>
        <w:tc>
          <w:tcPr>
            <w:tcW w:type="dxa" w:w="5556"/>
            <w:shd w:fill="082A4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0"/>
              <w:jc w:val="center"/>
            </w:pPr>
            <w:hyperlink r:id="rId14">
              <w:r>
                <w:rPr>
                  <w:rFonts w:ascii="DejaVu Sans" w:hAnsi="DejaVu Sans"/>
                  <w:color w:val="FFFFFF"/>
                  <w:sz w:val="18"/>
                  <w:b/>
                  <w:u w:val="none"/>
                </w:rPr>
                <w:t>RESERVAR REUNIÓN INFORMATIVA</w:t>
              </w:r>
            </w:hyperlink>
          </w:p>
        </w:tc>
      </w:tr>
    </w:tbl>
    <w:p>
      <w:pPr>
        <w:spacing w:before="20" w:after="60"/>
        <w:jc w:val="center"/>
      </w:pPr>
      <w:r>
        <w:rPr>
          <w:rFonts w:ascii="DejaVu Sans" w:hAnsi="DejaVu Sans"/>
          <w:color w:val="5B6875"/>
          <w:sz w:val="15"/>
        </w:rPr>
      </w:r>
    </w:p>
    <w:p>
      <w:pPr>
        <w:keepNext w:val="0"/>
        <w:spacing w:before="440" w:after="80"/>
        <w:jc w:val="center"/>
      </w:pPr>
      <w:r>
        <w:rPr>
          <w:rFonts w:ascii="DejaVu Sans" w:hAnsi="DejaVu Sans"/>
          <w:b/>
          <w:i w:val="0"/>
          <w:color w:val="082A4D"/>
          <w:sz w:val="26"/>
        </w:rPr>
        <w:t>expertconsulting.es</w:t>
      </w:r>
    </w:p>
    <w:p>
      <w:pPr>
        <w:keepNext w:val="0"/>
        <w:spacing w:before="0" w:after="80"/>
        <w:jc w:val="center"/>
      </w:pPr>
      <w:r>
        <w:rPr>
          <w:rFonts w:ascii="DejaVu Sans" w:hAnsi="DejaVu Sans"/>
          <w:b w:val="0"/>
          <w:i w:val="0"/>
          <w:color w:val="5B6875"/>
          <w:sz w:val="19"/>
        </w:rPr>
        <w:t>+34 669 04 55 28  ·  info@expertconsulting.es</w:t>
      </w:r>
    </w:p>
    <w:p>
      <w:pPr>
        <w:keepNext w:val="0"/>
        <w:spacing w:before="360" w:after="0"/>
        <w:jc w:val="center"/>
      </w:pPr>
      <w:r>
        <w:rPr>
          <w:rFonts w:ascii="DejaVu Sans" w:hAnsi="DejaVu Sans"/>
          <w:b/>
          <w:i w:val="0"/>
          <w:color w:val="C4931A"/>
          <w:sz w:val="17"/>
        </w:rPr>
        <w:t>EXPERIENCIA  ·  CONOCIMIENTO  ·  SOLUCIONES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ejaVu Sans" w:hAnsi="DejaVu Sans"/>
        <w:color w:val="5B6875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DejaVu Sans" w:hAnsi="DejaVu Sans"/>
        <w:b/>
        <w:color w:val="082A4D"/>
        <w:sz w:val="16"/>
      </w:rPr>
      <w:t>EXPERT  |  BUSINESS ACADEMY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DejaVu Sans" w:hAnsi="DejaVu Sans"/>
      <w:color w:val="1721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82A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E3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C493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ompact">
    <w:name w:val="Body Compact"/>
    <w:pPr>
      <w:spacing w:after="60" w:line="259" w:lineRule="auto"/>
    </w:pPr>
    <w:rPr>
      <w:rFonts w:ascii="DejaVu Sans" w:hAnsi="DejaVu Sans"/>
      <w:sz w:val="18"/>
    </w:rPr>
  </w:style>
  <w:style w:type="paragraph" w:customStyle="1" w:styleId="Kicker">
    <w:name w:val="Kicker"/>
    <w:pPr>
      <w:spacing w:after="120"/>
    </w:pPr>
    <w:rPr>
      <w:rFonts w:ascii="DejaVu Sans" w:hAnsi="DejaVu Sans"/>
      <w:b/>
      <w:color w:val="C4931A"/>
      <w:sz w:val="18"/>
    </w:rPr>
  </w:style>
  <w:style w:type="paragraph" w:customStyle="1" w:styleId="ModuleLabel">
    <w:name w:val="Module Label"/>
    <w:pPr>
      <w:spacing w:after="40"/>
    </w:pPr>
    <w:rPr>
      <w:rFonts w:ascii="DejaVu Sans" w:hAnsi="DejaVu Sans"/>
      <w:b/>
      <w:color w:val="C4931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buy.stripe.com/6oU00kftqgMs9jU5gJ8EM0i" TargetMode="External"/><Relationship Id="rId13" Type="http://schemas.openxmlformats.org/officeDocument/2006/relationships/hyperlink" Target="https://expertconsulting.es/contacto" TargetMode="External"/><Relationship Id="rId14" Type="http://schemas.openxmlformats.org/officeDocument/2006/relationships/hyperlink" Target="https://expertconsulting.es/ci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personalizado de Gestión Laboral Integral</dc:title>
  <dc:subject>Programa formativo EXPERT Business Academy</dc:subject>
  <dc:creator>EXPERT ESTUDIOS PROFESIONALES</dc:creator>
  <cp:keywords>gestión laboral, Holded, SILTRA, Sistema RED, formación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