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3"/>
          <w:szCs w:val="23"/>
          <w:u w:val="single"/>
        </w:rPr>
      </w:pPr>
      <w:r w:rsidDel="00000000" w:rsidR="00000000" w:rsidRPr="00000000">
        <w:rPr>
          <w:b w:val="1"/>
          <w:sz w:val="23"/>
          <w:szCs w:val="23"/>
          <w:u w:val="single"/>
          <w:rtl w:val="0"/>
        </w:rPr>
        <w:t xml:space="preserve">Define, monitor and analyze customer workload health KPIs</w:t>
      </w:r>
      <w:r w:rsidDel="00000000" w:rsidR="00000000" w:rsidRPr="00000000">
        <w:rPr>
          <w:sz w:val="23"/>
          <w:szCs w:val="23"/>
          <w:u w:val="single"/>
          <w:rtl w:val="0"/>
        </w:rPr>
        <w:t xml:space="preserve"> </w:t>
      </w:r>
    </w:p>
    <w:p w:rsidR="00000000" w:rsidDel="00000000" w:rsidP="00000000" w:rsidRDefault="00000000" w:rsidRPr="00000000" w14:paraId="00000002">
      <w:pPr>
        <w:jc w:val="left"/>
        <w:rPr>
          <w:sz w:val="23"/>
          <w:szCs w:val="23"/>
          <w:u w:val="single"/>
        </w:rPr>
      </w:pPr>
      <w:r w:rsidDel="00000000" w:rsidR="00000000" w:rsidRPr="00000000">
        <w:rPr>
          <w:rtl w:val="0"/>
        </w:rPr>
      </w:r>
    </w:p>
    <w:p w:rsidR="00000000" w:rsidDel="00000000" w:rsidP="00000000" w:rsidRDefault="00000000" w:rsidRPr="00000000" w14:paraId="00000003">
      <w:pPr>
        <w:jc w:val="left"/>
        <w:rPr>
          <w:sz w:val="23"/>
          <w:szCs w:val="23"/>
        </w:rPr>
      </w:pPr>
      <w:r w:rsidDel="00000000" w:rsidR="00000000" w:rsidRPr="00000000">
        <w:rPr>
          <w:sz w:val="23"/>
          <w:szCs w:val="23"/>
          <w:rtl w:val="0"/>
        </w:rPr>
        <w:t xml:space="preserve">This document provides guidelines and best practices for the observability of the AWS Cloud and application components. This document is customized further after detailed discussion and agreement with customer specific KPI’s</w:t>
      </w:r>
    </w:p>
    <w:p w:rsidR="00000000" w:rsidDel="00000000" w:rsidP="00000000" w:rsidRDefault="00000000" w:rsidRPr="00000000" w14:paraId="00000004">
      <w:pPr>
        <w:jc w:val="left"/>
        <w:rPr>
          <w:sz w:val="23"/>
          <w:szCs w:val="23"/>
        </w:rPr>
      </w:pPr>
      <w:r w:rsidDel="00000000" w:rsidR="00000000" w:rsidRPr="00000000">
        <w:rPr>
          <w:rtl w:val="0"/>
        </w:rPr>
      </w:r>
    </w:p>
    <w:p w:rsidR="00000000" w:rsidDel="00000000" w:rsidP="00000000" w:rsidRDefault="00000000" w:rsidRPr="00000000" w14:paraId="00000005">
      <w:pPr>
        <w:jc w:val="left"/>
        <w:rPr>
          <w:b w:val="1"/>
          <w:sz w:val="23"/>
          <w:szCs w:val="23"/>
        </w:rPr>
      </w:pPr>
      <w:r w:rsidDel="00000000" w:rsidR="00000000" w:rsidRPr="00000000">
        <w:rPr>
          <w:b w:val="1"/>
          <w:sz w:val="23"/>
          <w:szCs w:val="23"/>
          <w:rtl w:val="0"/>
        </w:rPr>
        <w:t xml:space="preserve">Standard Workload Meterices</w:t>
      </w:r>
    </w:p>
    <w:p w:rsidR="00000000" w:rsidDel="00000000" w:rsidP="00000000" w:rsidRDefault="00000000" w:rsidRPr="00000000" w14:paraId="00000006">
      <w:pPr>
        <w:jc w:val="left"/>
        <w:rPr>
          <w:sz w:val="23"/>
          <w:szCs w:val="23"/>
          <w:u w:val="singl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6.060606060606"/>
        <w:gridCol w:w="3475.670995670996"/>
        <w:gridCol w:w="3678.2683982683984"/>
        <w:tblGridChange w:id="0">
          <w:tblGrid>
            <w:gridCol w:w="2206.060606060606"/>
            <w:gridCol w:w="3475.670995670996"/>
            <w:gridCol w:w="3678.268398268398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07">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Metric</w:t>
            </w:r>
          </w:p>
        </w:tc>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08">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Description</w:t>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09">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AWS Service / 3rd Party Tool</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0A">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CPU Utilization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Measures the percentage of CPU resources used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0D">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Memory Utilization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Tracks the percentage of memory resources used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0">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Network Throughput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Monitors the amount of network traffic in and out of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3">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Disk I/O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Measures the read and write operations performed on the disk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6">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Latency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Tracks the response time of the workload requests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9">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Error Rate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Captures the percentage of errors encountered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C">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Request Count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Measures the number of requests processed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F">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Database Connection Pool Usage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Tracks the usage of database connections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RDS Performance Insights, CloudWatch, Prometheus, Grafana, ELK Stack</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22">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HTTP Status Codes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Captures the distribution of HTTP status codes returned by the workload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r>
    </w:tbl>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Exporting Standard Application Logs: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995670995671"/>
        <w:gridCol w:w="4718.268398268398"/>
        <w:gridCol w:w="2570.735930735931"/>
        <w:tblGridChange w:id="0">
          <w:tblGrid>
            <w:gridCol w:w="2070.995670995671"/>
            <w:gridCol w:w="4718.268398268398"/>
            <w:gridCol w:w="2570.735930735931"/>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26">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Log Export Method</w:t>
            </w:r>
          </w:p>
        </w:tc>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27">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Description</w:t>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28">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AWS Service / 3rd Party Tool</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29">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CloudWatch Logs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Collects and stores logs generated by the application in AWS CloudWatch Logs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Logs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2C">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CloudWatch Agent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Enables the collection of application logs and sending them to CloudWatch Logs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Logs Agent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2F">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AWS SDKs and APIs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Utilizes AWS SDKs and APIs to programmatically send logs to CloudWatch Logs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SDKs, AWS CLI</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32">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Third-Party Log Management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Utilizes third-party log management tools like Elasticsearch, Logstash, and Kibana (ELK Stack) to collect and analyze logs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4">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ELK Stack (Elasticsearch, Logstash, Kibana)</w:t>
            </w:r>
          </w:p>
        </w:tc>
      </w:tr>
    </w:tbl>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Defining Thresholds for Operational Metrics: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5387523629488"/>
        <w:gridCol w:w="3255.652173913044"/>
        <w:gridCol w:w="2260.3780718336484"/>
        <w:gridCol w:w="1968.431001890359"/>
        <w:tblGridChange w:id="0">
          <w:tblGrid>
            <w:gridCol w:w="1875.5387523629488"/>
            <w:gridCol w:w="3255.652173913044"/>
            <w:gridCol w:w="2260.3780718336484"/>
            <w:gridCol w:w="1968.431001890359"/>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36">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Metric</w:t>
            </w:r>
          </w:p>
        </w:tc>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37">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Description</w:t>
            </w:r>
          </w:p>
        </w:tc>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38">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Tool</w:t>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39">
            <w:pPr>
              <w:spacing w:after="380" w:before="380" w:line="411.42960000000005" w:lineRule="auto"/>
              <w:jc w:val="center"/>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Threshold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CPU Utilization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High CPU utilization can indicate resource contention or inefficient code execution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&gt;80% for an extended period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Memory Utilization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High memory utilization can lead to performance issues and potential out-of-memory errors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&gt;80% for an extended period</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Network Throughput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Sudden drops in network throughput may indicate connectivity issues or network congestion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Below expected baseline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Disk I/O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High disk I/O can indicate performance bottlenecks or disk saturation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Above expected baseline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Latency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High latency can impact user experience and indicate issues with network, compute, or database performance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Above acceptable range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Error Rate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An increasing error rate may indicate application issues or integration failures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Above acceptable range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Request Count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Significant deviations in request count may indicate spikes or drops in workload traffic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Above expected baseline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56">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Database Connection Pool Usage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Monitoring database connection pool usage helps identify connection leaks or inefficient resource utilization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RDS Performance Insights, Grafana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Above expected baseline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5A">
            <w:pPr>
              <w:spacing w:after="380" w:before="380" w:line="411.42960000000005" w:lineRule="auto"/>
              <w:rPr>
                <w:rFonts w:ascii="Roboto" w:cs="Roboto" w:eastAsia="Roboto" w:hAnsi="Roboto"/>
                <w:b w:val="1"/>
                <w:sz w:val="19"/>
                <w:szCs w:val="19"/>
                <w:u w:val="single"/>
              </w:rPr>
            </w:pPr>
            <w:r w:rsidDel="00000000" w:rsidR="00000000" w:rsidRPr="00000000">
              <w:rPr>
                <w:rFonts w:ascii="Roboto" w:cs="Roboto" w:eastAsia="Roboto" w:hAnsi="Roboto"/>
                <w:b w:val="1"/>
                <w:sz w:val="19"/>
                <w:szCs w:val="19"/>
                <w:u w:val="single"/>
                <w:rtl w:val="0"/>
              </w:rPr>
              <w:t xml:space="preserve">HTTP Status Codes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Tracking HTTP status codes helps identify errors or issues with the workload's API or web application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AWS CloudWatch, Prometheus, Grafana, ELK Stack</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D">
            <w:pPr>
              <w:spacing w:after="380" w:before="380" w:line="411.42960000000005" w:lineRule="auto"/>
              <w:rPr>
                <w:rFonts w:ascii="Roboto" w:cs="Roboto" w:eastAsia="Roboto" w:hAnsi="Roboto"/>
                <w:color w:val="374151"/>
                <w:sz w:val="19"/>
                <w:szCs w:val="19"/>
                <w:u w:val="single"/>
              </w:rPr>
            </w:pPr>
            <w:r w:rsidDel="00000000" w:rsidR="00000000" w:rsidRPr="00000000">
              <w:rPr>
                <w:rFonts w:ascii="Roboto" w:cs="Roboto" w:eastAsia="Roboto" w:hAnsi="Roboto"/>
                <w:color w:val="374151"/>
                <w:sz w:val="19"/>
                <w:szCs w:val="19"/>
                <w:u w:val="single"/>
                <w:rtl w:val="0"/>
              </w:rPr>
              <w:t xml:space="preserve">Threshold: Non-200 status codes</w:t>
            </w:r>
          </w:p>
        </w:tc>
      </w:tr>
    </w:tbl>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Thresholds may vary based on workload characteristics and business requirements. It's recommended to monitor and establish threshold values based on workload-specific benchmarks and historical patterns.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refer to the following resources for additional information and configuration details:</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600" w:lineRule="auto"/>
        <w:ind w:left="720" w:hanging="360"/>
      </w:pPr>
      <w:hyperlink r:id="rId6">
        <w:r w:rsidDel="00000000" w:rsidR="00000000" w:rsidRPr="00000000">
          <w:rPr>
            <w:rFonts w:ascii="Roboto" w:cs="Roboto" w:eastAsia="Roboto" w:hAnsi="Roboto"/>
            <w:color w:val="1155cc"/>
            <w:sz w:val="24"/>
            <w:szCs w:val="24"/>
            <w:u w:val="single"/>
            <w:rtl w:val="0"/>
          </w:rPr>
          <w:t xml:space="preserve">AWS CloudWatch</w:t>
        </w:r>
      </w:hyperlink>
      <w:r w:rsidDel="00000000" w:rsidR="00000000" w:rsidRPr="00000000">
        <w:rPr>
          <w:rtl w:val="0"/>
        </w:rPr>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Prometheus</w:t>
        </w:r>
      </w:hyperlink>
      <w:r w:rsidDel="00000000" w:rsidR="00000000" w:rsidRPr="00000000">
        <w:rPr>
          <w:rtl w:val="0"/>
        </w:rPr>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8">
        <w:r w:rsidDel="00000000" w:rsidR="00000000" w:rsidRPr="00000000">
          <w:rPr>
            <w:rFonts w:ascii="Roboto" w:cs="Roboto" w:eastAsia="Roboto" w:hAnsi="Roboto"/>
            <w:color w:val="1155cc"/>
            <w:sz w:val="24"/>
            <w:szCs w:val="24"/>
            <w:u w:val="single"/>
            <w:rtl w:val="0"/>
          </w:rPr>
          <w:t xml:space="preserve">Grafana</w:t>
        </w:r>
      </w:hyperlink>
      <w:r w:rsidDel="00000000" w:rsidR="00000000" w:rsidRPr="00000000">
        <w:rPr>
          <w:rtl w:val="0"/>
        </w:rPr>
      </w:r>
    </w:p>
    <w:p w:rsidR="00000000" w:rsidDel="00000000" w:rsidP="00000000" w:rsidRDefault="00000000" w:rsidRPr="00000000" w14:paraId="0000006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9">
        <w:r w:rsidDel="00000000" w:rsidR="00000000" w:rsidRPr="00000000">
          <w:rPr>
            <w:rFonts w:ascii="Roboto" w:cs="Roboto" w:eastAsia="Roboto" w:hAnsi="Roboto"/>
            <w:color w:val="1155cc"/>
            <w:sz w:val="24"/>
            <w:szCs w:val="24"/>
            <w:u w:val="single"/>
            <w:rtl w:val="0"/>
          </w:rPr>
          <w:t xml:space="preserve">Elasticsearch</w:t>
        </w:r>
      </w:hyperlink>
      <w:r w:rsidDel="00000000" w:rsidR="00000000" w:rsidRPr="00000000">
        <w:rPr>
          <w:rtl w:val="0"/>
        </w:rPr>
      </w:r>
    </w:p>
    <w:p w:rsidR="00000000" w:rsidDel="00000000" w:rsidP="00000000" w:rsidRDefault="00000000" w:rsidRPr="00000000" w14:paraId="0000006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10">
        <w:r w:rsidDel="00000000" w:rsidR="00000000" w:rsidRPr="00000000">
          <w:rPr>
            <w:rFonts w:ascii="Roboto" w:cs="Roboto" w:eastAsia="Roboto" w:hAnsi="Roboto"/>
            <w:color w:val="1155cc"/>
            <w:sz w:val="24"/>
            <w:szCs w:val="24"/>
            <w:u w:val="single"/>
            <w:rtl w:val="0"/>
          </w:rPr>
          <w:t xml:space="preserve">Logstash</w:t>
        </w:r>
      </w:hyperlink>
      <w:r w:rsidDel="00000000" w:rsidR="00000000" w:rsidRPr="00000000">
        <w:rPr>
          <w:rtl w:val="0"/>
        </w:rPr>
      </w:r>
    </w:p>
    <w:p w:rsidR="00000000" w:rsidDel="00000000" w:rsidP="00000000" w:rsidRDefault="00000000" w:rsidRPr="00000000" w14:paraId="0000006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hyperlink r:id="rId11">
        <w:r w:rsidDel="00000000" w:rsidR="00000000" w:rsidRPr="00000000">
          <w:rPr>
            <w:rFonts w:ascii="Roboto" w:cs="Roboto" w:eastAsia="Roboto" w:hAnsi="Roboto"/>
            <w:color w:val="1155cc"/>
            <w:sz w:val="24"/>
            <w:szCs w:val="24"/>
            <w:u w:val="single"/>
            <w:rtl w:val="0"/>
          </w:rPr>
          <w:t xml:space="preserve">Kibana</w:t>
        </w:r>
      </w:hyperlink>
      <w:r w:rsidDel="00000000" w:rsidR="00000000" w:rsidRPr="00000000">
        <w:rPr>
          <w:rtl w:val="0"/>
        </w:rPr>
      </w:r>
    </w:p>
    <w:p w:rsidR="00000000" w:rsidDel="00000000" w:rsidP="00000000" w:rsidRDefault="00000000" w:rsidRPr="00000000" w14:paraId="00000066">
      <w:pPr>
        <w:jc w:val="left"/>
        <w:rPr>
          <w:sz w:val="23"/>
          <w:szCs w:val="23"/>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astic.co/kibana/" TargetMode="External"/><Relationship Id="rId10" Type="http://schemas.openxmlformats.org/officeDocument/2006/relationships/hyperlink" Target="https://www.elastic.co/logstash/" TargetMode="External"/><Relationship Id="rId9" Type="http://schemas.openxmlformats.org/officeDocument/2006/relationships/hyperlink" Target="https://www.elastic.co/elasticsearch/" TargetMode="External"/><Relationship Id="rId5" Type="http://schemas.openxmlformats.org/officeDocument/2006/relationships/styles" Target="styles.xml"/><Relationship Id="rId6" Type="http://schemas.openxmlformats.org/officeDocument/2006/relationships/hyperlink" Target="https://aws.amazon.com/cloudwatch/" TargetMode="External"/><Relationship Id="rId7" Type="http://schemas.openxmlformats.org/officeDocument/2006/relationships/hyperlink" Target="https://prometheus.io/" TargetMode="External"/><Relationship Id="rId8" Type="http://schemas.openxmlformats.org/officeDocument/2006/relationships/hyperlink" Target="https://grafa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