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center"/>
        <w:rPr>
          <w:rFonts w:ascii="Roboto" w:cs="Roboto" w:eastAsia="Roboto" w:hAnsi="Roboto"/>
          <w:b w:val="1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rtl w:val="0"/>
        </w:rPr>
        <w:t xml:space="preserve">Example Process for AWS RDS resilience with specific RTO &amp; RPO targets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provides a step-by-step process for achieving AWS RDS resilience with a Recovery Point Objective (RPO) of 15 minutes and a Recovery Time Objective (RTO) of 4 hours for a 500 GB database. It outlines the recommended industry best practices to ensure high availability, data durability, and timely recovery in case of failures. The process includes setting up Multi-AZ deployment, automated backups, and utilizing additional AWS services for disaster recovery.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Reference to the Industry Best Practices: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60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AWS RDS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60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Architecting for High Availability with Amazon 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Step-by-Step Process: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9.95670995671"/>
        <w:gridCol w:w="5501.645021645022"/>
        <w:gridCol w:w="2908.3982683982686"/>
        <w:tblGridChange w:id="0">
          <w:tblGrid>
            <w:gridCol w:w="949.95670995671"/>
            <w:gridCol w:w="5501.645021645022"/>
            <w:gridCol w:w="2908.398268398268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AWS Documentation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Determine the appropriate AWS region for the RDS database deployment.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AWS Global Infrastructure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Choose the suitable RDS database engine (e.g., MySQL, PostgreSQL, etc.) and instance size based on workload needs.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Configure Multi-AZ deployment to provide automatic failover to a standby replica in a different Availability Zone.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Multi-AZ Deployments for Amazon RDS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Enable automated backups with a retention period of at least 15 days.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Automated Backups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Define a backup window that accommodates the backup duration and database activity patterns.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Backup Window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Regularly monitor RDS database metrics, including storage, CPU utilization, and replication status.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Monitoring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Implement CloudWatch alarms to trigger notifications for critical events or performance thresholds.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Monitoring with CloudWatch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Enable Enhanced Monitoring for detailed insight into database performance using OS-level metrics.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Enhanced Monitoring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Implement additional RDS features, such as Read Replicas, to offload read traffic and improve performance.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Read Replicas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Test the recovery process by performing regular database snapshots restoration and verifying data integrity.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Restoring a DB 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Establish a disaster recovery plan by creating a standby database in a separate AWS region.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Disaster Recovery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Regularly review and update the RDS resilience strategy based on changing business requirements or workload.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color w:val="374151"/>
                  <w:sz w:val="19"/>
                  <w:szCs w:val="19"/>
                  <w:rtl w:val="0"/>
                </w:rPr>
                <w:t xml:space="preserve"> </w:t>
              </w:r>
            </w:hyperlink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19"/>
                  <w:szCs w:val="19"/>
                  <w:u w:val="single"/>
                  <w:rtl w:val="0"/>
                </w:rPr>
                <w:t xml:space="preserve">Amazon RDS Best Practices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AmazonRDS/latest/UserGuide/USER_Monitoring.OS.html#USER_Monitoring.OS.CloudWatch" TargetMode="External"/><Relationship Id="rId22" Type="http://schemas.openxmlformats.org/officeDocument/2006/relationships/hyperlink" Target="https://docs.aws.amazon.com/AmazonRDS/latest/UserGuide/USER_Monitoring.OS.html#USER_Monitoring.OS.Enhanced" TargetMode="External"/><Relationship Id="rId21" Type="http://schemas.openxmlformats.org/officeDocument/2006/relationships/hyperlink" Target="https://docs.aws.amazon.com/AmazonRDS/latest/UserGuide/USER_Monitoring.OS.html#USER_Monitoring.OS.CloudWatch" TargetMode="External"/><Relationship Id="rId24" Type="http://schemas.openxmlformats.org/officeDocument/2006/relationships/hyperlink" Target="https://docs.aws.amazon.com/AmazonRDS/latest/UserGuide/USER_ReadRepl.html" TargetMode="External"/><Relationship Id="rId23" Type="http://schemas.openxmlformats.org/officeDocument/2006/relationships/hyperlink" Target="https://docs.aws.amazon.com/AmazonRDS/latest/UserGuide/USER_Monitoring.OS.html#USER_Monitoring.OS.Enhanc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about-aws/global-infrastructure/" TargetMode="External"/><Relationship Id="rId26" Type="http://schemas.openxmlformats.org/officeDocument/2006/relationships/hyperlink" Target="https://docs.aws.amazon.com/AmazonRDS/latest/UserGuide/USER_RestoreFromSnapshot.html" TargetMode="External"/><Relationship Id="rId25" Type="http://schemas.openxmlformats.org/officeDocument/2006/relationships/hyperlink" Target="https://docs.aws.amazon.com/AmazonRDS/latest/UserGuide/USER_ReadRepl.html" TargetMode="External"/><Relationship Id="rId28" Type="http://schemas.openxmlformats.org/officeDocument/2006/relationships/hyperlink" Target="https://aws.amazon.com/rds/disaster-recovery/" TargetMode="External"/><Relationship Id="rId27" Type="http://schemas.openxmlformats.org/officeDocument/2006/relationships/hyperlink" Target="https://docs.aws.amazon.com/AmazonRDS/latest/UserGuide/USER_RestoreFromSnapsho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mazonRDS/latest/UserGuide/CHAP_BestPractices.html" TargetMode="External"/><Relationship Id="rId29" Type="http://schemas.openxmlformats.org/officeDocument/2006/relationships/hyperlink" Target="https://aws.amazon.com/rds/disaster-recovery/" TargetMode="External"/><Relationship Id="rId7" Type="http://schemas.openxmlformats.org/officeDocument/2006/relationships/hyperlink" Target="https://aws.amazon.com/blogs/database/architecting-for-high-availability-with-amazon-rds/" TargetMode="External"/><Relationship Id="rId8" Type="http://schemas.openxmlformats.org/officeDocument/2006/relationships/hyperlink" Target="https://aws.amazon.com/about-aws/global-infrastructure/" TargetMode="External"/><Relationship Id="rId31" Type="http://schemas.openxmlformats.org/officeDocument/2006/relationships/hyperlink" Target="https://docs.aws.amazon.com/AmazonRDS/latest/UserGuide/CHAP_BestPractices.html" TargetMode="External"/><Relationship Id="rId30" Type="http://schemas.openxmlformats.org/officeDocument/2006/relationships/hyperlink" Target="https://docs.aws.amazon.com/AmazonRDS/latest/UserGuide/CHAP_BestPractices.html" TargetMode="External"/><Relationship Id="rId11" Type="http://schemas.openxmlformats.org/officeDocument/2006/relationships/hyperlink" Target="https://docs.aws.amazon.com/AmazonRDS/latest/UserGuide/Concepts.DBInstanceClass.html" TargetMode="External"/><Relationship Id="rId10" Type="http://schemas.openxmlformats.org/officeDocument/2006/relationships/hyperlink" Target="https://docs.aws.amazon.com/AmazonRDS/latest/UserGuide/Concepts.DBInstanceClass.html" TargetMode="External"/><Relationship Id="rId13" Type="http://schemas.openxmlformats.org/officeDocument/2006/relationships/hyperlink" Target="https://docs.aws.amazon.com/AmazonRDS/latest/UserGuide/Concepts.MultiAZ.html" TargetMode="External"/><Relationship Id="rId12" Type="http://schemas.openxmlformats.org/officeDocument/2006/relationships/hyperlink" Target="https://docs.aws.amazon.com/AmazonRDS/latest/UserGuide/Concepts.MultiAZ.html" TargetMode="External"/><Relationship Id="rId15" Type="http://schemas.openxmlformats.org/officeDocument/2006/relationships/hyperlink" Target="https://docs.aws.amazon.com/AmazonRDS/latest/UserGuide/USER_WorkingWithAutomatedBackups.html" TargetMode="External"/><Relationship Id="rId14" Type="http://schemas.openxmlformats.org/officeDocument/2006/relationships/hyperlink" Target="https://docs.aws.amazon.com/AmazonRDS/latest/UserGuide/USER_WorkingWithAutomatedBackups.html" TargetMode="External"/><Relationship Id="rId17" Type="http://schemas.openxmlformats.org/officeDocument/2006/relationships/hyperlink" Target="https://docs.aws.amazon.com/AmazonRDS/latest/UserGuide/USER_Using.BackupWindow.html" TargetMode="External"/><Relationship Id="rId16" Type="http://schemas.openxmlformats.org/officeDocument/2006/relationships/hyperlink" Target="https://docs.aws.amazon.com/AmazonRDS/latest/UserGuide/USER_Using.BackupWindow.html" TargetMode="External"/><Relationship Id="rId19" Type="http://schemas.openxmlformats.org/officeDocument/2006/relationships/hyperlink" Target="https://docs.aws.amazon.com/AmazonRDS/latest/UserGuide/USER_Monitoring.html" TargetMode="External"/><Relationship Id="rId18" Type="http://schemas.openxmlformats.org/officeDocument/2006/relationships/hyperlink" Target="https://docs.aws.amazon.com/AmazonRDS/latest/UserGuide/USER_Monitoring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