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pBdr/>
        <w:spacing w:lineRule="auto" w:line="384" w:before="280" w:after="80"/>
        <w:jc w:val="center"/>
        <w:rPr>
          <w:rFonts w:ascii="Roboto" w:hAnsi="Roboto" w:eastAsia="Roboto" w:cs="Roboto"/>
          <w:b/>
          <w:b/>
          <w:color w:val="FF0000"/>
          <w:sz w:val="33"/>
          <w:szCs w:val="33"/>
        </w:rPr>
      </w:pPr>
      <w:bookmarkStart w:id="0" w:name="_6mkvz9r8n6ko"/>
      <w:bookmarkEnd w:id="0"/>
      <w:r>
        <w:rPr>
          <w:rFonts w:eastAsia="Roboto" w:cs="Roboto" w:ascii="Roboto" w:hAnsi="Roboto"/>
          <w:b/>
          <w:color w:val="000000"/>
          <w:sz w:val="33"/>
          <w:szCs w:val="33"/>
        </w:rPr>
        <w:t xml:space="preserve"> </w:t>
      </w:r>
      <w:r>
        <w:rPr>
          <w:rFonts w:eastAsia="Roboto" w:cs="Roboto" w:ascii="Roboto" w:hAnsi="Roboto"/>
          <w:b/>
          <w:color w:val="FF0000"/>
          <w:sz w:val="33"/>
          <w:szCs w:val="33"/>
        </w:rPr>
        <w:t>AWS VPC IP Exhaustion Mitigation SOP</w:t>
      </w:r>
    </w:p>
    <w:p>
      <w:pPr>
        <w:pStyle w:val="Heading5"/>
        <w:keepNext w:val="false"/>
        <w:keepLines w:val="false"/>
        <w:pBdr/>
        <w:spacing w:lineRule="auto" w:line="360" w:before="240" w:after="40"/>
        <w:rPr>
          <w:color w:val="FF9900"/>
          <w:sz w:val="28"/>
          <w:szCs w:val="28"/>
        </w:rPr>
      </w:pPr>
      <w:bookmarkStart w:id="1" w:name="_6i6zsjyujyzq"/>
      <w:bookmarkEnd w:id="1"/>
      <w:r>
        <w:rPr>
          <w:color w:val="FF9900"/>
          <w:sz w:val="28"/>
          <w:szCs w:val="28"/>
        </w:rPr>
        <w:t>Objective:</w:t>
      </w:r>
    </w:p>
    <w:p>
      <w:pPr>
        <w:pStyle w:val="Heading5"/>
        <w:pBdr/>
        <w:spacing w:lineRule="auto" w:line="240" w:before="240" w:after="300"/>
        <w:rPr>
          <w:color w:val="000000"/>
          <w:sz w:val="26"/>
          <w:szCs w:val="26"/>
        </w:rPr>
      </w:pPr>
      <w:bookmarkStart w:id="2" w:name="_j3dcb58xdouq"/>
      <w:bookmarkEnd w:id="2"/>
      <w:r>
        <w:rPr>
          <w:color w:val="000000"/>
          <w:sz w:val="26"/>
          <w:szCs w:val="26"/>
        </w:rPr>
        <w:t>To systematically address IP exhaustion within an AWS VPC by analyzing, optimizing, and potentially restructuring the IP address space to ensure scalability and availability.</w:t>
      </w:r>
    </w:p>
    <w:p>
      <w:pPr>
        <w:pStyle w:val="Heading5"/>
        <w:keepNext w:val="false"/>
        <w:keepLines w:val="false"/>
        <w:pBdr/>
        <w:spacing w:lineRule="auto" w:line="360" w:before="240" w:after="40"/>
        <w:rPr>
          <w:b/>
          <w:b/>
          <w:color w:val="FF9900"/>
          <w:sz w:val="28"/>
          <w:szCs w:val="28"/>
        </w:rPr>
      </w:pPr>
      <w:bookmarkStart w:id="3" w:name="_lpetkvn7fz26"/>
      <w:bookmarkEnd w:id="3"/>
      <w:r>
        <w:rPr>
          <w:b/>
          <w:color w:val="FF9900"/>
          <w:sz w:val="28"/>
          <w:szCs w:val="28"/>
        </w:rPr>
        <w:t>Pre-requisites:</w:t>
      </w:r>
    </w:p>
    <w:p>
      <w:pPr>
        <w:pStyle w:val="Heading5"/>
        <w:pBdr/>
        <w:spacing w:lineRule="auto" w:line="240" w:before="240" w:after="300"/>
        <w:rPr>
          <w:color w:val="000000"/>
          <w:sz w:val="26"/>
          <w:szCs w:val="26"/>
        </w:rPr>
      </w:pPr>
      <w:bookmarkStart w:id="4" w:name="_9akjy5ae3b3q"/>
      <w:bookmarkEnd w:id="4"/>
      <w:r>
        <w:rPr>
          <w:color w:val="000000"/>
          <w:sz w:val="26"/>
          <w:szCs w:val="26"/>
        </w:rPr>
        <w:t>AWS account credentials with the necessary permissions for VPC management.</w:t>
      </w:r>
    </w:p>
    <w:p>
      <w:pPr>
        <w:pStyle w:val="Heading5"/>
        <w:pBdr/>
        <w:spacing w:lineRule="auto" w:line="240" w:before="240" w:after="300"/>
        <w:rPr>
          <w:color w:val="000000"/>
          <w:sz w:val="26"/>
          <w:szCs w:val="26"/>
        </w:rPr>
      </w:pPr>
      <w:bookmarkStart w:id="5" w:name="_wd9lefotes41"/>
      <w:bookmarkEnd w:id="5"/>
      <w:r>
        <w:rPr>
          <w:color w:val="000000"/>
          <w:sz w:val="26"/>
          <w:szCs w:val="26"/>
        </w:rPr>
        <w:t>Access to the AWS Management Console or AWS CLI.</w:t>
      </w:r>
    </w:p>
    <w:p>
      <w:pPr>
        <w:pStyle w:val="Heading5"/>
        <w:pBdr/>
        <w:spacing w:lineRule="auto" w:line="240" w:before="240" w:after="300"/>
        <w:rPr>
          <w:color w:val="000000"/>
          <w:sz w:val="26"/>
          <w:szCs w:val="26"/>
        </w:rPr>
      </w:pPr>
      <w:bookmarkStart w:id="6" w:name="_o02b9cgipuax"/>
      <w:bookmarkEnd w:id="6"/>
      <w:r>
        <w:rPr>
          <w:color w:val="000000"/>
          <w:sz w:val="26"/>
          <w:szCs w:val="26"/>
        </w:rPr>
        <w:t>Collaboration with application owners and stakeholders.</w:t>
      </w:r>
    </w:p>
    <w:p>
      <w:pPr>
        <w:pStyle w:val="Heading5"/>
        <w:keepNext w:val="false"/>
        <w:keepLines w:val="false"/>
        <w:pBdr/>
        <w:spacing w:lineRule="auto" w:line="360" w:before="240" w:after="40"/>
        <w:rPr>
          <w:b/>
          <w:b/>
          <w:color w:val="FF9900"/>
          <w:sz w:val="28"/>
          <w:szCs w:val="28"/>
        </w:rPr>
      </w:pPr>
      <w:bookmarkStart w:id="7" w:name="_ymerdxoxbtq0"/>
      <w:bookmarkEnd w:id="7"/>
      <w:r>
        <w:rPr>
          <w:b/>
          <w:color w:val="FF9900"/>
          <w:sz w:val="28"/>
          <w:szCs w:val="28"/>
        </w:rPr>
        <w:t>Steps: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8" w:name="_jb1hbrfnssb"/>
      <w:bookmarkEnd w:id="8"/>
      <w:r>
        <w:rPr>
          <w:rFonts w:eastAsia="Roboto" w:cs="Roboto" w:ascii="Roboto" w:hAnsi="Roboto"/>
          <w:b/>
          <w:color w:val="FF9900"/>
          <w:sz w:val="28"/>
          <w:szCs w:val="28"/>
        </w:rPr>
        <w:t>Step 1: Current IP Address Usage Assessment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9" w:name="_xdywd87yh56k"/>
      <w:bookmarkEnd w:id="9"/>
      <w:r>
        <w:rPr>
          <w:color w:val="000000"/>
          <w:sz w:val="26"/>
          <w:szCs w:val="26"/>
        </w:rPr>
        <w:t>1.1. Access the AWS Management Console or use the AWS CLI to navigate to the VPC Dashboard.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10" w:name="_i8pwl8jmvenn"/>
      <w:bookmarkEnd w:id="10"/>
      <w:r>
        <w:rPr>
          <w:color w:val="000000"/>
          <w:sz w:val="26"/>
          <w:szCs w:val="26"/>
        </w:rPr>
        <w:t>1.2. Review the current IP address usage within the VPC:</w:t>
      </w:r>
    </w:p>
    <w:p>
      <w:pPr>
        <w:pStyle w:val="Heading5"/>
        <w:numPr>
          <w:ilvl w:val="0"/>
          <w:numId w:val="5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11" w:name="_p05qksijsjg9"/>
      <w:bookmarkEnd w:id="11"/>
      <w:r>
        <w:rPr>
          <w:color w:val="000000"/>
          <w:sz w:val="26"/>
          <w:szCs w:val="26"/>
        </w:rPr>
        <w:t>Identify the VPC CIDR block.</w:t>
      </w:r>
    </w:p>
    <w:p>
      <w:pPr>
        <w:pStyle w:val="Heading5"/>
        <w:numPr>
          <w:ilvl w:val="0"/>
          <w:numId w:val="5"/>
        </w:numPr>
        <w:pBdr/>
        <w:spacing w:lineRule="auto" w:line="240" w:beforeAutospacing="0" w:before="0" w:afterAutospacing="0" w:after="0"/>
        <w:ind w:left="720" w:hanging="360"/>
        <w:rPr>
          <w:color w:val="000000"/>
          <w:sz w:val="28"/>
          <w:szCs w:val="28"/>
        </w:rPr>
      </w:pPr>
      <w:bookmarkStart w:id="12" w:name="_j5do7hfsp2ns"/>
      <w:bookmarkEnd w:id="12"/>
      <w:r>
        <w:rPr>
          <w:color w:val="000000"/>
          <w:sz w:val="26"/>
          <w:szCs w:val="26"/>
        </w:rPr>
        <w:t>List all subnets along with their CIDR blocks.</w:t>
      </w:r>
    </w:p>
    <w:p>
      <w:pPr>
        <w:pStyle w:val="Heading5"/>
        <w:numPr>
          <w:ilvl w:val="0"/>
          <w:numId w:val="5"/>
        </w:numPr>
        <w:pBdr/>
        <w:spacing w:lineRule="auto" w:line="240" w:beforeAutospacing="0" w:before="0" w:afterAutospacing="0" w:after="0"/>
        <w:ind w:left="720" w:hanging="360"/>
        <w:rPr>
          <w:color w:val="000000"/>
          <w:sz w:val="28"/>
          <w:szCs w:val="28"/>
        </w:rPr>
      </w:pPr>
      <w:bookmarkStart w:id="13" w:name="_aq75c0oluvyd"/>
      <w:bookmarkEnd w:id="13"/>
      <w:r>
        <w:rPr>
          <w:color w:val="000000"/>
          <w:sz w:val="26"/>
          <w:szCs w:val="26"/>
        </w:rPr>
        <w:t>Examine the utilization of Elastic IPs (EIPs).</w:t>
      </w:r>
    </w:p>
    <w:p>
      <w:pPr>
        <w:pStyle w:val="Heading5"/>
        <w:numPr>
          <w:ilvl w:val="0"/>
          <w:numId w:val="5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14" w:name="_ivh9mq212g3i"/>
      <w:bookmarkEnd w:id="14"/>
      <w:r>
        <w:rPr>
          <w:color w:val="000000"/>
          <w:sz w:val="26"/>
          <w:szCs w:val="26"/>
        </w:rPr>
        <w:t>Identify any existing VPC peering connections.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15" w:name="_15723veb1a0y"/>
      <w:bookmarkStart w:id="16" w:name="_15723veb1a0y"/>
      <w:bookmarkEnd w:id="16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17" w:name="_8g4945qtusrd"/>
      <w:bookmarkStart w:id="18" w:name="_8g4945qtusrd"/>
      <w:bookmarkEnd w:id="18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19" w:name="_5gv6b0rx93sm"/>
      <w:bookmarkStart w:id="20" w:name="_5gv6b0rx93sm"/>
      <w:bookmarkEnd w:id="20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21" w:name="_6uv4ixx7o4b0"/>
      <w:bookmarkStart w:id="22" w:name="_6uv4ixx7o4b0"/>
      <w:bookmarkEnd w:id="22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23" w:name="_27jijr4jds3b"/>
      <w:bookmarkStart w:id="24" w:name="_27jijr4jds3b"/>
      <w:bookmarkEnd w:id="24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25" w:name="_806zq86hwnb9"/>
      <w:bookmarkStart w:id="26" w:name="_806zq86hwnb9"/>
      <w:bookmarkEnd w:id="26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27" w:name="_wejg1f3e5kk8"/>
      <w:bookmarkEnd w:id="27"/>
      <w:r>
        <w:rPr>
          <w:rFonts w:eastAsia="Roboto" w:cs="Roboto" w:ascii="Roboto" w:hAnsi="Roboto"/>
          <w:b/>
          <w:color w:val="FF9900"/>
          <w:sz w:val="28"/>
          <w:szCs w:val="28"/>
        </w:rPr>
        <w:t>Step 2: Future Resource Requirements Analysis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28" w:name="_c1fkbqkfnjlt"/>
      <w:bookmarkEnd w:id="28"/>
      <w:r>
        <w:rPr>
          <w:color w:val="000000"/>
          <w:sz w:val="26"/>
          <w:szCs w:val="26"/>
        </w:rPr>
        <w:t>2.1. Collaborate with application owners and stakeholders to understand future resource requirements:</w:t>
      </w:r>
    </w:p>
    <w:p>
      <w:pPr>
        <w:pStyle w:val="Heading5"/>
        <w:numPr>
          <w:ilvl w:val="0"/>
          <w:numId w:val="6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29" w:name="_jfl8ovrw5j4t"/>
      <w:bookmarkEnd w:id="29"/>
      <w:r>
        <w:rPr>
          <w:color w:val="000000"/>
          <w:sz w:val="26"/>
          <w:szCs w:val="26"/>
        </w:rPr>
        <w:t>Document anticipated increases in EC2 instances, load balancers, and other resources.</w:t>
      </w:r>
    </w:p>
    <w:p>
      <w:pPr>
        <w:pStyle w:val="Heading5"/>
        <w:numPr>
          <w:ilvl w:val="0"/>
          <w:numId w:val="6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30" w:name="_peuq9wch863v"/>
      <w:bookmarkEnd w:id="30"/>
      <w:r>
        <w:rPr>
          <w:color w:val="000000"/>
          <w:sz w:val="26"/>
          <w:szCs w:val="26"/>
        </w:rPr>
        <w:t>Consider any upcoming changes in network architecture or application deployments.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31" w:name="_6reqi026531n"/>
      <w:bookmarkEnd w:id="31"/>
      <w:r>
        <w:rPr>
          <w:color w:val="000000"/>
          <w:sz w:val="26"/>
          <w:szCs w:val="26"/>
        </w:rPr>
        <w:t>2.2. Evaluate the impact of resource growth on the existing IP address space.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32" w:name="_7gi4ltw0uuaw"/>
      <w:bookmarkEnd w:id="32"/>
      <w:r>
        <w:rPr>
          <w:rFonts w:eastAsia="Roboto" w:cs="Roboto" w:ascii="Roboto" w:hAnsi="Roboto"/>
          <w:b/>
          <w:color w:val="FF9900"/>
          <w:sz w:val="28"/>
          <w:szCs w:val="28"/>
        </w:rPr>
        <w:t>Step 3: Subnet Design Review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33" w:name="_1ugz0kkeuqfz"/>
      <w:bookmarkEnd w:id="33"/>
      <w:r>
        <w:rPr>
          <w:color w:val="000000"/>
          <w:sz w:val="26"/>
          <w:szCs w:val="26"/>
        </w:rPr>
        <w:t>3.1. Assess the existing subnet design:</w:t>
      </w:r>
    </w:p>
    <w:p>
      <w:pPr>
        <w:pStyle w:val="Heading5"/>
        <w:numPr>
          <w:ilvl w:val="0"/>
          <w:numId w:val="10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34" w:name="_oezd53wtdyqn"/>
      <w:bookmarkEnd w:id="34"/>
      <w:r>
        <w:rPr>
          <w:color w:val="000000"/>
          <w:sz w:val="26"/>
          <w:szCs w:val="26"/>
        </w:rPr>
        <w:t>Analyze subnet sizes and available IP addresses.</w:t>
      </w:r>
    </w:p>
    <w:p>
      <w:pPr>
        <w:pStyle w:val="Heading5"/>
        <w:numPr>
          <w:ilvl w:val="0"/>
          <w:numId w:val="10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35" w:name="_rbxddc33zn5b"/>
      <w:bookmarkEnd w:id="35"/>
      <w:r>
        <w:rPr>
          <w:color w:val="000000"/>
          <w:sz w:val="26"/>
          <w:szCs w:val="26"/>
        </w:rPr>
        <w:t>Identify subnets with limited available IP addresses.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36" w:name="_pdtxqrgcs1dw"/>
      <w:bookmarkEnd w:id="36"/>
      <w:r>
        <w:rPr>
          <w:color w:val="000000"/>
          <w:sz w:val="26"/>
          <w:szCs w:val="26"/>
        </w:rPr>
        <w:t>3.2. Consider whether the current subnet design aligns with anticipated growth.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37" w:name="_unu2n35vwjn"/>
      <w:bookmarkEnd w:id="37"/>
      <w:r>
        <w:rPr>
          <w:rFonts w:eastAsia="Roboto" w:cs="Roboto" w:ascii="Roboto" w:hAnsi="Roboto"/>
          <w:b/>
          <w:color w:val="FF9900"/>
          <w:sz w:val="28"/>
          <w:szCs w:val="28"/>
        </w:rPr>
        <w:t>Step 4: Elastic IP Optimization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38" w:name="_400mndi9hzy0"/>
      <w:bookmarkEnd w:id="38"/>
      <w:r>
        <w:rPr>
          <w:color w:val="000000"/>
          <w:sz w:val="26"/>
          <w:szCs w:val="26"/>
        </w:rPr>
        <w:t>4.1. Identify and review the usage of Elastic IPs within the VPC:</w:t>
      </w:r>
    </w:p>
    <w:p>
      <w:pPr>
        <w:pStyle w:val="Heading5"/>
        <w:numPr>
          <w:ilvl w:val="0"/>
          <w:numId w:val="9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39" w:name="_dkl18obxa544"/>
      <w:bookmarkEnd w:id="39"/>
      <w:r>
        <w:rPr>
          <w:color w:val="000000"/>
          <w:sz w:val="26"/>
          <w:szCs w:val="26"/>
        </w:rPr>
        <w:t>List all associated EC2 instances using Elastic IPs.</w:t>
      </w:r>
    </w:p>
    <w:p>
      <w:pPr>
        <w:pStyle w:val="Heading5"/>
        <w:numPr>
          <w:ilvl w:val="0"/>
          <w:numId w:val="9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40" w:name="_3ocw9k8qzwyt"/>
      <w:bookmarkEnd w:id="40"/>
      <w:r>
        <w:rPr>
          <w:color w:val="000000"/>
          <w:sz w:val="26"/>
          <w:szCs w:val="26"/>
        </w:rPr>
        <w:t>Verify the necessity of each Elastic IP.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41" w:name="_7izw4lwm22ic"/>
      <w:bookmarkEnd w:id="41"/>
      <w:r>
        <w:rPr>
          <w:color w:val="000000"/>
          <w:sz w:val="26"/>
          <w:szCs w:val="26"/>
        </w:rPr>
        <w:t>4.2. Release any unused or unnecessary Elastic IPs.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r>
        <w:rPr>
          <w:rFonts w:eastAsia="Roboto" w:cs="Roboto" w:ascii="Roboto" w:hAnsi="Roboto"/>
          <w:b/>
          <w:color w:val="FF9900"/>
          <w:sz w:val="28"/>
          <w:szCs w:val="28"/>
        </w:rPr>
      </w:r>
      <w:bookmarkStart w:id="42" w:name="_keblvu59rm09"/>
      <w:bookmarkStart w:id="43" w:name="_keblvu59rm09"/>
      <w:bookmarkEnd w:id="43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r>
        <w:rPr>
          <w:rFonts w:eastAsia="Roboto" w:cs="Roboto" w:ascii="Roboto" w:hAnsi="Roboto"/>
          <w:b/>
          <w:color w:val="FF9900"/>
          <w:sz w:val="28"/>
          <w:szCs w:val="28"/>
        </w:rPr>
      </w:r>
      <w:bookmarkStart w:id="44" w:name="_eheb3cpirrr4"/>
      <w:bookmarkStart w:id="45" w:name="_eheb3cpirrr4"/>
      <w:bookmarkEnd w:id="45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r>
        <w:rPr>
          <w:rFonts w:eastAsia="Roboto" w:cs="Roboto" w:ascii="Roboto" w:hAnsi="Roboto"/>
          <w:b/>
          <w:color w:val="FF9900"/>
          <w:sz w:val="28"/>
          <w:szCs w:val="28"/>
        </w:rPr>
      </w:r>
      <w:bookmarkStart w:id="46" w:name="_d0ec50xuf9t3"/>
      <w:bookmarkStart w:id="47" w:name="_d0ec50xuf9t3"/>
      <w:bookmarkEnd w:id="47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r>
        <w:rPr>
          <w:rFonts w:eastAsia="Roboto" w:cs="Roboto" w:ascii="Roboto" w:hAnsi="Roboto"/>
          <w:b/>
          <w:color w:val="FF9900"/>
          <w:sz w:val="28"/>
          <w:szCs w:val="28"/>
        </w:rPr>
      </w:r>
      <w:bookmarkStart w:id="48" w:name="_4wqm0r5bv23"/>
      <w:bookmarkStart w:id="49" w:name="_4wqm0r5bv23"/>
      <w:bookmarkEnd w:id="49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r>
        <w:rPr>
          <w:rFonts w:eastAsia="Roboto" w:cs="Roboto" w:ascii="Roboto" w:hAnsi="Roboto"/>
          <w:b/>
          <w:color w:val="FF9900"/>
          <w:sz w:val="28"/>
          <w:szCs w:val="28"/>
        </w:rPr>
      </w:r>
      <w:bookmarkStart w:id="50" w:name="_9gvlzkfxmpf5"/>
      <w:bookmarkStart w:id="51" w:name="_9gvlzkfxmpf5"/>
      <w:bookmarkEnd w:id="51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r>
        <w:rPr>
          <w:rFonts w:eastAsia="Roboto" w:cs="Roboto" w:ascii="Roboto" w:hAnsi="Roboto"/>
          <w:b/>
          <w:color w:val="FF9900"/>
          <w:sz w:val="28"/>
          <w:szCs w:val="28"/>
        </w:rPr>
      </w:r>
      <w:bookmarkStart w:id="52" w:name="_y9eit2qekfob"/>
      <w:bookmarkStart w:id="53" w:name="_y9eit2qekfob"/>
      <w:bookmarkEnd w:id="53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r>
        <w:rPr>
          <w:rFonts w:eastAsia="Roboto" w:cs="Roboto" w:ascii="Roboto" w:hAnsi="Roboto"/>
          <w:b/>
          <w:color w:val="FF9900"/>
          <w:sz w:val="28"/>
          <w:szCs w:val="28"/>
        </w:rPr>
      </w:r>
      <w:bookmarkStart w:id="54" w:name="_huoibigfvcze"/>
      <w:bookmarkStart w:id="55" w:name="_huoibigfvcze"/>
      <w:bookmarkEnd w:id="55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56" w:name="_4l3ie49l1mje"/>
      <w:bookmarkEnd w:id="56"/>
      <w:r>
        <w:rPr>
          <w:rFonts w:eastAsia="Roboto" w:cs="Roboto" w:ascii="Roboto" w:hAnsi="Roboto"/>
          <w:b/>
          <w:color w:val="FF9900"/>
          <w:sz w:val="28"/>
          <w:szCs w:val="28"/>
        </w:rPr>
        <w:t>Step 5: Unused Resources Identification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57" w:name="_6vjzx6g6a5q1"/>
      <w:bookmarkEnd w:id="57"/>
      <w:r>
        <w:rPr>
          <w:color w:val="000000"/>
          <w:sz w:val="26"/>
          <w:szCs w:val="26"/>
        </w:rPr>
        <w:t>5.1. Identify and terminate any unused or underutilized resources within the VPC:</w:t>
      </w:r>
    </w:p>
    <w:p>
      <w:pPr>
        <w:pStyle w:val="Heading5"/>
        <w:numPr>
          <w:ilvl w:val="0"/>
          <w:numId w:val="3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58" w:name="_89f8jsun19aj"/>
      <w:bookmarkEnd w:id="58"/>
      <w:r>
        <w:rPr>
          <w:color w:val="000000"/>
          <w:sz w:val="26"/>
          <w:szCs w:val="26"/>
        </w:rPr>
        <w:t>List EC2 instances, network interfaces, and elastic load balancers that are not actively utilized.</w:t>
      </w:r>
    </w:p>
    <w:p>
      <w:pPr>
        <w:pStyle w:val="Heading5"/>
        <w:numPr>
          <w:ilvl w:val="0"/>
          <w:numId w:val="3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59" w:name="_25anbyctw5li"/>
      <w:bookmarkEnd w:id="59"/>
      <w:r>
        <w:rPr>
          <w:color w:val="000000"/>
          <w:sz w:val="26"/>
          <w:szCs w:val="26"/>
        </w:rPr>
        <w:t>Collaborate with relevant teams to confirm resource status before termination.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60" w:name="_lhir7kj1dqci"/>
      <w:bookmarkStart w:id="61" w:name="_lhir7kj1dqci"/>
      <w:bookmarkEnd w:id="61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62" w:name="_18j8zdstuz0p"/>
      <w:bookmarkEnd w:id="62"/>
      <w:r>
        <w:rPr>
          <w:rFonts w:eastAsia="Roboto" w:cs="Roboto" w:ascii="Roboto" w:hAnsi="Roboto"/>
          <w:b/>
          <w:color w:val="FF9900"/>
          <w:sz w:val="28"/>
          <w:szCs w:val="28"/>
        </w:rPr>
        <w:t>Step 6: Reserved Instances Consideration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63" w:name="_dtmclimjnmew"/>
      <w:bookmarkEnd w:id="63"/>
      <w:r>
        <w:rPr>
          <w:color w:val="000000"/>
          <w:sz w:val="26"/>
          <w:szCs w:val="26"/>
        </w:rPr>
        <w:t>6.1. Evaluate the option of using Reserved Instances:</w:t>
      </w:r>
    </w:p>
    <w:p>
      <w:pPr>
        <w:pStyle w:val="Heading5"/>
        <w:numPr>
          <w:ilvl w:val="0"/>
          <w:numId w:val="4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64" w:name="_n22i5vjf7psj"/>
      <w:bookmarkEnd w:id="64"/>
      <w:r>
        <w:rPr>
          <w:color w:val="000000"/>
          <w:sz w:val="26"/>
          <w:szCs w:val="26"/>
        </w:rPr>
        <w:t>Assess cost savings and benefits.</w:t>
      </w:r>
    </w:p>
    <w:p>
      <w:pPr>
        <w:pStyle w:val="Heading5"/>
        <w:numPr>
          <w:ilvl w:val="0"/>
          <w:numId w:val="4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65" w:name="_tpkubul9gbh4"/>
      <w:bookmarkEnd w:id="65"/>
      <w:r>
        <w:rPr>
          <w:color w:val="000000"/>
          <w:sz w:val="26"/>
          <w:szCs w:val="26"/>
        </w:rPr>
        <w:t>Consider Reserved Instances for instances with stable usage patterns.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66" w:name="_ezy9yazhjpna"/>
      <w:bookmarkEnd w:id="66"/>
      <w:r>
        <w:rPr>
          <w:rFonts w:eastAsia="Roboto" w:cs="Roboto" w:ascii="Roboto" w:hAnsi="Roboto"/>
          <w:b/>
          <w:color w:val="FF9900"/>
          <w:sz w:val="28"/>
          <w:szCs w:val="28"/>
        </w:rPr>
        <w:t>Step 7: Subnet CIDR Block Modification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67" w:name="_svuqqx4plxv8"/>
      <w:bookmarkEnd w:id="67"/>
      <w:r>
        <w:rPr>
          <w:color w:val="000000"/>
          <w:sz w:val="26"/>
          <w:szCs w:val="26"/>
        </w:rPr>
        <w:t>7.1. If necessary, modify the CIDR blocks of existing subnets:</w:t>
      </w:r>
    </w:p>
    <w:p>
      <w:pPr>
        <w:pStyle w:val="Heading5"/>
        <w:numPr>
          <w:ilvl w:val="0"/>
          <w:numId w:val="7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68" w:name="_2dkfx2t9d9of"/>
      <w:bookmarkEnd w:id="68"/>
      <w:r>
        <w:rPr>
          <w:color w:val="000000"/>
          <w:sz w:val="26"/>
          <w:szCs w:val="26"/>
        </w:rPr>
        <w:t>Evaluate the impact on routing and network connectivity.</w:t>
      </w:r>
    </w:p>
    <w:p>
      <w:pPr>
        <w:pStyle w:val="Heading5"/>
        <w:numPr>
          <w:ilvl w:val="0"/>
          <w:numId w:val="7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69" w:name="_tbohcaliqmd"/>
      <w:bookmarkEnd w:id="69"/>
      <w:r>
        <w:rPr>
          <w:color w:val="000000"/>
          <w:sz w:val="26"/>
          <w:szCs w:val="26"/>
        </w:rPr>
        <w:t>Plan for a maintenance window and notify stakeholders.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70" w:name="_8e43k3t1n1xb"/>
      <w:bookmarkEnd w:id="70"/>
      <w:r>
        <w:rPr>
          <w:color w:val="000000"/>
          <w:sz w:val="26"/>
          <w:szCs w:val="26"/>
        </w:rPr>
        <w:t>7.2. Execute the CIDR block modifications and update route tables accordingly.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71" w:name="_s3n7ulcqyoi8"/>
      <w:bookmarkEnd w:id="71"/>
      <w:r>
        <w:rPr>
          <w:rFonts w:eastAsia="Roboto" w:cs="Roboto" w:ascii="Roboto" w:hAnsi="Roboto"/>
          <w:b/>
          <w:color w:val="FF9900"/>
          <w:sz w:val="28"/>
          <w:szCs w:val="28"/>
        </w:rPr>
        <w:t>Step 8: VPC Peering Implementation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72" w:name="_e9ls71p3tckc"/>
      <w:bookmarkEnd w:id="72"/>
      <w:r>
        <w:rPr>
          <w:color w:val="000000"/>
          <w:sz w:val="26"/>
          <w:szCs w:val="26"/>
        </w:rPr>
        <w:t>8.1. Consider VPC peering to facilitate communication between resources in different VPCs:</w:t>
      </w:r>
    </w:p>
    <w:p>
      <w:pPr>
        <w:pStyle w:val="Heading5"/>
        <w:numPr>
          <w:ilvl w:val="0"/>
          <w:numId w:val="8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73" w:name="_jlv6lln5gw3j"/>
      <w:bookmarkEnd w:id="73"/>
      <w:r>
        <w:rPr>
          <w:color w:val="000000"/>
          <w:sz w:val="26"/>
          <w:szCs w:val="26"/>
        </w:rPr>
        <w:t>Assess security and routing requirements.</w:t>
      </w:r>
    </w:p>
    <w:p>
      <w:pPr>
        <w:pStyle w:val="Heading5"/>
        <w:numPr>
          <w:ilvl w:val="0"/>
          <w:numId w:val="8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74" w:name="_3nof2ffal7w3"/>
      <w:bookmarkEnd w:id="74"/>
      <w:r>
        <w:rPr>
          <w:color w:val="000000"/>
          <w:sz w:val="26"/>
          <w:szCs w:val="26"/>
        </w:rPr>
        <w:t>Establish VPC peering connections as needed.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75" w:name="_gvwx7c36fobc"/>
      <w:bookmarkStart w:id="76" w:name="_gvwx7c36fobc"/>
      <w:bookmarkEnd w:id="76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77" w:name="_xyc99pvk1jl0"/>
      <w:bookmarkStart w:id="78" w:name="_xyc99pvk1jl0"/>
      <w:bookmarkEnd w:id="78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79" w:name="_e6xvyfnjmhvz"/>
      <w:bookmarkStart w:id="80" w:name="_e6xvyfnjmhvz"/>
      <w:bookmarkEnd w:id="80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81" w:name="_c0buxbxhovfw"/>
      <w:bookmarkStart w:id="82" w:name="_c0buxbxhovfw"/>
      <w:bookmarkEnd w:id="82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000000"/>
          <w:sz w:val="28"/>
          <w:szCs w:val="28"/>
        </w:rPr>
      </w:pPr>
      <w:r>
        <w:rPr>
          <w:rFonts w:eastAsia="Roboto" w:cs="Roboto" w:ascii="Roboto" w:hAnsi="Roboto"/>
          <w:b/>
          <w:color w:val="000000"/>
          <w:sz w:val="28"/>
          <w:szCs w:val="28"/>
        </w:rPr>
      </w:r>
      <w:bookmarkStart w:id="83" w:name="_bora85ywiyaq"/>
      <w:bookmarkStart w:id="84" w:name="_bora85ywiyaq"/>
      <w:bookmarkEnd w:id="84"/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85" w:name="_qzpr2yf2f6jf"/>
      <w:bookmarkEnd w:id="85"/>
      <w:r>
        <w:rPr>
          <w:rFonts w:eastAsia="Roboto" w:cs="Roboto" w:ascii="Roboto" w:hAnsi="Roboto"/>
          <w:b/>
          <w:color w:val="FF9900"/>
          <w:sz w:val="28"/>
          <w:szCs w:val="28"/>
        </w:rPr>
        <w:t>Step 9: VPC Migration Planning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86" w:name="_1vajnzffhmum"/>
      <w:bookmarkEnd w:id="86"/>
      <w:r>
        <w:rPr>
          <w:color w:val="000000"/>
          <w:sz w:val="26"/>
          <w:szCs w:val="26"/>
        </w:rPr>
        <w:t>9.1. If the existing VPC design is not scalable, plan for a VPC migration:</w:t>
      </w:r>
    </w:p>
    <w:p>
      <w:pPr>
        <w:pStyle w:val="Heading5"/>
        <w:numPr>
          <w:ilvl w:val="0"/>
          <w:numId w:val="2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87" w:name="_5wi05arnfxb5"/>
      <w:bookmarkEnd w:id="87"/>
      <w:r>
        <w:rPr>
          <w:color w:val="000000"/>
          <w:sz w:val="26"/>
          <w:szCs w:val="26"/>
        </w:rPr>
        <w:t>Collaborate with stakeholders to define a migration plan.</w:t>
      </w:r>
    </w:p>
    <w:p>
      <w:pPr>
        <w:pStyle w:val="Heading5"/>
        <w:numPr>
          <w:ilvl w:val="0"/>
          <w:numId w:val="2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88" w:name="_h312hsdkcnjt"/>
      <w:bookmarkEnd w:id="88"/>
      <w:r>
        <w:rPr>
          <w:color w:val="000000"/>
          <w:sz w:val="26"/>
          <w:szCs w:val="26"/>
        </w:rPr>
        <w:t>Schedule a maintenance window and communicate the migration schedule to all relevant parties.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89" w:name="_ue4lvb6whv1q"/>
      <w:bookmarkEnd w:id="89"/>
      <w:r>
        <w:rPr>
          <w:color w:val="000000"/>
          <w:sz w:val="26"/>
          <w:szCs w:val="26"/>
        </w:rPr>
        <w:t>9.2. Execute the VPC migration plan, ensuring minimal impact on running applications.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90" w:name="_sbleragqrfjd"/>
      <w:bookmarkEnd w:id="90"/>
      <w:r>
        <w:rPr>
          <w:rFonts w:eastAsia="Roboto" w:cs="Roboto" w:ascii="Roboto" w:hAnsi="Roboto"/>
          <w:b/>
          <w:color w:val="FF9900"/>
          <w:sz w:val="28"/>
          <w:szCs w:val="28"/>
        </w:rPr>
        <w:t>Step 10: Monitoring and Periodic Review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91" w:name="_kr2gp5dpy1wg"/>
      <w:bookmarkEnd w:id="91"/>
      <w:r>
        <w:rPr>
          <w:color w:val="000000"/>
          <w:sz w:val="26"/>
          <w:szCs w:val="26"/>
        </w:rPr>
        <w:t>10.1. Set up CloudWatch alarms to monitor IP address utilization within the VPC.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92" w:name="_hbrqilt12qlk"/>
      <w:bookmarkEnd w:id="92"/>
      <w:r>
        <w:rPr>
          <w:color w:val="000000"/>
          <w:sz w:val="26"/>
          <w:szCs w:val="26"/>
        </w:rPr>
        <w:t>10.2. Conduct periodic reviews of IP address usage and adjust configurations as needed.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93" w:name="_de9x2a3uhwvz"/>
      <w:bookmarkEnd w:id="93"/>
      <w:r>
        <w:rPr>
          <w:rFonts w:eastAsia="Roboto" w:cs="Roboto" w:ascii="Roboto" w:hAnsi="Roboto"/>
          <w:b/>
          <w:color w:val="FF9900"/>
          <w:sz w:val="28"/>
          <w:szCs w:val="28"/>
        </w:rPr>
        <w:t>Step 11: Documentation of Changes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94" w:name="_zi08is8gjtvf"/>
      <w:bookmarkEnd w:id="94"/>
      <w:r>
        <w:rPr>
          <w:color w:val="000000"/>
          <w:sz w:val="26"/>
          <w:szCs w:val="26"/>
        </w:rPr>
        <w:t>11.1. Document all changes made to the VPC configuration:</w:t>
      </w:r>
    </w:p>
    <w:p>
      <w:pPr>
        <w:pStyle w:val="Heading5"/>
        <w:numPr>
          <w:ilvl w:val="0"/>
          <w:numId w:val="11"/>
        </w:numPr>
        <w:pBdr/>
        <w:spacing w:lineRule="auto" w:line="240" w:before="300" w:after="300"/>
        <w:ind w:left="720" w:hanging="360"/>
        <w:rPr>
          <w:color w:val="000000"/>
          <w:sz w:val="28"/>
          <w:szCs w:val="28"/>
        </w:rPr>
      </w:pPr>
      <w:bookmarkStart w:id="95" w:name="_ot3y137s8kf0"/>
      <w:bookmarkEnd w:id="95"/>
      <w:r>
        <w:rPr>
          <w:color w:val="000000"/>
          <w:sz w:val="26"/>
          <w:szCs w:val="26"/>
        </w:rPr>
        <w:t>Maintain a record of subnet configurations, IP allocations, and any modifications.</w:t>
      </w:r>
    </w:p>
    <w:p>
      <w:pPr>
        <w:pStyle w:val="Heading5"/>
        <w:keepNext w:val="false"/>
        <w:keepLines w:val="false"/>
        <w:pBdr/>
        <w:spacing w:lineRule="auto" w:line="240" w:before="0" w:after="0"/>
        <w:rPr>
          <w:rFonts w:ascii="Roboto" w:hAnsi="Roboto" w:eastAsia="Roboto" w:cs="Roboto"/>
          <w:b/>
          <w:b/>
          <w:color w:val="FF9900"/>
          <w:sz w:val="28"/>
          <w:szCs w:val="28"/>
        </w:rPr>
      </w:pPr>
      <w:bookmarkStart w:id="96" w:name="_7fwdtpymziel"/>
      <w:bookmarkEnd w:id="96"/>
      <w:r>
        <w:rPr>
          <w:rFonts w:eastAsia="Roboto" w:cs="Roboto" w:ascii="Roboto" w:hAnsi="Roboto"/>
          <w:b/>
          <w:color w:val="FF9900"/>
          <w:sz w:val="28"/>
          <w:szCs w:val="28"/>
        </w:rPr>
        <w:t>Step 12: Communication of Changes</w:t>
      </w:r>
    </w:p>
    <w:p>
      <w:pPr>
        <w:pStyle w:val="Heading5"/>
        <w:pBdr/>
        <w:spacing w:lineRule="auto" w:line="240" w:before="300" w:after="300"/>
        <w:rPr>
          <w:color w:val="000000"/>
          <w:sz w:val="26"/>
          <w:szCs w:val="26"/>
        </w:rPr>
      </w:pPr>
      <w:bookmarkStart w:id="97" w:name="_ue8x0nrteitc"/>
      <w:bookmarkEnd w:id="97"/>
      <w:r>
        <w:rPr>
          <w:color w:val="000000"/>
          <w:sz w:val="26"/>
          <w:szCs w:val="26"/>
        </w:rPr>
        <w:t>12.1. Communicate any changes to relevant stakeholders:</w:t>
      </w:r>
    </w:p>
    <w:p>
      <w:pPr>
        <w:pStyle w:val="Heading5"/>
        <w:numPr>
          <w:ilvl w:val="0"/>
          <w:numId w:val="1"/>
        </w:numPr>
        <w:pBdr/>
        <w:spacing w:lineRule="auto" w:line="240" w:before="300" w:afterAutospacing="0" w:after="0"/>
        <w:ind w:left="720" w:hanging="360"/>
        <w:rPr>
          <w:color w:val="000000"/>
          <w:sz w:val="28"/>
          <w:szCs w:val="28"/>
        </w:rPr>
      </w:pPr>
      <w:bookmarkStart w:id="98" w:name="_gz4en32m27v0"/>
      <w:bookmarkEnd w:id="98"/>
      <w:r>
        <w:rPr>
          <w:color w:val="000000"/>
          <w:sz w:val="26"/>
          <w:szCs w:val="26"/>
        </w:rPr>
        <w:t>Provide detailed information on modifications made to the VPC.</w:t>
      </w:r>
    </w:p>
    <w:p>
      <w:pPr>
        <w:pStyle w:val="Heading5"/>
        <w:numPr>
          <w:ilvl w:val="0"/>
          <w:numId w:val="1"/>
        </w:numPr>
        <w:pBdr/>
        <w:spacing w:lineRule="auto" w:line="240" w:beforeAutospacing="0" w:before="0" w:after="300"/>
        <w:ind w:left="720" w:hanging="360"/>
        <w:rPr>
          <w:color w:val="000000"/>
          <w:sz w:val="28"/>
          <w:szCs w:val="28"/>
        </w:rPr>
      </w:pPr>
      <w:bookmarkStart w:id="99" w:name="_doozngv3ehz1"/>
      <w:bookmarkEnd w:id="99"/>
      <w:r>
        <w:rPr>
          <w:color w:val="000000"/>
          <w:sz w:val="26"/>
          <w:szCs w:val="26"/>
        </w:rPr>
        <w:t>Ensure that all team members are aware of the changes and their potential impact.</w:t>
      </w:r>
    </w:p>
    <w:p>
      <w:pPr>
        <w:pStyle w:val="Heading5"/>
        <w:keepNext w:val="false"/>
        <w:keepLines w:val="false"/>
        <w:pBdr/>
        <w:spacing w:lineRule="auto" w:line="360" w:before="240" w:after="4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bookmarkStart w:id="100" w:name="_ae1uabedp4i2"/>
      <w:bookmarkStart w:id="101" w:name="_ae1uabedp4i2"/>
      <w:bookmarkEnd w:id="101"/>
    </w:p>
    <w:p>
      <w:pPr>
        <w:pStyle w:val="Heading5"/>
        <w:keepNext w:val="false"/>
        <w:keepLines w:val="false"/>
        <w:pBdr/>
        <w:spacing w:lineRule="auto" w:line="360" w:before="240" w:after="4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Roboto">
    <w:charset w:val="01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553</Words>
  <Characters>3142</Characters>
  <CharactersWithSpaces>3610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2024-02-01T23:54:46Z</dcterms:modified>
  <cp:revision>1</cp:revision>
  <dc:subject/>
  <dc:title/>
</cp:coreProperties>
</file>