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6"/>
          <w:szCs w:val="26"/>
        </w:rPr>
        <w:t xml:space="preserve">وزارة العدل</w:t>
      </w:r>
    </w:p>
    <w:p>
      <w:pPr>
        <w:bidi/>
        <w:spacing w:before="0" w:after="20"/>
      </w:pP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34"/>
          <w:szCs w:val="34"/>
        </w:rPr>
        <w:t xml:space="preserve">تقرير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بحث المستندات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مستندات المستأنف: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أ.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عقد قسمة مؤرخ ٢٠٢٠-٠١-٠١ بين كل من: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أحمد علي، حسن علي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وقد ورد اختصاص كل طرف كالآتي: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أحمد علي اختص بمساحة ١٩ قيراط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حسن علي اختص بمساحة ٧ سهم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البحث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أ.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ثبت كذا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ب.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يلزم كذا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النتيجة النهائية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أ.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أول نتيجة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ب.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ثاني نتيجة</w:t>
      </w:r>
    </w:p>
    <w:p>
      <w:pPr>
        <w:bidi/>
        <w:spacing w:before="0" w:after="20"/>
      </w:pPr>
    </w:p>
    <w:sectPr>
      <w:pgSz w:w="11906" w:h="16838"/>
      <w:pgMar w:top="720" w:right="850" w:bottom="720" w:left="85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raditional Arabic" w:hAnsi="Traditional Arabic" w:cs="Traditional Arabic"/>
        <w:lang w:val="ar-EG" w:bidi="ar-EG"/>
        <w:sz w:val="24"/>
        <w:szCs w:val="24"/>
        <w:rtl/>
      </w:rPr>
    </w:rPrDefault>
    <w:pPrDefault>
      <w:pPr>
        <w:bidi/>
        <w:jc w:val="start"/>
      </w:pPr>
    </w:pPrDefault>
  </w:docDefaults>
  <w:style w:type="paragraph" w:default="1" w:styleId="Normal">
    <w:name w:val="Normal"/>
    <w:pPr>
      <w:bidi/>
      <w:jc w:val="start"/>
    </w:pPr>
    <w:rPr>
      <w:rtl/>
      <w:lang w:val="ar-EG" w:bidi="ar-EG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