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قطاع الخبراء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إدارة خبراء أسوان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مقدم من خبير اختبار خبير وزارة العدل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فى الدعوى رقم ١٠٠ لسنة ٢٠٢٦ جنح — من تقارير الخبير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3"/>
          <w:szCs w:val="23"/>
        </w:rPr>
        <w:t xml:space="preserve">المرفوعــة من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الطرف الأول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3"/>
          <w:szCs w:val="23"/>
        </w:rPr>
        <w:t xml:space="preserve">ضـــــد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الطرف الثاني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2"/>
          <w:szCs w:val="22"/>
        </w:rPr>
        <w:t xml:space="preserve">وارد رقم ١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2"/>
          <w:szCs w:val="22"/>
        </w:rPr>
        <w:t xml:space="preserve">لسنة ٢٠٢٦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الموضوع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المأمورية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مباشرة المأمورية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أقوال المتهم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أقوال محرر محضر المخالفة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المعاينة على الطبيعة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أقوال الشهود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نص تجريبي لمراجعة اتجاه الكتابة وترتيب هذا البند.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