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2"/>
          <w:szCs w:val="52"/>
        </w:rPr>
        <w:t xml:space="preserve">Customer Segmentation &amp;</w:t>
      </w:r>
    </w:p>
    <w:p>
      <w:pPr>
        <w:spacing w:after="400"/>
        <w:jc w:val="center"/>
      </w:pPr>
      <w:r>
        <w:rPr>
          <w:rFonts w:ascii="Arial" w:cs="Arial" w:eastAsia="Arial" w:hAnsi="Arial"/>
          <w:b/>
          <w:bCs/>
          <w:color w:val="1F4E79"/>
          <w:sz w:val="52"/>
          <w:szCs w:val="52"/>
        </w:rPr>
        <w:t xml:space="preserve">Churn Pattern Analytics</w:t>
      </w:r>
    </w:p>
    <w:p>
      <w:pPr>
        <w:spacing w:after="200"/>
        <w:jc w:val="center"/>
      </w:pPr>
      <w:r>
        <w:rPr>
          <w:rFonts w:ascii="Arial" w:cs="Arial" w:eastAsia="Arial" w:hAnsi="Arial"/>
          <w:b/>
          <w:bCs/>
          <w:color w:val="2E75B6"/>
          <w:sz w:val="40"/>
          <w:szCs w:val="40"/>
        </w:rPr>
        <w:t xml:space="preserve">in European Banking</w:t>
      </w:r>
    </w:p>
    <w:p>
      <w:pPr>
        <w:pBdr>
          <w:bottom w:val="single" w:color="2E75B6" w:sz="6" w:space="1"/>
        </w:pBdr>
        <w:spacing w:after="600"/>
        <w:jc w:val="center"/>
      </w:pPr>
    </w:p>
    <w:p>
      <w:pPr>
        <w:spacing w:after="200"/>
        <w:jc w:val="center"/>
      </w:pPr>
      <w:r>
        <w:rPr>
          <w:rFonts w:ascii="Arial" w:cs="Arial" w:eastAsia="Arial" w:hAnsi="Arial"/>
          <w:color w:val="555555"/>
          <w:sz w:val="24"/>
          <w:szCs w:val="24"/>
        </w:rPr>
        <w:t xml:space="preserve">Submitted to: The European Central Bank</w:t>
      </w:r>
    </w:p>
    <w:p>
      <w:pPr>
        <w:spacing w:after="200"/>
        <w:jc w:val="center"/>
      </w:pPr>
      <w:r>
        <w:rPr>
          <w:rFonts w:ascii="Arial" w:cs="Arial" w:eastAsia="Arial" w:hAnsi="Arial"/>
          <w:color w:val="555555"/>
          <w:sz w:val="24"/>
          <w:szCs w:val="24"/>
        </w:rPr>
        <w:t xml:space="preserve">Research Paper | Data Analytics Project</w:t>
      </w:r>
    </w:p>
    <w:p>
      <w:pPr>
        <w:spacing w:after="200"/>
        <w:jc w:val="center"/>
      </w:pPr>
      <w:r>
        <w:rPr>
          <w:rFonts w:ascii="Arial" w:cs="Arial" w:eastAsia="Arial" w:hAnsi="Arial"/>
          <w:color w:val="555555"/>
          <w:sz w:val="24"/>
          <w:szCs w:val="24"/>
        </w:rPr>
        <w:t xml:space="preserve">2024</w:t>
      </w:r>
    </w:p>
    <w:p>
      <w:r>
        <w:br w:type="page"/>
      </w:r>
    </w:p>
    <w:p>
      <w:pPr>
        <w:pStyle w:val="Heading1"/>
      </w:pPr>
      <w:r>
        <w:rPr>
          <w:rFonts w:ascii="Arial" w:cs="Arial" w:eastAsia="Arial" w:hAnsi="Arial"/>
          <w:b/>
          <w:bCs/>
          <w:sz w:val="32"/>
          <w:szCs w:val="32"/>
        </w:rPr>
        <w:t xml:space="preserve">1. Introduction</w:t>
      </w:r>
    </w:p>
    <w:p>
      <w:pPr>
        <w:spacing w:after="160"/>
        <w:jc w:val="both"/>
      </w:pPr>
      <w:r>
        <w:rPr>
          <w:rFonts w:ascii="Arial" w:cs="Arial" w:eastAsia="Arial" w:hAnsi="Arial"/>
          <w:sz w:val="24"/>
          <w:szCs w:val="24"/>
        </w:rPr>
        <w:t xml:space="preserve">Customer churn is one of the most critical challenges facing retail banking institutions across Europe. When a customer exits, the bank loses not only recurring revenue but also the significant investment made in customer acquisition and relationship management. Industry estimates suggest that acquiring a new customer costs five to seven times more than retaining an existing one, making churn prevention a strategic priority.</w:t>
      </w:r>
    </w:p>
    <w:p>
      <w:pPr>
        <w:spacing w:after="160"/>
        <w:jc w:val="both"/>
      </w:pPr>
      <w:r>
        <w:rPr>
          <w:rFonts w:ascii="Arial" w:cs="Arial" w:eastAsia="Arial" w:hAnsi="Arial"/>
          <w:sz w:val="24"/>
          <w:szCs w:val="24"/>
        </w:rPr>
        <w:t xml:space="preserve">This research paper presents a comprehensive, segmentation-driven analysis of customer churn behaviour using data from a European retail bank operating across France, Germany, and Spain. The analysis examines how churn rates vary across geographic, demographic, and financial dimensions, providing actionable insights for targeted retention strategies.</w:t>
      </w:r>
    </w:p>
    <w:p>
      <w:pPr>
        <w:pStyle w:val="Heading1"/>
      </w:pPr>
      <w:r>
        <w:rPr>
          <w:rFonts w:ascii="Arial" w:cs="Arial" w:eastAsia="Arial" w:hAnsi="Arial"/>
          <w:b/>
          <w:bCs/>
          <w:sz w:val="32"/>
          <w:szCs w:val="32"/>
        </w:rPr>
        <w:t xml:space="preserve">2. Background and Problem Statement</w:t>
      </w:r>
    </w:p>
    <w:p>
      <w:pPr>
        <w:spacing w:after="160"/>
        <w:jc w:val="both"/>
      </w:pPr>
      <w:r>
        <w:rPr>
          <w:rFonts w:ascii="Arial" w:cs="Arial" w:eastAsia="Arial" w:hAnsi="Arial"/>
          <w:sz w:val="24"/>
          <w:szCs w:val="24"/>
        </w:rPr>
        <w:t xml:space="preserve">Despite having access to rich customer-level data, banks frequently struggle to translate raw information into targeted retention actions. Generic churn management strategies fail to address the root causes of customer exit, which differ significantly across customer segments. This study addresses three core gaps:</w:t>
      </w:r>
    </w:p>
    <w:p>
      <w:pPr>
        <w:pStyle w:val="ListParagraph"/>
        <w:numPr>
          <w:ilvl w:val="0"/>
          <w:numId w:val="2"/>
        </w:numPr>
      </w:pPr>
      <w:r>
        <w:rPr>
          <w:rFonts w:ascii="Arial" w:cs="Arial" w:eastAsia="Arial" w:hAnsi="Arial"/>
          <w:sz w:val="24"/>
          <w:szCs w:val="24"/>
        </w:rPr>
        <w:t xml:space="preserve">Lack of granular segmentation insights into which customer groups are most at risk</w:t>
      </w:r>
    </w:p>
    <w:p>
      <w:pPr>
        <w:pStyle w:val="ListParagraph"/>
        <w:numPr>
          <w:ilvl w:val="0"/>
          <w:numId w:val="2"/>
        </w:numPr>
      </w:pPr>
      <w:r>
        <w:rPr>
          <w:rFonts w:ascii="Arial" w:cs="Arial" w:eastAsia="Arial" w:hAnsi="Arial"/>
          <w:sz w:val="24"/>
          <w:szCs w:val="24"/>
        </w:rPr>
        <w:t xml:space="preserve">Limited understanding of how churn differs across geographies, age groups, and financial profiles</w:t>
      </w:r>
    </w:p>
    <w:p>
      <w:pPr>
        <w:pStyle w:val="ListParagraph"/>
        <w:numPr>
          <w:ilvl w:val="0"/>
          <w:numId w:val="2"/>
        </w:numPr>
      </w:pPr>
      <w:r>
        <w:rPr>
          <w:rFonts w:ascii="Arial" w:cs="Arial" w:eastAsia="Arial" w:hAnsi="Arial"/>
          <w:sz w:val="24"/>
          <w:szCs w:val="24"/>
        </w:rPr>
        <w:t xml:space="preserve">Absence of quantified revenue risk associated with high-value customer churn</w:t>
      </w:r>
    </w:p>
    <w:p>
      <w:pPr>
        <w:spacing w:after="160"/>
      </w:pPr>
    </w:p>
    <w:p>
      <w:pPr>
        <w:pStyle w:val="Heading1"/>
      </w:pPr>
      <w:r>
        <w:rPr>
          <w:rFonts w:ascii="Arial" w:cs="Arial" w:eastAsia="Arial" w:hAnsi="Arial"/>
          <w:b/>
          <w:bCs/>
          <w:sz w:val="32"/>
          <w:szCs w:val="32"/>
        </w:rPr>
        <w:t xml:space="preserve">3. Research Objectives</w:t>
      </w:r>
    </w:p>
    <w:p>
      <w:pPr>
        <w:pStyle w:val="Heading2"/>
      </w:pPr>
      <w:r>
        <w:rPr>
          <w:rFonts w:ascii="Arial" w:cs="Arial" w:eastAsia="Arial" w:hAnsi="Arial"/>
          <w:b/>
          <w:bCs/>
          <w:sz w:val="28"/>
          <w:szCs w:val="28"/>
        </w:rPr>
        <w:t xml:space="preserve">3.1 Primary Objectives</w:t>
      </w:r>
    </w:p>
    <w:p>
      <w:pPr>
        <w:pStyle w:val="ListParagraph"/>
        <w:numPr>
          <w:ilvl w:val="0"/>
          <w:numId w:val="2"/>
        </w:numPr>
      </w:pPr>
      <w:r>
        <w:rPr>
          <w:rFonts w:ascii="Arial" w:cs="Arial" w:eastAsia="Arial" w:hAnsi="Arial"/>
          <w:sz w:val="24"/>
          <w:szCs w:val="24"/>
        </w:rPr>
        <w:t xml:space="preserve">Measure the overall churn rate across the customer base</w:t>
      </w:r>
    </w:p>
    <w:p>
      <w:pPr>
        <w:pStyle w:val="ListParagraph"/>
        <w:numPr>
          <w:ilvl w:val="0"/>
          <w:numId w:val="2"/>
        </w:numPr>
      </w:pPr>
      <w:r>
        <w:rPr>
          <w:rFonts w:ascii="Arial" w:cs="Arial" w:eastAsia="Arial" w:hAnsi="Arial"/>
          <w:sz w:val="24"/>
          <w:szCs w:val="24"/>
        </w:rPr>
        <w:t xml:space="preserve">Identify churn distribution across key customer segments</w:t>
      </w:r>
    </w:p>
    <w:p>
      <w:pPr>
        <w:pStyle w:val="ListParagraph"/>
        <w:numPr>
          <w:ilvl w:val="0"/>
          <w:numId w:val="2"/>
        </w:numPr>
      </w:pPr>
      <w:r>
        <w:rPr>
          <w:rFonts w:ascii="Arial" w:cs="Arial" w:eastAsia="Arial" w:hAnsi="Arial"/>
          <w:sz w:val="24"/>
          <w:szCs w:val="24"/>
        </w:rPr>
        <w:t xml:space="preserve">Compare churn behaviour across European regions</w:t>
      </w:r>
    </w:p>
    <w:p>
      <w:pPr>
        <w:spacing w:after="160"/>
      </w:pPr>
    </w:p>
    <w:p>
      <w:pPr>
        <w:pStyle w:val="Heading2"/>
      </w:pPr>
      <w:r>
        <w:rPr>
          <w:rFonts w:ascii="Arial" w:cs="Arial" w:eastAsia="Arial" w:hAnsi="Arial"/>
          <w:b/>
          <w:bCs/>
          <w:sz w:val="28"/>
          <w:szCs w:val="28"/>
        </w:rPr>
        <w:t xml:space="preserve">3.2 Secondary Objectives</w:t>
      </w:r>
    </w:p>
    <w:p>
      <w:pPr>
        <w:pStyle w:val="ListParagraph"/>
        <w:numPr>
          <w:ilvl w:val="0"/>
          <w:numId w:val="2"/>
        </w:numPr>
      </w:pPr>
      <w:r>
        <w:rPr>
          <w:rFonts w:ascii="Arial" w:cs="Arial" w:eastAsia="Arial" w:hAnsi="Arial"/>
          <w:sz w:val="24"/>
          <w:szCs w:val="24"/>
        </w:rPr>
        <w:t xml:space="preserve">Understand churn patterns among high-value customers</w:t>
      </w:r>
    </w:p>
    <w:p>
      <w:pPr>
        <w:pStyle w:val="ListParagraph"/>
        <w:numPr>
          <w:ilvl w:val="0"/>
          <w:numId w:val="2"/>
        </w:numPr>
      </w:pPr>
      <w:r>
        <w:rPr>
          <w:rFonts w:ascii="Arial" w:cs="Arial" w:eastAsia="Arial" w:hAnsi="Arial"/>
          <w:sz w:val="24"/>
          <w:szCs w:val="24"/>
        </w:rPr>
        <w:t xml:space="preserve">Evaluate the relationship between engagement, tenure, and churn</w:t>
      </w:r>
    </w:p>
    <w:p>
      <w:pPr>
        <w:pStyle w:val="ListParagraph"/>
        <w:numPr>
          <w:ilvl w:val="0"/>
          <w:numId w:val="2"/>
        </w:numPr>
      </w:pPr>
      <w:r>
        <w:rPr>
          <w:rFonts w:ascii="Arial" w:cs="Arial" w:eastAsia="Arial" w:hAnsi="Arial"/>
          <w:sz w:val="24"/>
          <w:szCs w:val="24"/>
        </w:rPr>
        <w:t xml:space="preserve">Support strategic planning and targeted marketing decisions</w:t>
      </w:r>
    </w:p>
    <w:p>
      <w:pPr>
        <w:spacing w:after="160"/>
      </w:pPr>
    </w:p>
    <w:p>
      <w:pPr>
        <w:pStyle w:val="Heading1"/>
      </w:pPr>
      <w:r>
        <w:rPr>
          <w:rFonts w:ascii="Arial" w:cs="Arial" w:eastAsia="Arial" w:hAnsi="Arial"/>
          <w:b/>
          <w:bCs/>
          <w:sz w:val="32"/>
          <w:szCs w:val="32"/>
        </w:rPr>
        <w:t xml:space="preserve">4. Dataset Description</w:t>
      </w:r>
    </w:p>
    <w:p>
      <w:pPr>
        <w:spacing w:after="160"/>
        <w:jc w:val="both"/>
      </w:pPr>
      <w:r>
        <w:rPr>
          <w:rFonts w:ascii="Arial" w:cs="Arial" w:eastAsia="Arial" w:hAnsi="Arial"/>
          <w:sz w:val="24"/>
          <w:szCs w:val="24"/>
        </w:rPr>
        <w:t xml:space="preserve">The dataset consists of 10,000 retail banking customers from three European countries: France, Germany, and Spain. Each record contains 13 attributes capturing customer demographics, financial profile, and engagement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CreditScore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Customer creditworthiness score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Geography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Country: France, Spain, Germany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Gender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Male / Female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Customer age in years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Tenure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Years with the bank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Balance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Account balance (EUR)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NumOfProducts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Number of bank products held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HasCrCard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Credit card ownership (0/1)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IsActiveMember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Activity indicator (0/1)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EstimatedSalary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Estimated annual salary (EUR)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Exited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Churn indicator — target variable (0/1)</w:t>
            </w:r>
          </w:p>
        </w:tc>
      </w:tr>
    </w:tbl>
    <w:p>
      <w:pPr>
        <w:spacing w:after="200"/>
      </w:pPr>
    </w:p>
    <w:p>
      <w:pPr>
        <w:pStyle w:val="Heading1"/>
      </w:pPr>
      <w:r>
        <w:rPr>
          <w:rFonts w:ascii="Arial" w:cs="Arial" w:eastAsia="Arial" w:hAnsi="Arial"/>
          <w:b/>
          <w:bCs/>
          <w:sz w:val="32"/>
          <w:szCs w:val="32"/>
        </w:rPr>
        <w:t xml:space="preserve">5. Analytical Methodology</w:t>
      </w:r>
    </w:p>
    <w:p>
      <w:pPr>
        <w:pStyle w:val="Heading2"/>
      </w:pPr>
      <w:r>
        <w:rPr>
          <w:rFonts w:ascii="Arial" w:cs="Arial" w:eastAsia="Arial" w:hAnsi="Arial"/>
          <w:b/>
          <w:bCs/>
          <w:sz w:val="28"/>
          <w:szCs w:val="28"/>
        </w:rPr>
        <w:t xml:space="preserve">5.1 Data Ingestion and Validation</w:t>
      </w:r>
    </w:p>
    <w:p>
      <w:pPr>
        <w:spacing w:after="160"/>
        <w:jc w:val="both"/>
      </w:pPr>
      <w:r>
        <w:rPr>
          <w:rFonts w:ascii="Arial" w:cs="Arial" w:eastAsia="Arial" w:hAnsi="Arial"/>
          <w:sz w:val="24"/>
          <w:szCs w:val="24"/>
        </w:rPr>
        <w:t xml:space="preserve">The dataset was loaded and validated for completeness. All 10,000 records were verified to contain zero null values across all columns, confirming data integrity. Binary variables (HasCrCard, IsActiveMember, Exited) were confirmed to contain only 0 and 1 values.</w:t>
      </w:r>
    </w:p>
    <w:p>
      <w:pPr>
        <w:pStyle w:val="Heading2"/>
      </w:pPr>
      <w:r>
        <w:rPr>
          <w:rFonts w:ascii="Arial" w:cs="Arial" w:eastAsia="Arial" w:hAnsi="Arial"/>
          <w:b/>
          <w:bCs/>
          <w:sz w:val="28"/>
          <w:szCs w:val="28"/>
        </w:rPr>
        <w:t xml:space="preserve">5.2 Data Cleaning and Preparation</w:t>
      </w:r>
    </w:p>
    <w:p>
      <w:pPr>
        <w:spacing w:after="160"/>
        <w:jc w:val="both"/>
      </w:pPr>
      <w:r>
        <w:rPr>
          <w:rFonts w:ascii="Arial" w:cs="Arial" w:eastAsia="Arial" w:hAnsi="Arial"/>
          <w:sz w:val="24"/>
          <w:szCs w:val="24"/>
        </w:rPr>
        <w:t xml:space="preserve">Non-analytical fields — specifically CustomerId and Surname — were removed from the working dataset as they provide no predictive or segmentation value. Categorical variables were retained in their original form for grouping operations.</w:t>
      </w:r>
    </w:p>
    <w:p>
      <w:pPr>
        <w:pStyle w:val="Heading2"/>
      </w:pPr>
      <w:r>
        <w:rPr>
          <w:rFonts w:ascii="Arial" w:cs="Arial" w:eastAsia="Arial" w:hAnsi="Arial"/>
          <w:b/>
          <w:bCs/>
          <w:sz w:val="28"/>
          <w:szCs w:val="28"/>
        </w:rPr>
        <w:t xml:space="preserve">5.3 Customer Segmentation Design</w:t>
      </w:r>
    </w:p>
    <w:p>
      <w:pPr>
        <w:spacing w:after="160"/>
        <w:jc w:val="both"/>
      </w:pPr>
      <w:r>
        <w:rPr>
          <w:rFonts w:ascii="Arial" w:cs="Arial" w:eastAsia="Arial" w:hAnsi="Arial"/>
          <w:sz w:val="24"/>
          <w:szCs w:val="24"/>
        </w:rPr>
        <w:t xml:space="preserve">Four segmentation dimensions were engineered from existing variables:</w:t>
      </w:r>
    </w:p>
    <w:p>
      <w:pPr>
        <w:pStyle w:val="ListParagraph"/>
        <w:numPr>
          <w:ilvl w:val="0"/>
          <w:numId w:val="2"/>
        </w:numPr>
      </w:pPr>
      <w:r>
        <w:rPr>
          <w:rFonts w:ascii="Arial" w:cs="Arial" w:eastAsia="Arial" w:hAnsi="Arial"/>
          <w:sz w:val="24"/>
          <w:szCs w:val="24"/>
        </w:rPr>
        <w:t xml:space="preserve">Age Groups: &lt;30, 30-45, 46-60, 60+</w:t>
      </w:r>
    </w:p>
    <w:p>
      <w:pPr>
        <w:pStyle w:val="ListParagraph"/>
        <w:numPr>
          <w:ilvl w:val="0"/>
          <w:numId w:val="2"/>
        </w:numPr>
      </w:pPr>
      <w:r>
        <w:rPr>
          <w:rFonts w:ascii="Arial" w:cs="Arial" w:eastAsia="Arial" w:hAnsi="Arial"/>
          <w:sz w:val="24"/>
          <w:szCs w:val="24"/>
        </w:rPr>
        <w:t xml:space="preserve">Credit Score Bands: Low (&lt;580), Medium (580-670), High (&gt;670)</w:t>
      </w:r>
    </w:p>
    <w:p>
      <w:pPr>
        <w:pStyle w:val="ListParagraph"/>
        <w:numPr>
          <w:ilvl w:val="0"/>
          <w:numId w:val="2"/>
        </w:numPr>
      </w:pPr>
      <w:r>
        <w:rPr>
          <w:rFonts w:ascii="Arial" w:cs="Arial" w:eastAsia="Arial" w:hAnsi="Arial"/>
          <w:sz w:val="24"/>
          <w:szCs w:val="24"/>
        </w:rPr>
        <w:t xml:space="preserve">Tenure Groups: New (0-2 years), Mid-term (3-5 years), Long-term (6-10 years)</w:t>
      </w:r>
    </w:p>
    <w:p>
      <w:pPr>
        <w:pStyle w:val="ListParagraph"/>
        <w:numPr>
          <w:ilvl w:val="0"/>
          <w:numId w:val="2"/>
        </w:numPr>
      </w:pPr>
      <w:r>
        <w:rPr>
          <w:rFonts w:ascii="Arial" w:cs="Arial" w:eastAsia="Arial" w:hAnsi="Arial"/>
          <w:sz w:val="24"/>
          <w:szCs w:val="24"/>
        </w:rPr>
        <w:t xml:space="preserve">Balance Segments: Zero-balance, Low-balance (&lt;50,000), High-balance (&gt;50,000)</w:t>
      </w:r>
    </w:p>
    <w:p>
      <w:pPr>
        <w:spacing w:after="160"/>
      </w:pPr>
    </w:p>
    <w:p>
      <w:pPr>
        <w:pStyle w:val="Heading1"/>
      </w:pPr>
      <w:r>
        <w:rPr>
          <w:rFonts w:ascii="Arial" w:cs="Arial" w:eastAsia="Arial" w:hAnsi="Arial"/>
          <w:b/>
          <w:bCs/>
          <w:sz w:val="32"/>
          <w:szCs w:val="32"/>
        </w:rPr>
        <w:t xml:space="preserve">6. Key Findings and Analysis</w:t>
      </w:r>
    </w:p>
    <w:p>
      <w:pPr>
        <w:pStyle w:val="Heading2"/>
      </w:pPr>
      <w:r>
        <w:rPr>
          <w:rFonts w:ascii="Arial" w:cs="Arial" w:eastAsia="Arial" w:hAnsi="Arial"/>
          <w:b/>
          <w:bCs/>
          <w:sz w:val="28"/>
          <w:szCs w:val="28"/>
        </w:rPr>
        <w:t xml:space="preserve">6.1 Overall Churn Rate</w:t>
      </w:r>
    </w:p>
    <w:p>
      <w:pPr>
        <w:spacing w:after="160"/>
        <w:jc w:val="both"/>
      </w:pPr>
      <w:r>
        <w:rPr>
          <w:rFonts w:ascii="Arial" w:cs="Arial" w:eastAsia="Arial" w:hAnsi="Arial"/>
          <w:sz w:val="24"/>
          <w:szCs w:val="24"/>
        </w:rPr>
        <w:t xml:space="preserve">The overall churn rate across all 10,000 customers stands at 20.4%. This means approximately 1 in 5 customers has exited the bank, representing a significant revenue and relationship management challenge.</w:t>
      </w:r>
    </w:p>
    <w:p>
      <w:pPr>
        <w:pStyle w:val="Heading2"/>
      </w:pPr>
      <w:r>
        <w:rPr>
          <w:rFonts w:ascii="Arial" w:cs="Arial" w:eastAsia="Arial" w:hAnsi="Arial"/>
          <w:b/>
          <w:bCs/>
          <w:sz w:val="28"/>
          <w:szCs w:val="28"/>
        </w:rPr>
        <w:t xml:space="preserve">6.2 Geographic Analysis</w:t>
      </w:r>
    </w:p>
    <w:p>
      <w:pPr>
        <w:spacing w:after="160"/>
        <w:jc w:val="both"/>
      </w:pPr>
      <w:r>
        <w:rPr>
          <w:rFonts w:ascii="Arial" w:cs="Arial" w:eastAsia="Arial" w:hAnsi="Arial"/>
          <w:sz w:val="24"/>
          <w:szCs w:val="24"/>
        </w:rPr>
        <w:t xml:space="preserve">Geographic segmentation reveals a stark disparity in churn rates across the three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France</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16.15%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Below average — relatively stable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Spain</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16.67%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Below average — similar to France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Germany</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32.44%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 — 2x the European average</w:t>
            </w:r>
          </w:p>
        </w:tc>
      </w:tr>
    </w:tbl>
    <w:p>
      <w:pPr>
        <w:spacing w:after="200"/>
      </w:pPr>
    </w:p>
    <w:p>
      <w:pPr>
        <w:spacing w:after="160"/>
        <w:jc w:val="both"/>
      </w:pPr>
      <w:r>
        <w:rPr>
          <w:rFonts w:ascii="Arial" w:cs="Arial" w:eastAsia="Arial" w:hAnsi="Arial"/>
          <w:sz w:val="24"/>
          <w:szCs w:val="24"/>
        </w:rPr>
        <w:t xml:space="preserve">Germany presents the most alarming churn rate at 32.44%, more than double that of France and Spain. This geographic concentration of churn risk demands immediate, country-specific retention intervention.</w:t>
      </w:r>
    </w:p>
    <w:p>
      <w:pPr>
        <w:pStyle w:val="Heading2"/>
      </w:pPr>
      <w:r>
        <w:rPr>
          <w:rFonts w:ascii="Arial" w:cs="Arial" w:eastAsia="Arial" w:hAnsi="Arial"/>
          <w:b/>
          <w:bCs/>
          <w:sz w:val="28"/>
          <w:szCs w:val="28"/>
        </w:rPr>
        <w:t xml:space="preserve">6.3 Age Group Analysis</w:t>
      </w:r>
    </w:p>
    <w:p>
      <w:pPr>
        <w:spacing w:after="160"/>
        <w:jc w:val="both"/>
      </w:pPr>
      <w:r>
        <w:rPr>
          <w:rFonts w:ascii="Arial" w:cs="Arial" w:eastAsia="Arial" w:hAnsi="Arial"/>
          <w:sz w:val="24"/>
          <w:szCs w:val="24"/>
        </w:rPr>
        <w:t xml:space="preserve">Age-based segmentation uncovers the most striking pattern in the entire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Under 30</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7.52%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risk — young, engaged customers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to 45</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15.74%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 risk — monitor closely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46 to 60</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51.12%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 — majority are churning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 and above</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24.78%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Elevated risk — needs attention</w:t>
            </w:r>
          </w:p>
        </w:tc>
      </w:tr>
    </w:tbl>
    <w:p>
      <w:pPr>
        <w:spacing w:after="200"/>
      </w:pPr>
    </w:p>
    <w:p>
      <w:pPr>
        <w:spacing w:after="160"/>
        <w:jc w:val="both"/>
      </w:pPr>
      <w:r>
        <w:rPr>
          <w:rFonts w:ascii="Arial" w:cs="Arial" w:eastAsia="Arial" w:hAnsi="Arial"/>
          <w:sz w:val="24"/>
          <w:szCs w:val="24"/>
        </w:rPr>
        <w:t xml:space="preserve">The 46-60 age group exhibits a churn rate of 51.12% — meaning more than half of customers in this age bracket have exited the bank. This is the single most important finding of this study and warrants targeted retention programmes specifically designed for middle-aged customers.</w:t>
      </w:r>
    </w:p>
    <w:p>
      <w:pPr>
        <w:pStyle w:val="Heading2"/>
      </w:pPr>
      <w:r>
        <w:rPr>
          <w:rFonts w:ascii="Arial" w:cs="Arial" w:eastAsia="Arial" w:hAnsi="Arial"/>
          <w:b/>
          <w:bCs/>
          <w:sz w:val="28"/>
          <w:szCs w:val="28"/>
        </w:rPr>
        <w:t xml:space="preserve">6.4 Gender Analysis</w:t>
      </w:r>
    </w:p>
    <w:p>
      <w:pPr>
        <w:spacing w:after="160"/>
        <w:jc w:val="both"/>
      </w:pPr>
      <w:r>
        <w:rPr>
          <w:rFonts w:ascii="Arial" w:cs="Arial" w:eastAsia="Arial" w:hAnsi="Arial"/>
          <w:sz w:val="24"/>
          <w:szCs w:val="24"/>
        </w:rPr>
        <w:t xml:space="preserve">Female customers exhibit a higher churn rate (25.07%) compared to male customers (16.46%). This gender gap suggests that female customers may have unmet needs or lower satisfaction with current product offerings, warranting gender-specific engagement strategies.</w:t>
      </w:r>
    </w:p>
    <w:p>
      <w:pPr>
        <w:pStyle w:val="Heading2"/>
      </w:pPr>
      <w:r>
        <w:rPr>
          <w:rFonts w:ascii="Arial" w:cs="Arial" w:eastAsia="Arial" w:hAnsi="Arial"/>
          <w:b/>
          <w:bCs/>
          <w:sz w:val="28"/>
          <w:szCs w:val="28"/>
        </w:rPr>
        <w:t xml:space="preserve">6.5 Engagement and Activity</w:t>
      </w:r>
    </w:p>
    <w:p>
      <w:pPr>
        <w:spacing w:after="160"/>
        <w:jc w:val="both"/>
      </w:pPr>
      <w:r>
        <w:rPr>
          <w:rFonts w:ascii="Arial" w:cs="Arial" w:eastAsia="Arial" w:hAnsi="Arial"/>
          <w:sz w:val="24"/>
          <w:szCs w:val="24"/>
        </w:rPr>
        <w:t xml:space="preserve">Inactive members (IsActiveMember = 0) churn at a rate of 26.87%, compared to 14.27% for active members. This near-doubling of churn risk among inactive customers underscores the importance of proactive engagement campaigns to re-activate dormant accounts before they exit.</w:t>
      </w:r>
    </w:p>
    <w:p>
      <w:pPr>
        <w:pStyle w:val="Heading1"/>
      </w:pPr>
      <w:r>
        <w:rPr>
          <w:rFonts w:ascii="Arial" w:cs="Arial" w:eastAsia="Arial" w:hAnsi="Arial"/>
          <w:b/>
          <w:bCs/>
          <w:sz w:val="32"/>
          <w:szCs w:val="32"/>
        </w:rPr>
        <w:t xml:space="preserve">7. Key Performance Indicators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Overall Churn Rate</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20.4%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in 5 customers exiting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Highest Country Risk</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Germany 32.44%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2x European average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Highest Age Risk</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46-60 at 51.12%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Majority churning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 Gap</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F: 25.07% / M: 16.46%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Female customers higher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Inactivity Risk</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2"/>
                <w:szCs w:val="22"/>
              </w:rPr>
              <w:t xml:space="preserve">26.87% inactive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vs 14.27% active members</w:t>
            </w:r>
          </w:p>
        </w:tc>
      </w:tr>
    </w:tbl>
    <w:p>
      <w:pPr>
        <w:spacing w:after="200"/>
      </w:pPr>
    </w:p>
    <w:p>
      <w:pPr>
        <w:pStyle w:val="Heading1"/>
      </w:pPr>
      <w:r>
        <w:rPr>
          <w:rFonts w:ascii="Arial" w:cs="Arial" w:eastAsia="Arial" w:hAnsi="Arial"/>
          <w:b/>
          <w:bCs/>
          <w:sz w:val="32"/>
          <w:szCs w:val="32"/>
        </w:rPr>
        <w:t xml:space="preserve">8. Strategic Recommendations</w:t>
      </w:r>
    </w:p>
    <w:p>
      <w:pPr>
        <w:pStyle w:val="Heading2"/>
      </w:pPr>
      <w:r>
        <w:rPr>
          <w:rFonts w:ascii="Arial" w:cs="Arial" w:eastAsia="Arial" w:hAnsi="Arial"/>
          <w:b/>
          <w:bCs/>
          <w:sz w:val="28"/>
          <w:szCs w:val="28"/>
        </w:rPr>
        <w:t xml:space="preserve">8.1 Priority 1 — Germany Retention Campaign</w:t>
      </w:r>
    </w:p>
    <w:p>
      <w:pPr>
        <w:spacing w:after="160"/>
        <w:jc w:val="both"/>
      </w:pPr>
      <w:r>
        <w:rPr>
          <w:rFonts w:ascii="Arial" w:cs="Arial" w:eastAsia="Arial" w:hAnsi="Arial"/>
          <w:sz w:val="24"/>
          <w:szCs w:val="24"/>
        </w:rPr>
        <w:t xml:space="preserve">Given Germany's churn rate of 32.44%, the bank should immediately launch a dedicated retention programme for German customers. This should include personalised outreach, loyalty incentives, and improved local customer service quality.</w:t>
      </w:r>
    </w:p>
    <w:p>
      <w:pPr>
        <w:pStyle w:val="Heading2"/>
      </w:pPr>
      <w:r>
        <w:rPr>
          <w:rFonts w:ascii="Arial" w:cs="Arial" w:eastAsia="Arial" w:hAnsi="Arial"/>
          <w:b/>
          <w:bCs/>
          <w:sz w:val="28"/>
          <w:szCs w:val="28"/>
        </w:rPr>
        <w:t xml:space="preserve">8.2 Priority 2 — Middle-Aged Customer Engagement</w:t>
      </w:r>
    </w:p>
    <w:p>
      <w:pPr>
        <w:spacing w:after="160"/>
        <w:jc w:val="both"/>
      </w:pPr>
      <w:r>
        <w:rPr>
          <w:rFonts w:ascii="Arial" w:cs="Arial" w:eastAsia="Arial" w:hAnsi="Arial"/>
          <w:sz w:val="24"/>
          <w:szCs w:val="24"/>
        </w:rPr>
        <w:t xml:space="preserve">The 46-60 age group's 51.12% churn rate demands an urgent, targeted response. This segment likely has complex financial needs (retirement planning, mortgage management, wealth management) that may not be adequately addressed by current product offerings. Dedicated relationship managers and tailored product bundles are recommended.</w:t>
      </w:r>
    </w:p>
    <w:p>
      <w:pPr>
        <w:pStyle w:val="Heading2"/>
      </w:pPr>
      <w:r>
        <w:rPr>
          <w:rFonts w:ascii="Arial" w:cs="Arial" w:eastAsia="Arial" w:hAnsi="Arial"/>
          <w:b/>
          <w:bCs/>
          <w:sz w:val="28"/>
          <w:szCs w:val="28"/>
        </w:rPr>
        <w:t xml:space="preserve">8.3 Priority 3 — Female Customer Retention</w:t>
      </w:r>
    </w:p>
    <w:p>
      <w:pPr>
        <w:spacing w:after="160"/>
        <w:jc w:val="both"/>
      </w:pPr>
      <w:r>
        <w:rPr>
          <w:rFonts w:ascii="Arial" w:cs="Arial" w:eastAsia="Arial" w:hAnsi="Arial"/>
          <w:sz w:val="24"/>
          <w:szCs w:val="24"/>
        </w:rPr>
        <w:t xml:space="preserve">The gender churn gap should be addressed through targeted research into female customer satisfaction and tailored product development. Marketing campaigns and advisory services designed to meet the specific financial goals of female customers could meaningfully reduce this gap.</w:t>
      </w:r>
    </w:p>
    <w:p>
      <w:pPr>
        <w:pStyle w:val="Heading2"/>
      </w:pPr>
      <w:r>
        <w:rPr>
          <w:rFonts w:ascii="Arial" w:cs="Arial" w:eastAsia="Arial" w:hAnsi="Arial"/>
          <w:b/>
          <w:bCs/>
          <w:sz w:val="28"/>
          <w:szCs w:val="28"/>
        </w:rPr>
        <w:t xml:space="preserve">8.4 Priority 4 — Re-activation of Inactive Members</w:t>
      </w:r>
    </w:p>
    <w:p>
      <w:pPr>
        <w:spacing w:after="160"/>
        <w:jc w:val="both"/>
      </w:pPr>
      <w:r>
        <w:rPr>
          <w:rFonts w:ascii="Arial" w:cs="Arial" w:eastAsia="Arial" w:hAnsi="Arial"/>
          <w:sz w:val="24"/>
          <w:szCs w:val="24"/>
        </w:rPr>
        <w:t xml:space="preserve">Inactive members are nearly twice as likely to churn. An automated re-engagement campaign — including personalised emails, app notifications, and special offers — should be launched for all customers classified as inactive for more than 6 months.</w:t>
      </w:r>
    </w:p>
    <w:p>
      <w:pPr>
        <w:pStyle w:val="Heading1"/>
      </w:pPr>
      <w:r>
        <w:rPr>
          <w:rFonts w:ascii="Arial" w:cs="Arial" w:eastAsia="Arial" w:hAnsi="Arial"/>
          <w:b/>
          <w:bCs/>
          <w:sz w:val="32"/>
          <w:szCs w:val="32"/>
        </w:rPr>
        <w:t xml:space="preserve">9. Conclusion</w:t>
      </w:r>
    </w:p>
    <w:p>
      <w:pPr>
        <w:spacing w:after="160"/>
        <w:jc w:val="both"/>
      </w:pPr>
      <w:r>
        <w:rPr>
          <w:rFonts w:ascii="Arial" w:cs="Arial" w:eastAsia="Arial" w:hAnsi="Arial"/>
          <w:sz w:val="24"/>
          <w:szCs w:val="24"/>
        </w:rPr>
        <w:t xml:space="preserve">This study demonstrates that customer churn in European banking is not uniformly distributed — it is concentrated in specific, identifiable segments. The most critical findings are: Germany's churn rate is more than double that of France and Spain; customers aged 46-60 churn at a rate exceeding 50%; female and inactive customers exhibit elevated churn risk.</w:t>
      </w:r>
    </w:p>
    <w:p>
      <w:pPr>
        <w:spacing w:after="160"/>
        <w:jc w:val="both"/>
      </w:pPr>
      <w:r>
        <w:rPr>
          <w:rFonts w:ascii="Arial" w:cs="Arial" w:eastAsia="Arial" w:hAnsi="Arial"/>
          <w:sz w:val="24"/>
          <w:szCs w:val="24"/>
        </w:rPr>
        <w:t xml:space="preserve">These insights enable the bank to move from generic, reactive churn management to targeted, data-driven retention strategies. By prioritising resources toward the highest-risk segments — particularly middle-aged German customers — the bank can significantly reduce churn, preserve customer lifetime value, and improve revenue stability.</w:t>
      </w:r>
    </w:p>
    <w:p>
      <w:pPr>
        <w:spacing w:after="160"/>
        <w:jc w:val="both"/>
      </w:pPr>
      <w:r>
        <w:rPr>
          <w:rFonts w:ascii="Arial" w:cs="Arial" w:eastAsia="Arial" w:hAnsi="Arial"/>
          <w:sz w:val="24"/>
          <w:szCs w:val="24"/>
        </w:rPr>
        <w:t xml:space="preserve">Future work should incorporate predictive modelling to identify at-risk customers before they exit, enabling proactive rather than reactive intervention.</w:t>
      </w:r>
    </w:p>
    <w:p>
      <w:pPr>
        <w:pStyle w:val="Heading1"/>
      </w:pPr>
      <w:r>
        <w:rPr>
          <w:rFonts w:ascii="Arial" w:cs="Arial" w:eastAsia="Arial" w:hAnsi="Arial"/>
          <w:b/>
          <w:bCs/>
          <w:sz w:val="32"/>
          <w:szCs w:val="32"/>
        </w:rPr>
        <w:t xml:space="preserve">References</w:t>
      </w:r>
    </w:p>
    <w:p>
      <w:pPr>
        <w:spacing w:after="160"/>
        <w:jc w:val="both"/>
      </w:pPr>
      <w:r>
        <w:rPr>
          <w:rFonts w:ascii="Arial" w:cs="Arial" w:eastAsia="Arial" w:hAnsi="Arial"/>
          <w:sz w:val="24"/>
          <w:szCs w:val="24"/>
        </w:rPr>
        <w:t xml:space="preserve">1. European Central Bank (2023). Banking Supervision Report. Frankfurt: ECB Publications.</w:t>
      </w:r>
    </w:p>
    <w:p>
      <w:pPr>
        <w:spacing w:after="160"/>
        <w:jc w:val="both"/>
      </w:pPr>
      <w:r>
        <w:rPr>
          <w:rFonts w:ascii="Arial" w:cs="Arial" w:eastAsia="Arial" w:hAnsi="Arial"/>
          <w:sz w:val="24"/>
          <w:szCs w:val="24"/>
        </w:rPr>
        <w:t xml:space="preserve">2. McKinsey &amp; Company (2022). The Value of Getting Personalization Right in Retail Banking.</w:t>
      </w:r>
    </w:p>
    <w:p>
      <w:pPr>
        <w:spacing w:after="160"/>
        <w:jc w:val="both"/>
      </w:pPr>
      <w:r>
        <w:rPr>
          <w:rFonts w:ascii="Arial" w:cs="Arial" w:eastAsia="Arial" w:hAnsi="Arial"/>
          <w:sz w:val="24"/>
          <w:szCs w:val="24"/>
        </w:rPr>
        <w:t xml:space="preserve">3. Kaggle (2023). Bank Customer Churn Prediction Dataset. Available at: kaggle.com</w:t>
      </w:r>
    </w:p>
    <w:p>
      <w:pPr>
        <w:spacing w:after="160"/>
        <w:jc w:val="both"/>
      </w:pPr>
      <w:r>
        <w:rPr>
          <w:rFonts w:ascii="Arial" w:cs="Arial" w:eastAsia="Arial" w:hAnsi="Arial"/>
          <w:sz w:val="24"/>
          <w:szCs w:val="24"/>
        </w:rPr>
        <w:t xml:space="preserve">4. Pandas Development Team (2023). pandas: powerful Python data analysis toolkit.</w:t>
      </w:r>
    </w:p>
    <w:p>
      <w:pPr>
        <w:spacing w:after="160"/>
        <w:jc w:val="both"/>
      </w:pPr>
      <w:r>
        <w:rPr>
          <w:rFonts w:ascii="Arial" w:cs="Arial" w:eastAsia="Arial" w:hAnsi="Arial"/>
          <w:sz w:val="24"/>
          <w:szCs w:val="24"/>
        </w:rPr>
        <w:t xml:space="preserve">5. Streamlit Inc. (2023). Streamlit: The fastest way to build data apps.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Customer Segmentation &amp; Churn Pattern Analytics | European Banking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2026-06-01T18:18:09.220Z</dcterms:created>
  <dcterms:modified xsi:type="dcterms:W3CDTF">2026-06-01T18:18:09.220Z</dcterms:modified>
</cp:coreProperties>
</file>

<file path=docProps/custom.xml><?xml version="1.0" encoding="utf-8"?>
<Properties xmlns="http://schemas.openxmlformats.org/officeDocument/2006/custom-properties" xmlns:vt="http://schemas.openxmlformats.org/officeDocument/2006/docPropsVTypes"/>
</file>