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60"/>
        <w:jc w:val="center"/>
      </w:pPr>
      <w:r>
        <w:rPr>
          <w:rFonts w:ascii="Arial" w:cs="Arial" w:eastAsia="Arial" w:hAnsi="Arial"/>
          <w:b/>
          <w:bCs/>
          <w:color w:val="1B4F8A"/>
          <w:sz w:val="52"/>
          <w:szCs w:val="52"/>
        </w:rPr>
        <w:t xml:space="preserve">EXECUTIVE SUMMARY</w:t>
      </w:r>
    </w:p>
    <w:p>
      <w:pPr>
        <w:spacing w:after="120"/>
        <w:jc w:val="center"/>
      </w:pPr>
      <w:r>
        <w:rPr>
          <w:rFonts w:ascii="Arial" w:cs="Arial" w:eastAsia="Arial" w:hAnsi="Arial"/>
          <w:color w:val="2E5FA3"/>
          <w:sz w:val="34"/>
          <w:szCs w:val="34"/>
        </w:rPr>
        <w:t xml:space="preserve">Customer Segmentation &amp; Churn Pattern Analytics</w:t>
      </w:r>
    </w:p>
    <w:p>
      <w:pPr>
        <w:spacing w:after="320"/>
        <w:jc w:val="center"/>
      </w:pPr>
      <w:r>
        <w:rPr>
          <w:rFonts w:ascii="Arial" w:cs="Arial" w:eastAsia="Arial" w:hAnsi="Arial"/>
          <w:color w:val="2E5FA3"/>
          <w:sz w:val="30"/>
          <w:szCs w:val="30"/>
        </w:rPr>
        <w:t xml:space="preserve">in European Banking</w:t>
      </w:r>
    </w:p>
    <w:p>
      <w:pPr>
        <w:pBdr>
          <w:bottom w:val="single" w:color="1B4F8A" w:sz="8" w:space="1"/>
        </w:pBdr>
        <w:spacing w:after="200"/>
        <w:jc w:val="center"/>
      </w:pPr>
    </w:p>
    <w:p>
      <w:pPr>
        <w:spacing w:after="0" w:before="160"/>
      </w:pPr>
      <w:r>
        <w:t xml:space="preserve"/>
      </w:r>
    </w:p>
    <w:p>
      <w:pPr>
        <w:spacing w:after="80"/>
        <w:jc w:val="center"/>
      </w:pPr>
      <w:r>
        <w:rPr>
          <w:rFonts w:ascii="Arial" w:cs="Arial" w:eastAsia="Arial" w:hAnsi="Arial"/>
          <w:color w:val="555555"/>
          <w:sz w:val="22"/>
          <w:szCs w:val="22"/>
        </w:rPr>
        <w:t xml:space="preserve">Submitted to: The European Central Bank</w:t>
      </w:r>
    </w:p>
    <w:p>
      <w:pPr>
        <w:spacing w:after="80"/>
        <w:jc w:val="center"/>
      </w:pPr>
      <w:r>
        <w:rPr>
          <w:rFonts w:ascii="Arial" w:cs="Arial" w:eastAsia="Arial" w:hAnsi="Arial"/>
          <w:b/>
          <w:bCs/>
          <w:color w:val="C0392B"/>
          <w:sz w:val="22"/>
          <w:szCs w:val="22"/>
        </w:rPr>
        <w:t xml:space="preserve">Classification: Confidential — Government Stakeholders</w:t>
      </w:r>
    </w:p>
    <w:p>
      <w:pPr>
        <w:spacing w:after="80"/>
        <w:jc w:val="center"/>
      </w:pPr>
      <w:r>
        <w:rPr>
          <w:rFonts w:ascii="Arial" w:cs="Arial" w:eastAsia="Arial" w:hAnsi="Arial"/>
          <w:color w:val="888888"/>
          <w:sz w:val="20"/>
          <w:szCs w:val="20"/>
        </w:rPr>
        <w:t xml:space="preserve">Reference Period: 2024  |  Dataset: 10,000 Retail Banking Customers</w:t>
      </w:r>
    </w:p>
    <w:p>
      <w:pPr>
        <w:spacing w:after="480"/>
        <w:jc w:val="center"/>
      </w:pPr>
      <w:r>
        <w:rPr>
          <w:rFonts w:ascii="Arial" w:cs="Arial" w:eastAsia="Arial" w:hAnsi="Arial"/>
          <w:color w:val="888888"/>
          <w:sz w:val="20"/>
          <w:szCs w:val="20"/>
        </w:rPr>
        <w:t xml:space="preserve">Geographies Covered: France, Germany, Spain</w:t>
      </w:r>
    </w:p>
    <w:p>
      <w:pPr>
        <w:pStyle w:val="Heading1"/>
        <w:spacing w:after="160" w:before="360"/>
      </w:pPr>
      <w:r>
        <w:rPr>
          <w:rFonts w:ascii="Arial" w:cs="Arial" w:eastAsia="Arial" w:hAnsi="Arial"/>
          <w:b/>
          <w:bCs/>
          <w:color w:val="1B4F8A"/>
          <w:sz w:val="32"/>
          <w:szCs w:val="32"/>
        </w:rPr>
        <w:t xml:space="preserve">1. Purpose of This Document</w:t>
      </w:r>
    </w:p>
    <w:p>
      <w:pPr>
        <w:spacing w:after="80" w:before="80"/>
        <w:jc w:val="both"/>
      </w:pPr>
      <w:r>
        <w:rPr>
          <w:rFonts w:ascii="Arial" w:cs="Arial" w:eastAsia="Arial" w:hAnsi="Arial"/>
          <w:color w:val="333333"/>
          <w:sz w:val="22"/>
          <w:szCs w:val="22"/>
        </w:rPr>
        <w:t xml:space="preserve">This executive summary presents the key findings, risks, and strategic recommendations arising from a comprehensive churn analytics study of 10,000 retail banking customers across France, Germany, and Spain. The analysis was commissioned to enable evidence-based policy guidance, regulatory monitoring, and targeted retention strategy development across the European banking sector.</w:t>
      </w:r>
    </w:p>
    <w:p>
      <w:pPr>
        <w:spacing w:after="80" w:before="80"/>
        <w:jc w:val="both"/>
      </w:pPr>
      <w:r>
        <w:rPr>
          <w:rFonts w:ascii="Arial" w:cs="Arial" w:eastAsia="Arial" w:hAnsi="Arial"/>
          <w:color w:val="333333"/>
          <w:sz w:val="22"/>
          <w:szCs w:val="22"/>
        </w:rPr>
        <w:t xml:space="preserve">The full technical findings and analytical methodology are documented in the accompanying Research Paper. This summary is designed for senior government officials, regulatory bodies, and executive banking leadership who require actionable intelligence without operational detail.</w:t>
      </w:r>
    </w:p>
    <w:p>
      <w:pPr>
        <w:spacing w:after="0" w:before="80"/>
      </w:pPr>
      <w:r>
        <w:t xml:space="preserve"/>
      </w:r>
    </w:p>
    <w:p>
      <w:pPr>
        <w:pStyle w:val="Heading1"/>
        <w:spacing w:after="160" w:before="360"/>
      </w:pPr>
      <w:r>
        <w:rPr>
          <w:rFonts w:ascii="Arial" w:cs="Arial" w:eastAsia="Arial" w:hAnsi="Arial"/>
          <w:b/>
          <w:bCs/>
          <w:color w:val="1B4F8A"/>
          <w:sz w:val="32"/>
          <w:szCs w:val="32"/>
        </w:rPr>
        <w:t xml:space="preserve">2. Situation Overview</w:t>
      </w:r>
    </w:p>
    <w:p>
      <w:pPr>
        <w:spacing w:after="80" w:before="80"/>
        <w:jc w:val="both"/>
      </w:pPr>
      <w:r>
        <w:rPr>
          <w:rFonts w:ascii="Arial" w:cs="Arial" w:eastAsia="Arial" w:hAnsi="Arial"/>
          <w:color w:val="333333"/>
          <w:sz w:val="22"/>
          <w:szCs w:val="22"/>
        </w:rPr>
        <w:t xml:space="preserve">Customer churn — the permanent exit of customers from a banking relationship — represents a significant and measurable risk to European retail banking stability. The data reveals that 1 in 5 customers across the study cohort has exited their bank, representing a systemic challenge with direct implications for financial inclusion, revenue stability, and consumer confidence.</w:t>
      </w:r>
    </w:p>
    <w:p>
      <w:pPr>
        <w:spacing w:after="0" w:before="60"/>
      </w:pPr>
      <w:r>
        <w:t xml:space="preserve"/>
      </w:r>
    </w:p>
    <w:p>
      <w:pPr>
        <w:spacing w:after="80" w:before="80"/>
        <w:jc w:val="both"/>
      </w:pPr>
      <w:r>
        <w:rPr>
          <w:rFonts w:ascii="Arial" w:cs="Arial" w:eastAsia="Arial" w:hAnsi="Arial"/>
          <w:color w:val="333333"/>
          <w:sz w:val="22"/>
          <w:szCs w:val="22"/>
        </w:rPr>
        <w:t xml:space="preserve">The overall churn rate of 20.4% is not uniformly distributed. It is concentrated within specific, identifiable demographic and financial segments, which creates both a risk and an opportunity: targeted intervention can yield disproportionate retention impact.</w:t>
      </w:r>
    </w:p>
    <w:p>
      <w:pPr>
        <w:spacing w:after="0" w:before="80"/>
      </w:pPr>
      <w:r>
        <w:t xml:space="preserve"/>
      </w:r>
    </w:p>
    <w:p>
      <w:pPr>
        <w:pStyle w:val="Heading1"/>
        <w:spacing w:after="160" w:before="360"/>
      </w:pPr>
      <w:r>
        <w:rPr>
          <w:rFonts w:ascii="Arial" w:cs="Arial" w:eastAsia="Arial" w:hAnsi="Arial"/>
          <w:b/>
          <w:bCs/>
          <w:color w:val="1B4F8A"/>
          <w:sz w:val="32"/>
          <w:szCs w:val="32"/>
        </w:rPr>
        <w:t xml:space="preserve">3. Key Performance Indicators</w:t>
      </w:r>
    </w:p>
    <w:p>
      <w:pPr>
        <w:spacing w:after="80" w:before="80"/>
        <w:jc w:val="both"/>
      </w:pPr>
      <w:r>
        <w:rPr>
          <w:rFonts w:ascii="Arial" w:cs="Arial" w:eastAsia="Arial" w:hAnsi="Arial"/>
          <w:color w:val="333333"/>
          <w:sz w:val="22"/>
          <w:szCs w:val="22"/>
        </w:rPr>
        <w:t xml:space="preserve">The following metrics summarise the most critical findings from the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4F8A"/>
                <w:sz w:val="20"/>
                <w:szCs w:val="20"/>
              </w:rPr>
              <w:t xml:space="preserve">Overall Churn Rate</w:t>
            </w:r>
          </w:p>
        </w:tc>
        <w:tc>
          <w:tcPr>
            <w:tcW w:type="dxa" w:w="234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C0392B"/>
                <w:sz w:val="20"/>
                <w:szCs w:val="20"/>
              </w:rPr>
              <w:t xml:space="preserve">20.4%</w:t>
            </w:r>
          </w:p>
        </w:tc>
        <w:tc>
          <w:tcPr>
            <w:tcW w:type="dxa" w:w="39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333333"/>
                <w:sz w:val="20"/>
                <w:szCs w:val="20"/>
              </w:rPr>
              <w:t xml:space="preserve">1 in 5 customers exited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4F8A"/>
                <w:sz w:val="20"/>
                <w:szCs w:val="20"/>
              </w:rPr>
              <w:t xml:space="preserve">Germany Churn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32.44%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2x the European average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4F8A"/>
                <w:sz w:val="20"/>
                <w:szCs w:val="20"/>
              </w:rPr>
              <w:t xml:space="preserve">Age 46-60 Churn Rate</w:t>
            </w:r>
          </w:p>
        </w:tc>
        <w:tc>
          <w:tcPr>
            <w:tcW w:type="dxa" w:w="234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C0392B"/>
                <w:sz w:val="20"/>
                <w:szCs w:val="20"/>
              </w:rPr>
              <w:t xml:space="preserve">51.12%</w:t>
            </w:r>
          </w:p>
        </w:tc>
        <w:tc>
          <w:tcPr>
            <w:tcW w:type="dxa" w:w="39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333333"/>
                <w:sz w:val="20"/>
                <w:szCs w:val="20"/>
              </w:rPr>
              <w:t xml:space="preserve">Majority of segment churning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4F8A"/>
                <w:sz w:val="20"/>
                <w:szCs w:val="20"/>
              </w:rPr>
              <w:t xml:space="preserve">Female Churn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25.07%</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vs 16.46% for male customers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4F8A"/>
                <w:sz w:val="20"/>
                <w:szCs w:val="20"/>
              </w:rPr>
              <w:t xml:space="preserve">Inactive Member Churn</w:t>
            </w:r>
          </w:p>
        </w:tc>
        <w:tc>
          <w:tcPr>
            <w:tcW w:type="dxa" w:w="234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C0392B"/>
                <w:sz w:val="20"/>
                <w:szCs w:val="20"/>
              </w:rPr>
              <w:t xml:space="preserve">26.85%</w:t>
            </w:r>
          </w:p>
        </w:tc>
        <w:tc>
          <w:tcPr>
            <w:tcW w:type="dxa" w:w="39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333333"/>
                <w:sz w:val="20"/>
                <w:szCs w:val="20"/>
              </w:rPr>
              <w:t xml:space="preserve">vs 14.27% active members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4F8A"/>
                <w:sz w:val="20"/>
                <w:szCs w:val="20"/>
              </w:rPr>
              <w:t xml:space="preserve">High-Value Churn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23.95%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6,308 premium customers at risk</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4F8A"/>
                <w:sz w:val="20"/>
                <w:szCs w:val="20"/>
              </w:rPr>
              <w:t xml:space="preserve">Balance at Risk</w:t>
            </w:r>
          </w:p>
        </w:tc>
        <w:tc>
          <w:tcPr>
            <w:tcW w:type="dxa" w:w="234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C0392B"/>
                <w:sz w:val="20"/>
                <w:szCs w:val="20"/>
              </w:rPr>
              <w:t xml:space="preserve">€184.6M</w:t>
            </w:r>
          </w:p>
        </w:tc>
        <w:tc>
          <w:tcPr>
            <w:tcW w:type="dxa" w:w="39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333333"/>
                <w:sz w:val="20"/>
                <w:szCs w:val="20"/>
              </w:rPr>
              <w:t xml:space="preserve">From high-value churners alone</w:t>
            </w:r>
          </w:p>
        </w:tc>
      </w:tr>
    </w:tbl>
    <w:p>
      <w:pPr>
        <w:spacing w:after="0" w:before="160"/>
      </w:pPr>
      <w:r>
        <w:t xml:space="preserve"/>
      </w:r>
    </w:p>
    <w:p>
      <w:pPr>
        <w:pStyle w:val="Heading1"/>
        <w:spacing w:after="160" w:before="360"/>
      </w:pPr>
      <w:r>
        <w:rPr>
          <w:rFonts w:ascii="Arial" w:cs="Arial" w:eastAsia="Arial" w:hAnsi="Arial"/>
          <w:b/>
          <w:bCs/>
          <w:color w:val="1B4F8A"/>
          <w:sz w:val="32"/>
          <w:szCs w:val="32"/>
        </w:rPr>
        <w:t xml:space="preserve">4. Critical Risk Findings</w:t>
      </w:r>
    </w:p>
    <w:p>
      <w:pPr>
        <w:pStyle w:val="Heading2"/>
        <w:spacing w:after="120" w:before="240"/>
      </w:pPr>
      <w:r>
        <w:rPr>
          <w:rFonts w:ascii="Arial" w:cs="Arial" w:eastAsia="Arial" w:hAnsi="Arial"/>
          <w:b/>
          <w:bCs/>
          <w:color w:val="2E5FA3"/>
          <w:sz w:val="26"/>
          <w:szCs w:val="26"/>
        </w:rPr>
        <w:t xml:space="preserve">4.1  Germany: A National-Level Retention Crisis</w:t>
      </w:r>
    </w:p>
    <w:p>
      <w:pPr>
        <w:spacing w:after="80" w:before="80"/>
        <w:jc w:val="both"/>
      </w:pPr>
      <w:r>
        <w:rPr>
          <w:rFonts w:ascii="Arial" w:cs="Arial" w:eastAsia="Arial" w:hAnsi="Arial"/>
          <w:color w:val="333333"/>
          <w:sz w:val="22"/>
          <w:szCs w:val="22"/>
        </w:rPr>
        <w:t xml:space="preserve">Germany's churn rate of 32.44% is the most alarming geographic finding in this study. It is more than double the rates observed in France (16.15%) and Spain (16.67%), suggesting structural or competitive factors specific to the German retail banking environment. This disproportionate concentration of churn risk demands immediate country-level regulatory and operational attention.</w:t>
      </w:r>
    </w:p>
    <w:p>
      <w:pPr>
        <w:pStyle w:val="Heading2"/>
        <w:spacing w:after="120" w:before="240"/>
      </w:pPr>
      <w:r>
        <w:rPr>
          <w:rFonts w:ascii="Arial" w:cs="Arial" w:eastAsia="Arial" w:hAnsi="Arial"/>
          <w:b/>
          <w:bCs/>
          <w:color w:val="2E5FA3"/>
          <w:sz w:val="26"/>
          <w:szCs w:val="26"/>
        </w:rPr>
        <w:t xml:space="preserve">4.2  Middle-Aged Customers: The Highest-Risk Demographic</w:t>
      </w:r>
    </w:p>
    <w:p>
      <w:pPr>
        <w:spacing w:after="80" w:before="80"/>
        <w:jc w:val="both"/>
      </w:pPr>
      <w:r>
        <w:rPr>
          <w:rFonts w:ascii="Arial" w:cs="Arial" w:eastAsia="Arial" w:hAnsi="Arial"/>
          <w:color w:val="333333"/>
          <w:sz w:val="22"/>
          <w:szCs w:val="22"/>
        </w:rPr>
        <w:t xml:space="preserve">Customers aged 46 to 60 churn at a rate of 51.12% — meaning the majority of customers in this age bracket have exited their bank. This is the single most alarming demographic finding of this study. Customers in this segment are typically at peak earning and saving capacity, making their exit disproportionately damaging to long-term bank revenue and customer lifetime value.</w:t>
      </w:r>
    </w:p>
    <w:p>
      <w:pPr>
        <w:pStyle w:val="Heading2"/>
        <w:spacing w:after="120" w:before="240"/>
      </w:pPr>
      <w:r>
        <w:rPr>
          <w:rFonts w:ascii="Arial" w:cs="Arial" w:eastAsia="Arial" w:hAnsi="Arial"/>
          <w:b/>
          <w:bCs/>
          <w:color w:val="2E5FA3"/>
          <w:sz w:val="26"/>
          <w:szCs w:val="26"/>
        </w:rPr>
        <w:t xml:space="preserve">4.3  Gender Disparity in Churn</w:t>
      </w:r>
    </w:p>
    <w:p>
      <w:pPr>
        <w:spacing w:after="80" w:before="80"/>
        <w:jc w:val="both"/>
      </w:pPr>
      <w:r>
        <w:rPr>
          <w:rFonts w:ascii="Arial" w:cs="Arial" w:eastAsia="Arial" w:hAnsi="Arial"/>
          <w:color w:val="333333"/>
          <w:sz w:val="22"/>
          <w:szCs w:val="22"/>
        </w:rPr>
        <w:t xml:space="preserve">Female customers exit at a rate of 25.07%, compared to 16.46% for male customers — a gap of 8.6 percentage points. This sustained gender disparity suggests systemic differences in product fit, service experience, or financial advisory accessibility for female customers. This merits focused investigation and targeted intervention.</w:t>
      </w:r>
    </w:p>
    <w:p>
      <w:pPr>
        <w:pStyle w:val="Heading2"/>
        <w:spacing w:after="120" w:before="240"/>
      </w:pPr>
      <w:r>
        <w:rPr>
          <w:rFonts w:ascii="Arial" w:cs="Arial" w:eastAsia="Arial" w:hAnsi="Arial"/>
          <w:b/>
          <w:bCs/>
          <w:color w:val="2E5FA3"/>
          <w:sz w:val="26"/>
          <w:szCs w:val="26"/>
        </w:rPr>
        <w:t xml:space="preserve">4.4  Inactive Member Risk</w:t>
      </w:r>
    </w:p>
    <w:p>
      <w:pPr>
        <w:spacing w:after="80" w:before="80"/>
        <w:jc w:val="both"/>
      </w:pPr>
      <w:r>
        <w:rPr>
          <w:rFonts w:ascii="Arial" w:cs="Arial" w:eastAsia="Arial" w:hAnsi="Arial"/>
          <w:color w:val="333333"/>
          <w:sz w:val="22"/>
          <w:szCs w:val="22"/>
        </w:rPr>
        <w:t xml:space="preserve">Inactive members churn at nearly double the rate of active members (26.85% vs 14.27%). Inactivity is a leading indicator of imminent churn and presents a concrete, actionable intervention point: re-engagement campaigns targeting dormant accounts before they exit.</w:t>
      </w:r>
    </w:p>
    <w:p>
      <w:pPr>
        <w:pStyle w:val="Heading2"/>
        <w:spacing w:after="120" w:before="240"/>
      </w:pPr>
      <w:r>
        <w:rPr>
          <w:rFonts w:ascii="Arial" w:cs="Arial" w:eastAsia="Arial" w:hAnsi="Arial"/>
          <w:b/>
          <w:bCs/>
          <w:color w:val="2E5FA3"/>
          <w:sz w:val="26"/>
          <w:szCs w:val="26"/>
        </w:rPr>
        <w:t xml:space="preserve">4.5  High-Value Customer Revenue Exposure</w:t>
      </w:r>
    </w:p>
    <w:p>
      <w:pPr>
        <w:spacing w:after="80" w:before="80"/>
        <w:jc w:val="both"/>
      </w:pPr>
      <w:r>
        <w:rPr>
          <w:rFonts w:ascii="Arial" w:cs="Arial" w:eastAsia="Arial" w:hAnsi="Arial"/>
          <w:color w:val="333333"/>
          <w:sz w:val="22"/>
          <w:szCs w:val="22"/>
        </w:rPr>
        <w:t xml:space="preserve">Of 6,308 customers classified as high-value (account balance exceeding €50,000), 1,511 have churned — placing an estimated €184.6 million in managed balances at risk. Germany accounts for the highest concentration of high-value churn, compounding the geographic risk identified above.</w:t>
      </w:r>
    </w:p>
    <w:p>
      <w:pPr>
        <w:spacing w:after="0" w:before="80"/>
      </w:pPr>
      <w:r>
        <w:t xml:space="preserve"/>
      </w:r>
    </w:p>
    <w:p>
      <w:pPr>
        <w:pStyle w:val="Heading1"/>
        <w:spacing w:after="160" w:before="360"/>
      </w:pPr>
      <w:r>
        <w:rPr>
          <w:rFonts w:ascii="Arial" w:cs="Arial" w:eastAsia="Arial" w:hAnsi="Arial"/>
          <w:b/>
          <w:bCs/>
          <w:color w:val="1B4F8A"/>
          <w:sz w:val="32"/>
          <w:szCs w:val="32"/>
        </w:rPr>
        <w:t xml:space="preserve">5. Strategic Recommendations</w:t>
      </w:r>
    </w:p>
    <w:p>
      <w:pPr>
        <w:spacing w:after="80" w:before="80"/>
        <w:jc w:val="both"/>
      </w:pPr>
      <w:r>
        <w:rPr>
          <w:rFonts w:ascii="Arial" w:cs="Arial" w:eastAsia="Arial" w:hAnsi="Arial"/>
          <w:color w:val="333333"/>
          <w:sz w:val="22"/>
          <w:szCs w:val="22"/>
        </w:rPr>
        <w:t xml:space="preserve">Based on the quantified risk profile above, the following four priority actions are recommended for immediate government and institutional response: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Target Segment</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1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bCs/>
                <w:color w:val="1B4F8A"/>
                <w:sz w:val="20"/>
                <w:szCs w:val="20"/>
              </w:rPr>
              <w:t xml:space="preserve">P1</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Germany Retention Programme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German customers</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Reduce 32.44% churn toward European average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4F8A"/>
                <w:sz w:val="20"/>
                <w:szCs w:val="20"/>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Middle-Age Engagement Strategy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Customers aged 46-60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Address 51.12% churn — the highest-risk segment</w:t>
            </w:r>
          </w:p>
        </w:tc>
      </w:tr>
      <w:tr>
        <w:tc>
          <w:tcPr>
            <w:tcW w:type="dxa" w:w="1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bCs/>
                <w:color w:val="1B4F8A"/>
                <w:sz w:val="20"/>
                <w:szCs w:val="20"/>
              </w:rPr>
              <w:t xml:space="preserve">P3</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Female Customer Satisfaction Initiative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Female customers</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 the 8.6pp gender churn gap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4F8A"/>
                <w:sz w:val="20"/>
                <w:szCs w:val="20"/>
              </w:rPr>
              <w:t xml:space="preserve">P4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Inactive Member Re-activation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Inactive members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Halve inactivity-driven churn with early intervention</w:t>
            </w:r>
          </w:p>
        </w:tc>
      </w:tr>
    </w:tbl>
    <w:p>
      <w:pPr>
        <w:spacing w:after="0" w:before="120"/>
      </w:pPr>
      <w:r>
        <w:t xml:space="preserve"/>
      </w:r>
    </w:p>
    <w:p>
      <w:pPr>
        <w:pStyle w:val="Heading2"/>
        <w:spacing w:after="120" w:before="240"/>
      </w:pPr>
      <w:r>
        <w:rPr>
          <w:rFonts w:ascii="Arial" w:cs="Arial" w:eastAsia="Arial" w:hAnsi="Arial"/>
          <w:b/>
          <w:bCs/>
          <w:color w:val="2E5FA3"/>
          <w:sz w:val="26"/>
          <w:szCs w:val="26"/>
        </w:rPr>
        <w:t xml:space="preserve">5.1  Priority 1 — Germany National Retention Programme</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Commission an immediate qualitative study into German customer dissatisfaction drivers.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Mandate German retail banks to implement personalised outreach for at-risk customers.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Introduce loyalty incentive frameworks with regulatory oversight.</w:t>
      </w:r>
    </w:p>
    <w:p>
      <w:pPr>
        <w:pStyle w:val="Heading2"/>
        <w:spacing w:after="120" w:before="240"/>
      </w:pPr>
      <w:r>
        <w:rPr>
          <w:rFonts w:ascii="Arial" w:cs="Arial" w:eastAsia="Arial" w:hAnsi="Arial"/>
          <w:b/>
          <w:bCs/>
          <w:color w:val="2E5FA3"/>
          <w:sz w:val="26"/>
          <w:szCs w:val="26"/>
        </w:rPr>
        <w:t xml:space="preserve">5.2  Priority 2 — Middle-Aged Customer Engagement</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Develop tailored retirement planning, mortgage advisory, and wealth management products.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Assign dedicated relationship managers to customers aged 46-60 with declining engagement.</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Launch a national financial wellbeing programme targeting mid-life banking transitions.</w:t>
      </w:r>
    </w:p>
    <w:p>
      <w:pPr>
        <w:pStyle w:val="Heading2"/>
        <w:spacing w:after="120" w:before="240"/>
      </w:pPr>
      <w:r>
        <w:rPr>
          <w:rFonts w:ascii="Arial" w:cs="Arial" w:eastAsia="Arial" w:hAnsi="Arial"/>
          <w:b/>
          <w:bCs/>
          <w:color w:val="2E5FA3"/>
          <w:sz w:val="26"/>
          <w:szCs w:val="26"/>
        </w:rPr>
        <w:t xml:space="preserve">5.3  Priority 3 — Female Customer Retention</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Conduct a gender-disaggregated satisfaction survey across all three geographies.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Develop female-focused financial advisory services and product bundles.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Set measurable gender parity targets for churn rates within 24 months.</w:t>
      </w:r>
    </w:p>
    <w:p>
      <w:pPr>
        <w:pStyle w:val="Heading2"/>
        <w:spacing w:after="120" w:before="240"/>
      </w:pPr>
      <w:r>
        <w:rPr>
          <w:rFonts w:ascii="Arial" w:cs="Arial" w:eastAsia="Arial" w:hAnsi="Arial"/>
          <w:b/>
          <w:bCs/>
          <w:color w:val="2E5FA3"/>
          <w:sz w:val="26"/>
          <w:szCs w:val="26"/>
        </w:rPr>
        <w:t xml:space="preserve">5.4  Priority 4 — Inactive Member Re-activation</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Deploy automated engagement campaigns for accounts inactive for more than 6 months.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Introduce tiered re-activation incentives (fee waivers, preferential rates).</w:t>
      </w:r>
    </w:p>
    <w:p>
      <w:pPr>
        <w:pStyle w:val="ListParagraph"/>
        <w:numPr>
          <w:ilvl w:val="0"/>
          <w:numId w:val="2"/>
        </w:numPr>
        <w:spacing w:after="60" w:before="60"/>
      </w:pPr>
      <w:r>
        <w:rPr>
          <w:rFonts w:ascii="Arial" w:cs="Arial" w:eastAsia="Arial" w:hAnsi="Arial"/>
          <w:b/>
          <w:bCs/>
          <w:color w:val="1B4F8A"/>
          <w:sz w:val="22"/>
          <w:szCs w:val="22"/>
        </w:rPr>
        <w:t xml:space="preserve">Action: </w:t>
      </w:r>
      <w:r>
        <w:rPr>
          <w:rFonts w:ascii="Arial" w:cs="Arial" w:eastAsia="Arial" w:hAnsi="Arial"/>
          <w:color w:val="333333"/>
          <w:sz w:val="22"/>
          <w:szCs w:val="22"/>
        </w:rPr>
        <w:t xml:space="preserve">Establish a regulatory reporting requirement for inactivity-to-churn conversion rates.</w:t>
      </w:r>
    </w:p>
    <w:p>
      <w:pPr>
        <w:spacing w:after="0" w:before="80"/>
      </w:pPr>
      <w:r>
        <w:t xml:space="preserve"/>
      </w:r>
    </w:p>
    <w:p>
      <w:pPr>
        <w:pStyle w:val="Heading1"/>
        <w:spacing w:after="160" w:before="360"/>
      </w:pPr>
      <w:r>
        <w:rPr>
          <w:rFonts w:ascii="Arial" w:cs="Arial" w:eastAsia="Arial" w:hAnsi="Arial"/>
          <w:b/>
          <w:bCs/>
          <w:color w:val="1B4F8A"/>
          <w:sz w:val="32"/>
          <w:szCs w:val="32"/>
        </w:rPr>
        <w:t xml:space="preserve">6. Regulatory Implications</w:t>
      </w:r>
    </w:p>
    <w:p>
      <w:pPr>
        <w:spacing w:after="80" w:before="80"/>
        <w:jc w:val="both"/>
      </w:pPr>
      <w:r>
        <w:rPr>
          <w:rFonts w:ascii="Arial" w:cs="Arial" w:eastAsia="Arial" w:hAnsi="Arial"/>
          <w:color w:val="333333"/>
          <w:sz w:val="22"/>
          <w:szCs w:val="22"/>
        </w:rPr>
        <w:t xml:space="preserve">The findings of this study have direct relevance to three areas of European banking regulation:</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Financial Inclusion: The concentration of churn among middle-aged and female customers raises financial inclusion concerns that may warrant supervisory review under ECB consumer protection frameworks.</w:t>
      </w:r>
    </w:p>
    <w:p>
      <w:pPr>
        <w:pStyle w:val="ListParagraph"/>
        <w:numPr>
          <w:ilvl w:val="0"/>
          <w:numId w:val="2"/>
        </w:numPr>
        <w:spacing w:after="60" w:before="60"/>
      </w:pPr>
      <w:r>
        <w:rPr>
          <w:rFonts w:ascii="Arial" w:cs="Arial" w:eastAsia="Arial" w:hAnsi="Arial"/>
          <w:color w:val="333333"/>
          <w:sz w:val="22"/>
          <w:szCs w:val="22"/>
        </w:rPr>
        <w:t xml:space="preserve">Market Stability: Germany's outsized churn rate may indicate a competitive or structural disruption in the German retail banking market that warrants monitoring under EBA stress testing guidelines.</w:t>
      </w:r>
    </w:p>
    <w:p>
      <w:pPr>
        <w:pStyle w:val="ListParagraph"/>
        <w:numPr>
          <w:ilvl w:val="0"/>
          <w:numId w:val="2"/>
        </w:numPr>
        <w:spacing w:after="60" w:before="60"/>
      </w:pPr>
      <w:r>
        <w:rPr>
          <w:rFonts w:ascii="Arial" w:cs="Arial" w:eastAsia="Arial" w:hAnsi="Arial"/>
          <w:color w:val="333333"/>
          <w:sz w:val="22"/>
          <w:szCs w:val="22"/>
        </w:rPr>
        <w:t xml:space="preserve">Data-Driven Supervision: The quantification of churn risk by segment provides a model for regulators to incorporate customer retention analytics into ongoing supervisory reporting requirements.</w:t>
      </w:r>
    </w:p>
    <w:p>
      <w:pPr>
        <w:spacing w:after="0" w:before="80"/>
      </w:pPr>
      <w:r>
        <w:t xml:space="preserve"/>
      </w:r>
    </w:p>
    <w:p>
      <w:pPr>
        <w:pStyle w:val="Heading1"/>
        <w:spacing w:after="160" w:before="360"/>
      </w:pPr>
      <w:r>
        <w:rPr>
          <w:rFonts w:ascii="Arial" w:cs="Arial" w:eastAsia="Arial" w:hAnsi="Arial"/>
          <w:b/>
          <w:bCs/>
          <w:color w:val="1B4F8A"/>
          <w:sz w:val="32"/>
          <w:szCs w:val="32"/>
        </w:rPr>
        <w:t xml:space="preserve">7. Conclusion</w:t>
      </w:r>
    </w:p>
    <w:p>
      <w:pPr>
        <w:spacing w:after="80" w:before="80"/>
        <w:jc w:val="both"/>
      </w:pPr>
      <w:r>
        <w:rPr>
          <w:rFonts w:ascii="Arial" w:cs="Arial" w:eastAsia="Arial" w:hAnsi="Arial"/>
          <w:color w:val="333333"/>
          <w:sz w:val="22"/>
          <w:szCs w:val="22"/>
        </w:rPr>
        <w:t xml:space="preserve">European retail banking faces a measurable, segment-concentrated churn challenge. This analysis demonstrates that 20.4% of customers are exiting — and that this risk is not random. It is concentrated in Germany, among customers aged 46-60, among female customers, and among those classified as inactive.</w:t>
      </w:r>
    </w:p>
    <w:p>
      <w:pPr>
        <w:spacing w:after="0" w:before="60"/>
      </w:pPr>
      <w:r>
        <w:t xml:space="preserve"/>
      </w:r>
    </w:p>
    <w:p>
      <w:pPr>
        <w:spacing w:after="80" w:before="80"/>
        <w:jc w:val="both"/>
      </w:pPr>
      <w:r>
        <w:rPr>
          <w:rFonts w:ascii="Arial" w:cs="Arial" w:eastAsia="Arial" w:hAnsi="Arial"/>
          <w:color w:val="333333"/>
          <w:sz w:val="22"/>
          <w:szCs w:val="22"/>
        </w:rPr>
        <w:t xml:space="preserve">The strategic opportunity is clear: by directing retention resources toward these identified high-risk segments, European banks — supported by evidence-based regulatory guidance — can meaningfully reduce churn, preserve customer lifetime value, protect €184.6M in at-risk balances, and strengthen long-term banking sector stability.</w:t>
      </w:r>
    </w:p>
    <w:p>
      <w:pPr>
        <w:spacing w:after="0" w:before="60"/>
      </w:pPr>
      <w:r>
        <w:t xml:space="preserve"/>
      </w:r>
    </w:p>
    <w:p>
      <w:pPr>
        <w:spacing w:after="80" w:before="80"/>
        <w:jc w:val="both"/>
      </w:pPr>
      <w:r>
        <w:rPr>
          <w:rFonts w:ascii="Arial" w:cs="Arial" w:eastAsia="Arial" w:hAnsi="Arial"/>
          <w:color w:val="333333"/>
          <w:sz w:val="22"/>
          <w:szCs w:val="22"/>
        </w:rPr>
        <w:t xml:space="preserve">Future work should incorporate predictive modelling to flag individual customers before they exit, enabling proactive rather than reactive intervention across the European banking landscape.</w:t>
      </w:r>
    </w:p>
    <w:p>
      <w:pPr>
        <w:spacing w:after="0" w:before="120"/>
      </w:pPr>
      <w:r>
        <w:t xml:space="preserve"/>
      </w:r>
    </w:p>
    <w:p>
      <w:pPr>
        <w:pBdr>
          <w:bottom w:val="single" w:color="1B4F8A" w:sz="8" w:space="1"/>
        </w:pBdr>
        <w:spacing w:after="200"/>
      </w:pPr>
    </w:p>
    <w:p>
      <w:pPr>
        <w:spacing w:after="80" w:before="120"/>
        <w:jc w:val="both"/>
      </w:pPr>
      <w:r>
        <w:rPr>
          <w:rFonts w:ascii="Arial" w:cs="Arial" w:eastAsia="Arial" w:hAnsi="Arial"/>
          <w:i/>
          <w:iCs/>
          <w:color w:val="888888"/>
          <w:sz w:val="18"/>
          <w:szCs w:val="18"/>
        </w:rPr>
        <w:t xml:space="preserve">This document was prepared as part of the Customer Segmentation &amp; Churn Pattern Analytics Project (2024). All data is derived from a European retail banking dataset of 10,000 customers. For the full technical methodology and findings, refer to the accompanying Research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before="120"/>
      <w:jc w:val="center"/>
    </w:pPr>
    <w:r>
      <w:rPr>
        <w:rFonts w:ascii="Arial" w:cs="Arial" w:eastAsia="Arial" w:hAnsi="Arial"/>
        <w:color w:val="888888"/>
        <w:sz w:val="18"/>
        <w:szCs w:val="18"/>
      </w:rPr>
      <w:t xml:space="preserve">Customer Churn Analytics — European Banking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120"/>
      <w:jc w:val="right"/>
    </w:pPr>
    <w:r>
      <w:rPr>
        <w:rFonts w:ascii="Arial" w:cs="Arial" w:eastAsia="Arial" w:hAnsi="Arial"/>
        <w:i/>
        <w:iCs/>
        <w:color w:val="888888"/>
        <w:sz w:val="18"/>
        <w:szCs w:val="18"/>
      </w:rPr>
      <w:t xml:space="preserve">CONFIDENTIAL — For Government Stakeholders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2026-06-01T19:39:11.796Z</dcterms:created>
  <dcterms:modified xsi:type="dcterms:W3CDTF">2026-06-01T19:39:11.796Z</dcterms:modified>
</cp:coreProperties>
</file>

<file path=docProps/custom.xml><?xml version="1.0" encoding="utf-8"?>
<Properties xmlns="http://schemas.openxmlformats.org/officeDocument/2006/custom-properties" xmlns:vt="http://schemas.openxmlformats.org/officeDocument/2006/docPropsVTypes"/>
</file>