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F3864"/>
          <w:sz w:val="44"/>
          <w:szCs w:val="44"/>
        </w:rPr>
        <w:t xml:space="preserve">Project Planning</w:t>
      </w:r>
    </w:p>
    <w:p>
      <w:pPr>
        <w:spacing w:after="200"/>
        <w:jc w:val="center"/>
      </w:pPr>
      <w:r>
        <w:rPr>
          <w:color w:val="595959"/>
          <w:sz w:val="26"/>
          <w:szCs w:val="26"/>
        </w:rPr>
        <w:t xml:space="preserve">Early Risk Prediction Agent — BSc (Hons) Computing Dissertation (CMP600)</w:t>
      </w:r>
    </w:p>
    <w:p>
      <w:pPr>
        <w:spacing w:after="360"/>
        <w:jc w:val="center"/>
      </w:pPr>
      <w:r>
        <w:rPr>
          <w:color w:val="595959"/>
          <w:sz w:val="22"/>
          <w:szCs w:val="22"/>
        </w:rPr>
        <w:t xml:space="preserve">Marcel Bucur · Student ID 2310-111665</w:t>
      </w:r>
    </w:p>
    <w:p>
      <w:pPr>
        <w:spacing w:after="80"/>
        <w:jc w:val="left"/>
      </w:pPr>
      <w:r>
        <w:rPr>
          <w:b w:val="false"/>
          <w:bCs w:val="false"/>
          <w:i w:val="false"/>
          <w:iCs w:val="false"/>
          <w:color w:val="000000"/>
          <w:sz w:val="22"/>
          <w:szCs w:val="22"/>
        </w:rPr>
        <w:t xml:space="preserve">This document sets out the project plan for the Early Risk Prediction Agent dissertation, in line with the CMP600 brief (Project Planning and Design section). It covers the work breakdown structure, the eight-month timeline as a Gantt chart, milestone gates, resource planning, and risk assessment. The plan was managed in an agile fashion through four sprints, each with its own planning and retrospective card on the project board:</w:t>
      </w:r>
    </w:p>
    <w:p>
      <w:pPr>
        <w:spacing w:after="80"/>
        <w:jc w:val="left"/>
      </w:pPr>
      <w:r>
        <w:rPr>
          <w:b w:val="false"/>
          <w:bCs w:val="false"/>
          <w:i/>
          <w:iCs/>
          <w:color w:val="2F5496"/>
          <w:sz w:val="22"/>
          <w:szCs w:val="22"/>
        </w:rPr>
        <w:t xml:space="preserve">https://github.com/users/expertul76/projects/3</w:t>
      </w:r>
    </w:p>
    <w:p>
      <w:pPr>
        <w:spacing w:after="80"/>
        <w:jc w:val="left"/>
      </w:pPr>
      <w:r>
        <w:rPr>
          <w:b w:val="false"/>
          <w:bCs w:val="false"/>
          <w:i w:val="false"/>
          <w:iCs w:val="false"/>
          <w:color w:val="000000"/>
          <w:sz w:val="22"/>
          <w:szCs w:val="22"/>
        </w:rPr>
        <w:t xml:space="preserve">The corresponding code repository is at:</w:t>
      </w:r>
    </w:p>
    <w:p>
      <w:pPr>
        <w:spacing w:after="80"/>
        <w:jc w:val="left"/>
      </w:pPr>
      <w:r>
        <w:rPr>
          <w:b w:val="false"/>
          <w:bCs w:val="false"/>
          <w:i/>
          <w:iCs/>
          <w:color w:val="2F5496"/>
          <w:sz w:val="22"/>
          <w:szCs w:val="22"/>
        </w:rPr>
        <w:t xml:space="preserve">https://github.com/expertul76/Early-Risk-Prediction-Agent-BSc-Dissertation-CMP600-</w:t>
      </w:r>
    </w:p>
    <w:p>
      <w:pPr>
        <w:pStyle w:val="Heading1"/>
        <w:spacing w:after="140" w:before="280"/>
      </w:pPr>
      <w:r>
        <w:rPr>
          <w:b/>
          <w:bCs/>
          <w:sz w:val="32"/>
          <w:szCs w:val="32"/>
        </w:rPr>
        <w:t xml:space="preserve">1. Sprint Summary</w:t>
      </w:r>
    </w:p>
    <w:p>
      <w:pPr>
        <w:spacing w:after="80"/>
        <w:jc w:val="left"/>
      </w:pPr>
      <w:r>
        <w:rPr>
          <w:b w:val="false"/>
          <w:bCs w:val="false"/>
          <w:i w:val="false"/>
          <w:iCs w:val="false"/>
          <w:color w:val="000000"/>
          <w:sz w:val="22"/>
          <w:szCs w:val="22"/>
        </w:rPr>
        <w:t xml:space="preserve">The project was decomposed into four sprints, each ending with a retrospective card and feeding into one or more milestones.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700"/>
        <w:gridCol w:w="5500"/>
        <w:gridCol w:w="2958"/>
      </w:tblGrid>
      <w:tr>
        <w:tc>
          <w:tcPr>
            <w:tcW w:type="dxa" w:w="8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8"/>
                <w:szCs w:val="18"/>
              </w:rPr>
              <w:t xml:space="preserve">Sprint</w:t>
            </w:r>
          </w:p>
        </w:tc>
        <w:tc>
          <w:tcPr>
            <w:tcW w:type="dxa" w:w="20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Period</w:t>
            </w:r>
          </w:p>
        </w:tc>
        <w:tc>
          <w:tcPr>
            <w:tcW w:type="dxa" w:w="27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Theme</w:t>
            </w:r>
          </w:p>
        </w:tc>
        <w:tc>
          <w:tcPr>
            <w:tcW w:type="dxa" w:w="55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Output</w:t>
            </w:r>
          </w:p>
        </w:tc>
        <w:tc>
          <w:tcPr>
            <w:tcW w:type="dxa" w:w="2958"/>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Milestone</w:t>
            </w:r>
          </w:p>
        </w:tc>
      </w:tr>
      <w:tr>
        <w:tc>
          <w:tcPr>
            <w:tcW w:type="dxa" w:w="800"/>
            <w:tcBorders>
              <w:top w:val="single" w:color="BFBFBF" w:sz="4"/>
              <w:left w:val="single" w:color="BFBFBF" w:sz="4"/>
              <w:bottom w:val="single" w:color="BFBFBF" w:sz="4"/>
              <w:right w:val="single" w:color="BFBFBF" w:sz="4"/>
            </w:tcBorders>
            <w:shd w:fill="BBDEFB"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Oct – Nov 2025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Research &amp; Proposal</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Literature base, research question, approved proposal</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M1 — Proposal approved</w:t>
            </w:r>
          </w:p>
        </w:tc>
      </w:tr>
      <w:tr>
        <w:tc>
          <w:tcPr>
            <w:tcW w:type="dxa" w:w="800"/>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Nov 2025 – Jan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Risk Engine design (n8n prototype)</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Working risk engine; four no-code limits surfaced</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M2 — Risk engine prototype</w:t>
            </w:r>
          </w:p>
        </w:tc>
      </w:tr>
      <w:tr>
        <w:tc>
          <w:tcPr>
            <w:tcW w:type="dxa" w:w="800"/>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Jan – Mar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Hybrid pivot &amp; UI build</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React + PHP hybrid system live on shared hosting</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M3 — Hybrid architecture</w:t>
            </w:r>
          </w:p>
        </w:tc>
      </w:tr>
      <w:tr>
        <w:tc>
          <w:tcPr>
            <w:tcW w:type="dxa" w:w="800"/>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Mar – May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Evaluation &amp; write-up</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Four-dimensional evaluation, Chapters 5–7, Viva Pack, submission</w:t>
            </w:r>
          </w:p>
        </w:tc>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M4 — Evaluation · M5 — Submission</w:t>
            </w:r>
          </w:p>
        </w:tc>
      </w:tr>
    </w:tbl>
    <w:p>
      <w:r>
        <w:br w:type="page"/>
      </w:r>
    </w:p>
    <w:p>
      <w:pPr>
        <w:pStyle w:val="Heading1"/>
        <w:spacing w:after="140" w:before="280"/>
      </w:pPr>
      <w:r>
        <w:rPr>
          <w:b/>
          <w:bCs/>
          <w:sz w:val="32"/>
          <w:szCs w:val="32"/>
        </w:rPr>
        <w:t xml:space="preserve">2. Work Breakdown Structure (WBS)</w:t>
      </w:r>
    </w:p>
    <w:p>
      <w:pPr>
        <w:spacing w:after="80"/>
        <w:jc w:val="left"/>
      </w:pPr>
      <w:r>
        <w:rPr>
          <w:b w:val="false"/>
          <w:bCs w:val="false"/>
          <w:i w:val="false"/>
          <w:iCs w:val="false"/>
          <w:color w:val="000000"/>
          <w:sz w:val="22"/>
          <w:szCs w:val="22"/>
        </w:rPr>
        <w:t xml:space="preserve">Tasks are numbered hierarchically by sprint. Milestone gates are marked with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500"/>
        <w:gridCol w:w="12458"/>
      </w:tblGrid>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bCs/>
                <w:color w:val="000000"/>
                <w:sz w:val="18"/>
                <w:szCs w:val="18"/>
              </w:rPr>
              <w:t xml:space="preserve">1.</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bCs/>
                <w:color w:val="000000"/>
                <w:sz w:val="18"/>
                <w:szCs w:val="18"/>
              </w:rPr>
              <w:t xml:space="preserve">Research &amp; Proposal</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1.1</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Literature review — EWS &amp; learning analytics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1.2</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Literature review — no-code &amp; low-code AI</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1.3</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Define research question &amp; sub-questions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1.4</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Identify risk factors from literature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1.5</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Write and submit Proposal  ★ M1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bCs/>
                <w:color w:val="000000"/>
                <w:sz w:val="18"/>
                <w:szCs w:val="18"/>
              </w:rPr>
              <w:t xml:space="preserve">2.</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bCs/>
                <w:color w:val="000000"/>
                <w:sz w:val="18"/>
                <w:szCs w:val="18"/>
              </w:rPr>
              <w:t xml:space="preserve">Design &amp; Risk Engine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2.1</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Design risk-scoring algorithm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2.2</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Define trend penalty &amp; streak bonus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2.3</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Build n8n prototype workflow</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2.4</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Test risk engine on synthetic data</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2.5</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Document architecture decisions  ★ M2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bCs/>
                <w:color w:val="000000"/>
                <w:sz w:val="18"/>
                <w:szCs w:val="18"/>
              </w:rPr>
              <w:t xml:space="preserve">3.</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bCs/>
                <w:color w:val="000000"/>
                <w:sz w:val="18"/>
                <w:szCs w:val="18"/>
              </w:rPr>
              <w:t xml:space="preserve">Hybrid Pivot &amp; UI</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3.1</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Document four limits of pure no-code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3.2</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Port risk engine to TypeScript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3.3</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Build dashboard (Overview / Students / Export)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3.4</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Implement Teacher Review control</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3.5</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Build PHP registration &amp; persistence layer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3.6</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Integrate optional AI sentiment (Gemini)</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3.7</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Deploy to commodity shared hosting  ★ M3</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bCs/>
                <w:color w:val="000000"/>
                <w:sz w:val="18"/>
                <w:szCs w:val="18"/>
              </w:rPr>
              <w:t xml:space="preserve">4.</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bCs/>
                <w:color w:val="000000"/>
                <w:sz w:val="18"/>
                <w:szCs w:val="18"/>
              </w:rPr>
              <w:t xml:space="preserve">Evaluation &amp; Write-up</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4.1</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Generate synthetic data</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4.2</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Four-dimensional evaluation  ★ M4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4.3</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Write Chapter 5 — Evaluation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4.4</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Write Chapter 6 — Discussion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4.5</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Write Chapter 7 — Conclusion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4.6</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Assemble Viva Pack</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4.7</w:t>
            </w:r>
          </w:p>
        </w:tc>
        <w:tc>
          <w:tcPr>
            <w:tcW w:type="dxa" w:w="124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Final submission to Turnitin  ★ M5</w:t>
            </w:r>
          </w:p>
        </w:tc>
      </w:tr>
    </w:tbl>
    <w:p>
      <w:r>
        <w:br w:type="page"/>
      </w:r>
    </w:p>
    <w:p>
      <w:pPr>
        <w:pStyle w:val="Heading1"/>
        <w:spacing w:after="140" w:before="280"/>
      </w:pPr>
      <w:r>
        <w:rPr>
          <w:b/>
          <w:bCs/>
          <w:sz w:val="32"/>
          <w:szCs w:val="32"/>
        </w:rPr>
        <w:t xml:space="preserve">3. Gantt Chart</w:t>
      </w:r>
    </w:p>
    <w:p>
      <w:pPr>
        <w:spacing w:after="80"/>
        <w:jc w:val="left"/>
      </w:pPr>
      <w:r>
        <w:rPr>
          <w:b w:val="false"/>
          <w:bCs w:val="false"/>
          <w:i w:val="false"/>
          <w:iCs w:val="false"/>
          <w:color w:val="000000"/>
          <w:sz w:val="22"/>
          <w:szCs w:val="22"/>
        </w:rPr>
        <w:t xml:space="preserve">Each row is a task from the WBS. Cells are shaded for the months during which work was active. Sprint colour-coding follows the legend below. Red cells with ◆ mark milestone gates.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107"/>
        <w:gridCol w:w="1107"/>
        <w:gridCol w:w="1107"/>
        <w:gridCol w:w="1107"/>
        <w:gridCol w:w="1107"/>
        <w:gridCol w:w="1107"/>
        <w:gridCol w:w="1107"/>
        <w:gridCol w:w="1107"/>
      </w:tblGrid>
      <w:tr>
        <w:trPr>
          <w:tblHeader/>
        </w:trPr>
        <w:tc>
          <w:tcPr>
            <w:tcW w:type="dxa" w:w="6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8"/>
                <w:szCs w:val="18"/>
              </w:rPr>
              <w:t xml:space="preserve">ID</w:t>
            </w:r>
          </w:p>
        </w:tc>
        <w:tc>
          <w:tcPr>
            <w:tcW w:type="dxa" w:w="45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Task</w:t>
            </w:r>
          </w:p>
        </w:tc>
        <w:tc>
          <w:tcPr>
            <w:tcW w:type="dxa" w:w="1107"/>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6"/>
                <w:szCs w:val="16"/>
              </w:rPr>
              <w:t xml:space="preserve">Oct 2025</w:t>
            </w:r>
          </w:p>
        </w:tc>
        <w:tc>
          <w:tcPr>
            <w:tcW w:type="dxa" w:w="1107"/>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6"/>
                <w:szCs w:val="16"/>
              </w:rPr>
              <w:t xml:space="preserve">Nov 2025</w:t>
            </w:r>
          </w:p>
        </w:tc>
        <w:tc>
          <w:tcPr>
            <w:tcW w:type="dxa" w:w="1107"/>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6"/>
                <w:szCs w:val="16"/>
              </w:rPr>
              <w:t xml:space="preserve">Dec 2025</w:t>
            </w:r>
          </w:p>
        </w:tc>
        <w:tc>
          <w:tcPr>
            <w:tcW w:type="dxa" w:w="1107"/>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6"/>
                <w:szCs w:val="16"/>
              </w:rPr>
              <w:t xml:space="preserve">Jan 2026</w:t>
            </w:r>
          </w:p>
        </w:tc>
        <w:tc>
          <w:tcPr>
            <w:tcW w:type="dxa" w:w="1107"/>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6"/>
                <w:szCs w:val="16"/>
              </w:rPr>
              <w:t xml:space="preserve">Feb 2026</w:t>
            </w:r>
          </w:p>
        </w:tc>
        <w:tc>
          <w:tcPr>
            <w:tcW w:type="dxa" w:w="1107"/>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6"/>
                <w:szCs w:val="16"/>
              </w:rPr>
              <w:t xml:space="preserve">Mar 2026</w:t>
            </w:r>
          </w:p>
        </w:tc>
        <w:tc>
          <w:tcPr>
            <w:tcW w:type="dxa" w:w="1107"/>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6"/>
                <w:szCs w:val="16"/>
              </w:rPr>
              <w:t xml:space="preserve">Apr 2026</w:t>
            </w:r>
          </w:p>
        </w:tc>
        <w:tc>
          <w:tcPr>
            <w:tcW w:type="dxa" w:w="1107"/>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6"/>
                <w:szCs w:val="16"/>
              </w:rPr>
              <w:t xml:space="preserve">May 2026</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1.1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Literature review — EWS &amp; learning analytics</w:t>
            </w:r>
          </w:p>
        </w:tc>
        <w:tc>
          <w:tcPr>
            <w:tcW w:type="dxa" w:w="1107"/>
            <w:tcBorders>
              <w:top w:val="single" w:color="BFBFBF" w:sz="4"/>
              <w:left w:val="single" w:color="BFBFBF" w:sz="4"/>
              <w:bottom w:val="single" w:color="BFBFBF" w:sz="4"/>
              <w:right w:val="single" w:color="BFBFBF" w:sz="4"/>
            </w:tcBorders>
            <w:shd w:fill="BBDEFB"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BBDEFB"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1.2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Literature review — no-code &amp; low-code AI</w:t>
            </w:r>
          </w:p>
        </w:tc>
        <w:tc>
          <w:tcPr>
            <w:tcW w:type="dxa" w:w="1107"/>
            <w:tcBorders>
              <w:top w:val="single" w:color="BFBFBF" w:sz="4"/>
              <w:left w:val="single" w:color="BFBFBF" w:sz="4"/>
              <w:bottom w:val="single" w:color="BFBFBF" w:sz="4"/>
              <w:right w:val="single" w:color="BFBFBF" w:sz="4"/>
            </w:tcBorders>
            <w:shd w:fill="BBDEFB"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BBDEFB"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1.3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Define research question &amp; sub-questions</w:t>
            </w:r>
          </w:p>
        </w:tc>
        <w:tc>
          <w:tcPr>
            <w:tcW w:type="dxa" w:w="1107"/>
            <w:tcBorders>
              <w:top w:val="single" w:color="BFBFBF" w:sz="4"/>
              <w:left w:val="single" w:color="BFBFBF" w:sz="4"/>
              <w:bottom w:val="single" w:color="BFBFBF" w:sz="4"/>
              <w:right w:val="single" w:color="BFBFBF" w:sz="4"/>
            </w:tcBorders>
            <w:shd w:fill="BBDEFB"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1.4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Identify risk factors from literature</w:t>
            </w:r>
          </w:p>
        </w:tc>
        <w:tc>
          <w:tcPr>
            <w:tcW w:type="dxa" w:w="1107"/>
            <w:tcBorders>
              <w:top w:val="single" w:color="BFBFBF" w:sz="4"/>
              <w:left w:val="single" w:color="BFBFBF" w:sz="4"/>
              <w:bottom w:val="single" w:color="BFBFBF" w:sz="4"/>
              <w:right w:val="single" w:color="BFBFBF" w:sz="4"/>
            </w:tcBorders>
            <w:shd w:fill="BBDEFB"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BBDEFB"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1.5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Write and submit Proposal</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44336" w:val="clear"/>
            <w:tcMar>
              <w:top w:type="dxa" w:w="60"/>
              <w:left w:type="dxa" w:w="100"/>
              <w:bottom w:type="dxa" w:w="60"/>
              <w:right w:type="dxa" w:w="100"/>
            </w:tcMar>
            <w:vAlign w:val="center"/>
          </w:tcPr>
          <w:p>
            <w:pPr>
              <w:spacing w:after="0" w:before="0"/>
              <w:jc w:val="center"/>
            </w:pPr>
            <w:r>
              <w:rPr>
                <w:b/>
                <w:bCs/>
                <w:color w:val="FFFFFF"/>
                <w:sz w:val="16"/>
                <w:szCs w:val="16"/>
              </w:rPr>
              <w:t xml:space="preserve">◆ M1</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2.1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Design risk-scoring algorithm (35/35/30)</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2.2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Define trend penalty &amp; streak bonus</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2.3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Build n8n prototype workflow</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2.4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Test risk engine on synthetic data</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2.5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Document architecture decisions</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44336" w:val="clear"/>
            <w:tcMar>
              <w:top w:type="dxa" w:w="60"/>
              <w:left w:type="dxa" w:w="100"/>
              <w:bottom w:type="dxa" w:w="60"/>
              <w:right w:type="dxa" w:w="100"/>
            </w:tcMar>
            <w:vAlign w:val="center"/>
          </w:tcPr>
          <w:p>
            <w:pPr>
              <w:spacing w:after="0" w:before="0"/>
              <w:jc w:val="center"/>
            </w:pPr>
            <w:r>
              <w:rPr>
                <w:b/>
                <w:bCs/>
                <w:color w:val="FFFFFF"/>
                <w:sz w:val="16"/>
                <w:szCs w:val="16"/>
              </w:rPr>
              <w:t xml:space="preserve">◆ M2</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3.1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Document four limits of pure no-code</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3.2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Port risk engine to TypeScript</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3.3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Build dashboard — Overview / Students / Export</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3.4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Implement Teacher Review control</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3.5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Build PHP registration &amp; persistence layer</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3.6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Integrate optional AI sentiment (Gemini)</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3.7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Deploy to commodity shared hosting</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44336" w:val="clear"/>
            <w:tcMar>
              <w:top w:type="dxa" w:w="60"/>
              <w:left w:type="dxa" w:w="100"/>
              <w:bottom w:type="dxa" w:w="60"/>
              <w:right w:type="dxa" w:w="100"/>
            </w:tcMar>
            <w:vAlign w:val="center"/>
          </w:tcPr>
          <w:p>
            <w:pPr>
              <w:spacing w:after="0" w:before="0"/>
              <w:jc w:val="center"/>
            </w:pPr>
            <w:r>
              <w:rPr>
                <w:b/>
                <w:bCs/>
                <w:color w:val="FFFFFF"/>
                <w:sz w:val="16"/>
                <w:szCs w:val="16"/>
              </w:rPr>
              <w:t xml:space="preserve">◆ M3</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4.1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Generate synthetic data — 5 archetypes × 4 cohorts</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4.2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Four-dimensional evaluation</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44336" w:val="clear"/>
            <w:tcMar>
              <w:top w:type="dxa" w:w="60"/>
              <w:left w:type="dxa" w:w="100"/>
              <w:bottom w:type="dxa" w:w="60"/>
              <w:right w:type="dxa" w:w="100"/>
            </w:tcMar>
            <w:vAlign w:val="center"/>
          </w:tcPr>
          <w:p>
            <w:pPr>
              <w:spacing w:after="0" w:before="0"/>
              <w:jc w:val="center"/>
            </w:pPr>
            <w:r>
              <w:rPr>
                <w:b/>
                <w:bCs/>
                <w:color w:val="FFFFFF"/>
                <w:sz w:val="16"/>
                <w:szCs w:val="16"/>
              </w:rPr>
              <w:t xml:space="preserve">◆ M4</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4.3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Write Chapter 5 — Evaluation</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4.4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Write Chapter 6 — Discussion</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4.5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Write Chapter 7 — Conclusion</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4.6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Assemble Viva Pack</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bCs/>
                <w:color w:val="000000"/>
                <w:sz w:val="18"/>
                <w:szCs w:val="18"/>
              </w:rPr>
              <w:t xml:space="preserve">4.7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Final submission to Turnitin</w:t>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
            </w:r>
          </w:p>
        </w:tc>
        <w:tc>
          <w:tcPr>
            <w:tcW w:type="dxa" w:w="1107"/>
            <w:tcBorders>
              <w:top w:val="single" w:color="BFBFBF" w:sz="4"/>
              <w:left w:val="single" w:color="BFBFBF" w:sz="4"/>
              <w:bottom w:val="single" w:color="BFBFBF" w:sz="4"/>
              <w:right w:val="single" w:color="BFBFBF" w:sz="4"/>
            </w:tcBorders>
            <w:shd w:fill="F44336" w:val="clear"/>
            <w:tcMar>
              <w:top w:type="dxa" w:w="60"/>
              <w:left w:type="dxa" w:w="100"/>
              <w:bottom w:type="dxa" w:w="60"/>
              <w:right w:type="dxa" w:w="100"/>
            </w:tcMar>
            <w:vAlign w:val="center"/>
          </w:tcPr>
          <w:p>
            <w:pPr>
              <w:spacing w:after="0" w:before="0"/>
              <w:jc w:val="center"/>
            </w:pPr>
            <w:r>
              <w:rPr>
                <w:b/>
                <w:bCs/>
                <w:color w:val="FFFFFF"/>
                <w:sz w:val="16"/>
                <w:szCs w:val="16"/>
              </w:rPr>
              <w:t xml:space="preserve">◆ M5</w:t>
            </w:r>
          </w:p>
        </w:tc>
      </w:tr>
    </w:tbl>
    <w:p>
      <w:pPr>
        <w:spacing w:after="120" w:before="200"/>
      </w:pPr>
      <w:r>
        <w:rPr>
          <w:b/>
          <w:bCs/>
          <w:sz w:val="22"/>
          <w:szCs w:val="22"/>
        </w:rPr>
        <w:t xml:space="preserve">Legend</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gridCol w:w="2700"/>
      </w:tblGrid>
      <w:tr>
        <w:tc>
          <w:tcPr>
            <w:tcW w:type="dxa" w:w="2700"/>
            <w:tcBorders>
              <w:top w:val="single" w:color="BFBFBF" w:sz="4"/>
              <w:left w:val="single" w:color="BFBFBF" w:sz="4"/>
              <w:bottom w:val="single" w:color="BFBFBF" w:sz="4"/>
              <w:right w:val="single" w:color="BFBFBF" w:sz="4"/>
            </w:tcBorders>
            <w:shd w:fill="BBDEFB" w:val="clear"/>
            <w:tcMar>
              <w:top w:type="dxa" w:w="60"/>
              <w:left w:type="dxa" w:w="120"/>
              <w:bottom w:type="dxa" w:w="60"/>
              <w:right w:type="dxa" w:w="120"/>
            </w:tcMar>
          </w:tcPr>
          <w:p>
            <w:pPr>
              <w:jc w:val="center"/>
            </w:pPr>
            <w:r>
              <w:rPr>
                <w:b/>
                <w:bCs/>
                <w:sz w:val="18"/>
                <w:szCs w:val="18"/>
              </w:rPr>
              <w:t xml:space="preserve">Sprint 1 — Research</w:t>
            </w:r>
          </w:p>
        </w:tc>
        <w:tc>
          <w:tcPr>
            <w:tcW w:type="dxa" w:w="2700"/>
            <w:tcBorders>
              <w:top w:val="single" w:color="BFBFBF" w:sz="4"/>
              <w:left w:val="single" w:color="BFBFBF" w:sz="4"/>
              <w:bottom w:val="single" w:color="BFBFBF" w:sz="4"/>
              <w:right w:val="single" w:color="BFBFBF" w:sz="4"/>
            </w:tcBorders>
            <w:shd w:fill="C8E6C9" w:val="clear"/>
            <w:tcMar>
              <w:top w:type="dxa" w:w="60"/>
              <w:left w:type="dxa" w:w="120"/>
              <w:bottom w:type="dxa" w:w="60"/>
              <w:right w:type="dxa" w:w="120"/>
            </w:tcMar>
          </w:tcPr>
          <w:p>
            <w:pPr>
              <w:jc w:val="center"/>
            </w:pPr>
            <w:r>
              <w:rPr>
                <w:b/>
                <w:bCs/>
                <w:sz w:val="18"/>
                <w:szCs w:val="18"/>
              </w:rPr>
              <w:t xml:space="preserve">Sprint 2 — Risk Engine</w:t>
            </w:r>
          </w:p>
        </w:tc>
        <w:tc>
          <w:tcPr>
            <w:tcW w:type="dxa" w:w="2700"/>
            <w:tcBorders>
              <w:top w:val="single" w:color="BFBFBF" w:sz="4"/>
              <w:left w:val="single" w:color="BFBFBF" w:sz="4"/>
              <w:bottom w:val="single" w:color="BFBFBF" w:sz="4"/>
              <w:right w:val="single" w:color="BFBFBF" w:sz="4"/>
            </w:tcBorders>
            <w:shd w:fill="FFE0B2" w:val="clear"/>
            <w:tcMar>
              <w:top w:type="dxa" w:w="60"/>
              <w:left w:type="dxa" w:w="120"/>
              <w:bottom w:type="dxa" w:w="60"/>
              <w:right w:type="dxa" w:w="120"/>
            </w:tcMar>
          </w:tcPr>
          <w:p>
            <w:pPr>
              <w:jc w:val="center"/>
            </w:pPr>
            <w:r>
              <w:rPr>
                <w:b/>
                <w:bCs/>
                <w:sz w:val="18"/>
                <w:szCs w:val="18"/>
              </w:rPr>
              <w:t xml:space="preserve">Sprint 3 — Hybrid &amp; UI</w:t>
            </w:r>
          </w:p>
        </w:tc>
        <w:tc>
          <w:tcPr>
            <w:tcW w:type="dxa" w:w="2700"/>
            <w:tcBorders>
              <w:top w:val="single" w:color="BFBFBF" w:sz="4"/>
              <w:left w:val="single" w:color="BFBFBF" w:sz="4"/>
              <w:bottom w:val="single" w:color="BFBFBF" w:sz="4"/>
              <w:right w:val="single" w:color="BFBFBF" w:sz="4"/>
            </w:tcBorders>
            <w:shd w:fill="FFCDD2" w:val="clear"/>
            <w:tcMar>
              <w:top w:type="dxa" w:w="60"/>
              <w:left w:type="dxa" w:w="120"/>
              <w:bottom w:type="dxa" w:w="60"/>
              <w:right w:type="dxa" w:w="120"/>
            </w:tcMar>
          </w:tcPr>
          <w:p>
            <w:pPr>
              <w:jc w:val="center"/>
            </w:pPr>
            <w:r>
              <w:rPr>
                <w:b/>
                <w:bCs/>
                <w:sz w:val="18"/>
                <w:szCs w:val="18"/>
              </w:rPr>
              <w:t xml:space="preserve">Sprint 4 — Evaluation</w:t>
            </w:r>
          </w:p>
        </w:tc>
        <w:tc>
          <w:tcPr>
            <w:tcW w:type="dxa" w:w="2700"/>
            <w:tcBorders>
              <w:top w:val="single" w:color="BFBFBF" w:sz="4"/>
              <w:left w:val="single" w:color="BFBFBF" w:sz="4"/>
              <w:bottom w:val="single" w:color="BFBFBF" w:sz="4"/>
              <w:right w:val="single" w:color="BFBFBF" w:sz="4"/>
            </w:tcBorders>
            <w:shd w:fill="F44336" w:val="clear"/>
            <w:tcMar>
              <w:top w:type="dxa" w:w="60"/>
              <w:left w:type="dxa" w:w="120"/>
              <w:bottom w:type="dxa" w:w="60"/>
              <w:right w:type="dxa" w:w="120"/>
            </w:tcMar>
          </w:tcPr>
          <w:p>
            <w:pPr>
              <w:jc w:val="center"/>
            </w:pPr>
            <w:r>
              <w:rPr>
                <w:b/>
                <w:bCs/>
                <w:sz w:val="18"/>
                <w:szCs w:val="18"/>
              </w:rPr>
              <w:t xml:space="preserve">◆ Milestone</w:t>
            </w:r>
          </w:p>
        </w:tc>
      </w:tr>
    </w:tbl>
    <w:p>
      <w:r>
        <w:br w:type="page"/>
      </w:r>
    </w:p>
    <w:p>
      <w:pPr>
        <w:pStyle w:val="Heading1"/>
        <w:spacing w:after="140" w:before="280"/>
      </w:pPr>
      <w:r>
        <w:rPr>
          <w:b/>
          <w:bCs/>
          <w:sz w:val="32"/>
          <w:szCs w:val="32"/>
        </w:rPr>
        <w:t xml:space="preserve">4. Milestones</w:t>
      </w:r>
    </w:p>
    <w:p>
      <w:pPr>
        <w:spacing w:after="80"/>
        <w:jc w:val="left"/>
      </w:pPr>
      <w:r>
        <w:rPr>
          <w:b w:val="false"/>
          <w:bCs w:val="false"/>
          <w:i w:val="false"/>
          <w:iCs w:val="false"/>
          <w:color w:val="000000"/>
          <w:sz w:val="22"/>
          <w:szCs w:val="22"/>
        </w:rPr>
        <w:t xml:space="preserve">Each milestone is a hard gate: work could not move into the next sprint until the milestone's acceptance criteria were satisfied. M1, M2 and M3 are all closed against the four-sprint plan; M4 and M5 were the final two gates for evaluation and submission.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8258"/>
      </w:tblGrid>
      <w:tr>
        <w:tc>
          <w:tcPr>
            <w:tcW w:type="dxa" w:w="35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Milestone</w:t>
            </w:r>
          </w:p>
        </w:tc>
        <w:tc>
          <w:tcPr>
            <w:tcW w:type="dxa" w:w="22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Target</w:t>
            </w:r>
          </w:p>
        </w:tc>
        <w:tc>
          <w:tcPr>
            <w:tcW w:type="dxa" w:w="8258"/>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Acceptance criteria</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M1 — Proposal approved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End of Nov 2025</w:t>
            </w:r>
          </w:p>
        </w:tc>
        <w:tc>
          <w:tcPr>
            <w:tcW w:type="dxa" w:w="82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Supervisor approval; research question, sub-questions, methodology documented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M2 — Risk engine prototype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End of Jan 2026</w:t>
            </w:r>
          </w:p>
        </w:tc>
        <w:tc>
          <w:tcPr>
            <w:tcW w:type="dxa" w:w="82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n8n workflow scores synthetic CSVs end-to-end; weights documented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M3 — Hybrid architecture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End of Mar 2026</w:t>
            </w:r>
          </w:p>
        </w:tc>
        <w:tc>
          <w:tcPr>
            <w:tcW w:type="dxa" w:w="82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Live system at marcel.deansygrove.co.uk; all three dashboard tabs functional</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M4 — Evaluation complete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End of Apr 2026</w:t>
            </w:r>
          </w:p>
        </w:tc>
        <w:tc>
          <w:tcPr>
            <w:tcW w:type="dxa" w:w="82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Four-dimensional framework applied across all five archetypes and four cohort sizes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M5 — Final submission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End of May 2026</w:t>
            </w:r>
          </w:p>
        </w:tc>
        <w:tc>
          <w:tcPr>
            <w:tcW w:type="dxa" w:w="82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Dissertation + product ZIP uploaded to Turnitin; Viva slot scheduled</w:t>
            </w:r>
          </w:p>
        </w:tc>
      </w:tr>
    </w:tbl>
    <w:p>
      <w:r>
        <w:br w:type="page"/>
      </w:r>
    </w:p>
    <w:p>
      <w:pPr>
        <w:pStyle w:val="Heading1"/>
        <w:spacing w:after="140" w:before="280"/>
      </w:pPr>
      <w:r>
        <w:rPr>
          <w:b/>
          <w:bCs/>
          <w:sz w:val="32"/>
          <w:szCs w:val="32"/>
        </w:rPr>
        <w:t xml:space="preserve">5. Resource Planning</w:t>
      </w:r>
    </w:p>
    <w:p>
      <w:pPr>
        <w:spacing w:after="80"/>
        <w:jc w:val="left"/>
      </w:pPr>
      <w:r>
        <w:rPr>
          <w:b w:val="false"/>
          <w:bCs w:val="false"/>
          <w:i w:val="false"/>
          <w:iCs w:val="false"/>
          <w:color w:val="000000"/>
          <w:sz w:val="22"/>
          <w:szCs w:val="22"/>
        </w:rPr>
        <w:t xml:space="preserve">The project was designed to be deliverable on a single-student budget. The deliberate use of free tiers and shared hosting also serves the dissertation's practicality argument — the artefact runs without machine-learning infrastructure or institutional data-science investment.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000"/>
        <w:gridCol w:w="7958"/>
        <w:gridCol w:w="3000"/>
      </w:tblGrid>
      <w:tr>
        <w:tc>
          <w:tcPr>
            <w:tcW w:type="dxa" w:w="30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Resource</w:t>
            </w:r>
          </w:p>
        </w:tc>
        <w:tc>
          <w:tcPr>
            <w:tcW w:type="dxa" w:w="7958"/>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Detail</w:t>
            </w:r>
          </w:p>
        </w:tc>
        <w:tc>
          <w:tcPr>
            <w:tcW w:type="dxa" w:w="30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Cost / source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Author time</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~10 hours per week sustained, peaking during Sprints 3 and 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In-kind (student time)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Supervisor</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Six 45-minute tutorials across the year, plus async email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Included in module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Hardware</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Personal laptop only; no cloud GPUs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Existing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Development tools</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VS Code, Node.js, PHP, MySQL, Git, GitHub</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Free / open source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No-code platforms</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n8n (self-hosted, free tier) for the prototype phase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Free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AI service</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Google Gemini (gemini-2.5-flash) for sentiment analysis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Free tier; production cost noted as future limitation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Hosting</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20i shared web hosting (LAMP) for the live demo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 £3 per month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Reference manager</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Manual; UWE Harvard style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Free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Project management</w:t>
            </w:r>
          </w:p>
        </w:tc>
        <w:tc>
          <w:tcPr>
            <w:tcW w:type="dxa" w:w="79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GitHub Projects (sprints, backlog, retrospectives)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Free</w:t>
            </w:r>
          </w:p>
        </w:tc>
      </w:tr>
    </w:tbl>
    <w:p>
      <w:r>
        <w:br w:type="page"/>
      </w:r>
    </w:p>
    <w:p>
      <w:pPr>
        <w:pStyle w:val="Heading1"/>
        <w:spacing w:after="140" w:before="280"/>
      </w:pPr>
      <w:r>
        <w:rPr>
          <w:b/>
          <w:bCs/>
          <w:sz w:val="32"/>
          <w:szCs w:val="32"/>
        </w:rPr>
        <w:t xml:space="preserve">6. Risk Assessment</w:t>
      </w:r>
    </w:p>
    <w:p>
      <w:pPr>
        <w:spacing w:after="80"/>
        <w:jc w:val="left"/>
      </w:pPr>
      <w:r>
        <w:rPr>
          <w:b w:val="false"/>
          <w:bCs w:val="false"/>
          <w:i w:val="false"/>
          <w:iCs w:val="false"/>
          <w:color w:val="000000"/>
          <w:sz w:val="22"/>
          <w:szCs w:val="22"/>
        </w:rPr>
        <w:t xml:space="preserve">Risks were reviewed at each sprint retrospective. The most significant risk — that pure n8n would not deliver the full system — materialised during Sprint 2 and was converted into the dissertation's primary empirical contribution rather than treated as a failure.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7058"/>
      </w:tblGrid>
      <w:tr>
        <w:tc>
          <w:tcPr>
            <w:tcW w:type="dxa" w:w="45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Risk</w:t>
            </w:r>
          </w:p>
        </w:tc>
        <w:tc>
          <w:tcPr>
            <w:tcW w:type="dxa" w:w="12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8"/>
                <w:szCs w:val="18"/>
              </w:rPr>
              <w:t xml:space="preserve">Likelihood</w:t>
            </w:r>
          </w:p>
        </w:tc>
        <w:tc>
          <w:tcPr>
            <w:tcW w:type="dxa" w:w="1200"/>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center"/>
            </w:pPr>
            <w:r>
              <w:rPr>
                <w:b/>
                <w:bCs/>
                <w:color w:val="FFFFFF"/>
                <w:sz w:val="18"/>
                <w:szCs w:val="18"/>
              </w:rPr>
              <w:t xml:space="preserve">Impact</w:t>
            </w:r>
          </w:p>
        </w:tc>
        <w:tc>
          <w:tcPr>
            <w:tcW w:type="dxa" w:w="7058"/>
            <w:tcBorders>
              <w:top w:val="single" w:color="BFBFBF" w:sz="4"/>
              <w:left w:val="single" w:color="BFBFBF" w:sz="4"/>
              <w:bottom w:val="single" w:color="BFBFBF" w:sz="4"/>
              <w:right w:val="single" w:color="BFBFBF" w:sz="4"/>
            </w:tcBorders>
            <w:shd w:fill="424242" w:val="clear"/>
            <w:tcMar>
              <w:top w:type="dxa" w:w="60"/>
              <w:left w:type="dxa" w:w="100"/>
              <w:bottom w:type="dxa" w:w="60"/>
              <w:right w:type="dxa" w:w="100"/>
            </w:tcMar>
            <w:vAlign w:val="center"/>
          </w:tcPr>
          <w:p>
            <w:pPr>
              <w:spacing w:after="0" w:before="0"/>
              <w:jc w:val="left"/>
            </w:pPr>
            <w:r>
              <w:rPr>
                <w:b/>
                <w:bCs/>
                <w:color w:val="FFFFFF"/>
                <w:sz w:val="18"/>
                <w:szCs w:val="18"/>
              </w:rPr>
              <w:t xml:space="preserve">Mitigation</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Pure n8n cannot deliver the full system</w:t>
            </w:r>
          </w:p>
        </w:tc>
        <w:tc>
          <w:tcPr>
            <w:tcW w:type="dxa" w:w="1200"/>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M</w:t>
            </w:r>
          </w:p>
        </w:tc>
        <w:tc>
          <w:tcPr>
            <w:tcW w:type="dxa" w:w="1200"/>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H</w:t>
            </w:r>
          </w:p>
        </w:tc>
        <w:tc>
          <w:tcPr>
            <w:tcW w:type="dxa" w:w="70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Treat the pivot as a finding rather than a failure; design the artefact to demonstrate the four limits empirically. (Happened — became the dissertation's primary contribution.)</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Real student-outcome data not available within ethics window</w:t>
            </w:r>
          </w:p>
        </w:tc>
        <w:tc>
          <w:tcPr>
            <w:tcW w:type="dxa" w:w="1200"/>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H</w:t>
            </w:r>
          </w:p>
        </w:tc>
        <w:tc>
          <w:tcPr>
            <w:tcW w:type="dxa" w:w="1200"/>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M</w:t>
            </w:r>
          </w:p>
        </w:tc>
        <w:tc>
          <w:tcPr>
            <w:tcW w:type="dxa" w:w="70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Evaluate against synthetic data only (five literature-derived archetypes × four cohort sizes); state real-world accuracy as future work.</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Gemini API quota / cost overruns at scale</w:t>
            </w:r>
          </w:p>
        </w:tc>
        <w:tc>
          <w:tcPr>
            <w:tcW w:type="dxa" w:w="1200"/>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L</w:t>
            </w:r>
          </w:p>
        </w:tc>
        <w:tc>
          <w:tcPr>
            <w:tcW w:type="dxa" w:w="1200"/>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M</w:t>
            </w:r>
          </w:p>
        </w:tc>
        <w:tc>
          <w:tcPr>
            <w:tcW w:type="dxa" w:w="70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Use free tier for evaluation; architect engine so 4-factor mode degrades gracefully to 3-factor without AI.</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Scope creep eats writing time</w:t>
            </w:r>
          </w:p>
        </w:tc>
        <w:tc>
          <w:tcPr>
            <w:tcW w:type="dxa" w:w="1200"/>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M</w:t>
            </w:r>
          </w:p>
        </w:tc>
        <w:tc>
          <w:tcPr>
            <w:tcW w:type="dxa" w:w="1200"/>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H</w:t>
            </w:r>
          </w:p>
        </w:tc>
        <w:tc>
          <w:tcPr>
            <w:tcW w:type="dxa" w:w="70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Hard sprint boundaries with milestones; freeze features after Sprint 3; cut rather than slip.</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Laptop failure during peak build</w:t>
            </w:r>
          </w:p>
        </w:tc>
        <w:tc>
          <w:tcPr>
            <w:tcW w:type="dxa" w:w="1200"/>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L</w:t>
            </w:r>
          </w:p>
        </w:tc>
        <w:tc>
          <w:tcPr>
            <w:tcW w:type="dxa" w:w="1200"/>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H</w:t>
            </w:r>
          </w:p>
        </w:tc>
        <w:tc>
          <w:tcPr>
            <w:tcW w:type="dxa" w:w="70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Daily commits to GitHub; back up dissertation Word file to cloud after every session.</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Supervisor availability constraints</w:t>
            </w:r>
          </w:p>
        </w:tc>
        <w:tc>
          <w:tcPr>
            <w:tcW w:type="dxa" w:w="1200"/>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M</w:t>
            </w:r>
          </w:p>
        </w:tc>
        <w:tc>
          <w:tcPr>
            <w:tcW w:type="dxa" w:w="1200"/>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M</w:t>
            </w:r>
          </w:p>
        </w:tc>
        <w:tc>
          <w:tcPr>
            <w:tcW w:type="dxa" w:w="70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Book all six tutorials in the first month; have written agenda for each; use email for async questions.</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Sensitive credentials accidentally committed</w:t>
            </w:r>
          </w:p>
        </w:tc>
        <w:tc>
          <w:tcPr>
            <w:tcW w:type="dxa" w:w="1200"/>
            <w:tcBorders>
              <w:top w:val="single" w:color="BFBFBF" w:sz="4"/>
              <w:left w:val="single" w:color="BFBFBF" w:sz="4"/>
              <w:bottom w:val="single" w:color="BFBFBF" w:sz="4"/>
              <w:right w:val="single" w:color="BFBFBF" w:sz="4"/>
            </w:tcBorders>
            <w:shd w:fill="FFE0B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M</w:t>
            </w:r>
          </w:p>
        </w:tc>
        <w:tc>
          <w:tcPr>
            <w:tcW w:type="dxa" w:w="1200"/>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H</w:t>
            </w:r>
          </w:p>
        </w:tc>
        <w:tc>
          <w:tcPr>
            <w:tcW w:type="dxa" w:w="70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Use environment variables; `.gitignore` covers `.env`; secret scan before submission.</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Live demo URL goes down before viva</w:t>
            </w:r>
          </w:p>
        </w:tc>
        <w:tc>
          <w:tcPr>
            <w:tcW w:type="dxa" w:w="1200"/>
            <w:tcBorders>
              <w:top w:val="single" w:color="BFBFBF" w:sz="4"/>
              <w:left w:val="single" w:color="BFBFBF" w:sz="4"/>
              <w:bottom w:val="single" w:color="BFBFBF" w:sz="4"/>
              <w:right w:val="single" w:color="BFBFBF" w:sz="4"/>
            </w:tcBorders>
            <w:shd w:fill="C8E6C9"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L</w:t>
            </w:r>
          </w:p>
        </w:tc>
        <w:tc>
          <w:tcPr>
            <w:tcW w:type="dxa" w:w="1200"/>
            <w:tcBorders>
              <w:top w:val="single" w:color="BFBFBF" w:sz="4"/>
              <w:left w:val="single" w:color="BFBFBF" w:sz="4"/>
              <w:bottom w:val="single" w:color="BFBFBF" w:sz="4"/>
              <w:right w:val="single" w:color="BFBFBF" w:sz="4"/>
            </w:tcBorders>
            <w:shd w:fill="FFCDD2" w:val="clear"/>
            <w:tcMar>
              <w:top w:type="dxa" w:w="60"/>
              <w:left w:type="dxa" w:w="100"/>
              <w:bottom w:type="dxa" w:w="60"/>
              <w:right w:type="dxa" w:w="100"/>
            </w:tcMar>
            <w:vAlign w:val="center"/>
          </w:tcPr>
          <w:p>
            <w:pPr>
              <w:spacing w:after="0" w:before="0"/>
              <w:jc w:val="center"/>
            </w:pPr>
            <w:r>
              <w:rPr>
                <w:b w:val="false"/>
                <w:bCs w:val="false"/>
                <w:color w:val="000000"/>
                <w:sz w:val="18"/>
                <w:szCs w:val="18"/>
              </w:rPr>
              <w:t xml:space="preserve">H</w:t>
            </w:r>
          </w:p>
        </w:tc>
        <w:tc>
          <w:tcPr>
            <w:tcW w:type="dxa" w:w="705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before="0"/>
              <w:jc w:val="left"/>
            </w:pPr>
            <w:r>
              <w:rPr>
                <w:b w:val="false"/>
                <w:bCs w:val="false"/>
                <w:color w:val="000000"/>
                <w:sz w:val="18"/>
                <w:szCs w:val="18"/>
              </w:rPr>
              <w:t xml:space="preserve">Keep local fallback running on dev machine; bundle a packaged ZIP of the app in the Viva Pack.</w:t>
            </w:r>
          </w:p>
        </w:tc>
      </w:tr>
    </w:tbl>
    <w:p>
      <w:r>
        <w:br w:type="page"/>
      </w:r>
    </w:p>
    <w:p>
      <w:pPr>
        <w:pStyle w:val="Heading1"/>
        <w:spacing w:after="140" w:before="280"/>
      </w:pPr>
      <w:r>
        <w:rPr>
          <w:b/>
          <w:bCs/>
          <w:sz w:val="32"/>
          <w:szCs w:val="32"/>
        </w:rPr>
        <w:t xml:space="preserve">7. Project Management and Version Control</w:t>
      </w:r>
    </w:p>
    <w:p>
      <w:pPr>
        <w:spacing w:after="80"/>
        <w:jc w:val="left"/>
      </w:pPr>
      <w:r>
        <w:rPr>
          <w:b w:val="false"/>
          <w:bCs w:val="false"/>
          <w:i w:val="false"/>
          <w:iCs w:val="false"/>
          <w:color w:val="000000"/>
          <w:sz w:val="22"/>
          <w:szCs w:val="22"/>
        </w:rPr>
        <w:t xml:space="preserve">The project was version-controlled in Git from the start of Sprint 2 onwards, with the public repository hosted on GitHub. Sprint planning, backlog items, in-progress work and retrospectives were tracked on GitHub Projects (the agile board referenced in Section 1). Each sprint had a planning card listing intended activities, a set of task cards drawn from the backlog as work began, and a retrospective card written at the end of the sprint summarising what worked, what did not, and what to carry forward.</w:t>
      </w:r>
    </w:p>
    <w:p>
      <w:pPr>
        <w:spacing w:after="80"/>
        <w:jc w:val="left"/>
      </w:pPr>
      <w:r>
        <w:rPr>
          <w:b w:val="false"/>
          <w:bCs w:val="false"/>
          <w:i w:val="false"/>
          <w:iCs w:val="false"/>
          <w:color w:val="000000"/>
          <w:sz w:val="22"/>
          <w:szCs w:val="22"/>
        </w:rPr>
        <w:t xml:space="preserve">The board mirrors the Trello / Jira agile-management requirement described in the CMP600 brief. The decision to use GitHub Projects rather than Trello kept the planning artefact, the source code, the issue tracker, and the deliverable executable in a single auditable place — consistent with the brief's instruction to upload an executable to a repository such as GitHub.</w:t>
      </w:r>
    </w:p>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Marcel Bucur — Student ID 2310-111665 ·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Project Planning · Early Risk Prediction Agent · CMP600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 Early Risk Prediction Agent</dc:title>
  <dc:creator>Marcel Bucur</dc:creator>
  <dc:description>Project planning, WBS, Gantt chart, milestones, resource and risk planning</dc:description>
  <cp:lastModifiedBy>Un-named</cp:lastModifiedBy>
  <cp:revision>1</cp:revision>
  <dcterms:created xsi:type="dcterms:W3CDTF">2026-05-26T15:07:26.062Z</dcterms:created>
  <dcterms:modified xsi:type="dcterms:W3CDTF">2026-05-26T15:07:26.068Z</dcterms:modified>
</cp:coreProperties>
</file>

<file path=docProps/custom.xml><?xml version="1.0" encoding="utf-8"?>
<Properties xmlns="http://schemas.openxmlformats.org/officeDocument/2006/custom-properties" xmlns:vt="http://schemas.openxmlformats.org/officeDocument/2006/docPropsVTypes"/>
</file>